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560" w:lineRule="exact"/>
        <w:jc w:val="center"/>
        <w:rPr>
          <w:rFonts w:cs="宋体" w:hAnsi="宋体" w:hint="eastAsia"/>
          <w:b/>
          <w:bCs/>
          <w:sz w:val="44"/>
          <w:szCs w:val="44"/>
        </w:rPr>
      </w:pPr>
      <w:r>
        <w:rPr>
          <w:rFonts w:cs="宋体" w:hAnsi="宋体" w:hint="eastAsia"/>
          <w:b/>
          <w:bCs/>
          <w:sz w:val="44"/>
          <w:szCs w:val="44"/>
        </w:rPr>
        <w:t>曲阳县交通运输局</w:t>
      </w:r>
    </w:p>
    <w:p>
      <w:pPr>
        <w:spacing w:line="560" w:lineRule="exact"/>
        <w:jc w:val="center"/>
        <w:rPr>
          <w:rFonts w:cs="宋体" w:hAnsi="宋体" w:hint="eastAsia"/>
          <w:b/>
          <w:bCs/>
          <w:sz w:val="44"/>
          <w:szCs w:val="44"/>
        </w:rPr>
      </w:pPr>
      <w:r>
        <w:rPr>
          <w:rFonts w:cs="宋体" w:hAnsi="宋体" w:hint="eastAsia"/>
          <w:b/>
          <w:bCs/>
          <w:sz w:val="44"/>
          <w:szCs w:val="44"/>
        </w:rPr>
        <w:t>202</w:t>
      </w:r>
      <w:r>
        <w:rPr>
          <w:rFonts w:cs="宋体" w:hAnsi="宋体"/>
          <w:b/>
          <w:bCs/>
          <w:sz w:val="44"/>
          <w:szCs w:val="44"/>
        </w:rPr>
        <w:t>5</w:t>
      </w:r>
      <w:r>
        <w:rPr>
          <w:rFonts w:cs="宋体" w:hAnsi="宋体" w:hint="eastAsia"/>
          <w:b/>
          <w:bCs/>
          <w:sz w:val="44"/>
          <w:szCs w:val="44"/>
        </w:rPr>
        <w:t>年法治政府建设年度工作报告</w:t>
      </w:r>
    </w:p>
    <w:p>
      <w:pPr>
        <w:spacing w:line="560" w:lineRule="exact"/>
        <w:jc w:val="center"/>
        <w:rPr>
          <w:rFonts w:cs="宋体" w:hAnsi="宋体"/>
          <w:b/>
          <w:bCs/>
          <w:sz w:val="44"/>
          <w:szCs w:val="44"/>
        </w:rPr>
      </w:pPr>
      <w:bookmarkStart w:id="0" w:name="_GoBack"/>
      <w:bookmarkEnd w:id="0"/>
    </w:p>
    <w:p>
      <w:pPr>
        <w:spacing w:line="560" w:lineRule="exact"/>
        <w:ind w:firstLineChars="200" w:firstLine="640"/>
        <w:jc w:val="both"/>
        <w:rPr>
          <w:rFonts w:ascii="仿宋" w:eastAsia="仿宋" w:cs="仿宋" w:hAnsi="仿宋"/>
          <w:sz w:val="32"/>
          <w:szCs w:val="32"/>
        </w:rPr>
      </w:pPr>
      <w:r>
        <w:rPr>
          <w:rFonts w:ascii="仿宋" w:eastAsia="仿宋" w:cs="仿宋" w:hAnsi="仿宋" w:hint="eastAsia"/>
          <w:sz w:val="32"/>
          <w:szCs w:val="32"/>
        </w:rPr>
        <w:t>202</w:t>
      </w:r>
      <w:r>
        <w:rPr>
          <w:rFonts w:ascii="仿宋" w:eastAsia="仿宋" w:cs="仿宋" w:hAnsi="仿宋"/>
          <w:sz w:val="32"/>
          <w:szCs w:val="32"/>
        </w:rPr>
        <w:t>5</w:t>
      </w:r>
      <w:r>
        <w:rPr>
          <w:rFonts w:ascii="仿宋" w:eastAsia="仿宋" w:cs="仿宋" w:hAnsi="仿宋" w:hint="eastAsia"/>
          <w:sz w:val="32"/>
          <w:szCs w:val="32"/>
        </w:rPr>
        <w:t>年</w:t>
      </w:r>
      <w:r>
        <w:rPr>
          <w:rFonts w:ascii="仿宋" w:eastAsia="仿宋" w:cs="仿宋" w:hAnsi="仿宋"/>
          <w:sz w:val="32"/>
          <w:szCs w:val="32"/>
        </w:rPr>
        <w:t>以来</w:t>
      </w:r>
      <w:r>
        <w:rPr>
          <w:rFonts w:ascii="仿宋" w:eastAsia="仿宋" w:cs="仿宋" w:hAnsi="仿宋" w:hint="eastAsia"/>
          <w:sz w:val="32"/>
          <w:szCs w:val="32"/>
        </w:rPr>
        <w:t>，我局坚持以习近平新时代中国特色社会主义思想为指导，深入学习贯彻习近平法治思想，认真贯彻落实曲阳县法治政府建设的各项决策部署，以依法行政为准绳，以规范执法为抓手，重点建设执法队伍、完善执法程序、强化执法监督，取得了显著成效。现将202</w:t>
      </w:r>
      <w:r>
        <w:rPr>
          <w:rFonts w:ascii="仿宋" w:eastAsia="仿宋" w:cs="仿宋" w:hAnsi="仿宋"/>
          <w:sz w:val="32"/>
          <w:szCs w:val="32"/>
        </w:rPr>
        <w:t>5</w:t>
      </w:r>
      <w:r>
        <w:rPr>
          <w:rFonts w:ascii="仿宋" w:eastAsia="仿宋" w:cs="仿宋" w:hAnsi="仿宋" w:hint="eastAsia"/>
          <w:sz w:val="32"/>
          <w:szCs w:val="32"/>
        </w:rPr>
        <w:t>年法治政府建设工作情况报告如下：</w:t>
      </w:r>
    </w:p>
    <w:p>
      <w:pPr>
        <w:spacing w:line="560" w:lineRule="exact"/>
        <w:ind w:firstLineChars="200" w:firstLine="640"/>
        <w:rPr>
          <w:rFonts w:ascii="黑体" w:eastAsia="黑体" w:cs="黑体" w:hAnsi="黑体" w:hint="eastAsia"/>
          <w:sz w:val="32"/>
          <w:szCs w:val="32"/>
        </w:rPr>
      </w:pPr>
      <w:r>
        <w:rPr>
          <w:rFonts w:ascii="黑体" w:eastAsia="黑体" w:cs="黑体" w:hAnsi="黑体" w:hint="eastAsia"/>
          <w:sz w:val="32"/>
          <w:szCs w:val="32"/>
        </w:rPr>
        <w:t>一、202</w:t>
      </w:r>
      <w:r>
        <w:rPr>
          <w:rFonts w:ascii="黑体" w:eastAsia="黑体" w:cs="黑体" w:hAnsi="黑体"/>
          <w:sz w:val="32"/>
          <w:szCs w:val="32"/>
        </w:rPr>
        <w:t>5</w:t>
      </w:r>
      <w:r>
        <w:rPr>
          <w:rFonts w:ascii="黑体" w:eastAsia="黑体" w:cs="黑体" w:hAnsi="黑体" w:hint="eastAsia"/>
          <w:sz w:val="32"/>
          <w:szCs w:val="32"/>
        </w:rPr>
        <w:t>年推进法治政府建设的主要举措和成效</w:t>
      </w:r>
    </w:p>
    <w:p>
      <w:pPr>
        <w:spacing w:line="560" w:lineRule="exact"/>
        <w:ind w:firstLineChars="200" w:firstLine="640"/>
        <w:rPr>
          <w:rFonts w:ascii="黑体" w:eastAsia="黑体" w:cs="黑体" w:hAnsi="黑体"/>
          <w:sz w:val="32"/>
          <w:szCs w:val="32"/>
        </w:rPr>
      </w:pPr>
      <w:r>
        <w:rPr>
          <w:rFonts w:ascii="楷体" w:eastAsia="楷体" w:cs="楷体" w:hAnsi="楷体" w:hint="eastAsia"/>
          <w:b/>
          <w:bCs/>
          <w:sz w:val="32"/>
          <w:szCs w:val="32"/>
        </w:rPr>
        <w:t>（一）加强组织领导，坚决落实法治责任</w:t>
      </w:r>
    </w:p>
    <w:p>
      <w:pPr>
        <w:spacing w:line="560" w:lineRule="exact"/>
        <w:ind w:left="0" w:firstLineChars="200" w:firstLine="640"/>
        <w:rPr>
          <w:rFonts w:ascii="仿宋" w:eastAsia="仿宋" w:cs="仿宋" w:hAnsi="仿宋" w:hint="eastAsia"/>
          <w:sz w:val="32"/>
          <w:szCs w:val="32"/>
        </w:rPr>
      </w:pPr>
      <w:r>
        <w:rPr>
          <w:rFonts w:ascii="仿宋" w:eastAsia="仿宋" w:cs="仿宋" w:hAnsi="仿宋" w:hint="eastAsia"/>
          <w:b/>
          <w:bCs/>
          <w:sz w:val="32"/>
          <w:szCs w:val="32"/>
        </w:rPr>
        <w:t>1.坚持党对法治工作的领导</w:t>
      </w:r>
      <w:r>
        <w:rPr>
          <w:rFonts w:ascii="仿宋" w:eastAsia="仿宋" w:cs="仿宋" w:hAnsi="仿宋"/>
          <w:b/>
          <w:bCs/>
          <w:sz w:val="32"/>
          <w:szCs w:val="32"/>
        </w:rPr>
        <w:t>。</w:t>
      </w:r>
      <w:r>
        <w:rPr>
          <w:rFonts w:ascii="仿宋" w:eastAsia="仿宋" w:cs="仿宋" w:hAnsi="仿宋" w:hint="eastAsia"/>
          <w:sz w:val="32"/>
          <w:szCs w:val="32"/>
        </w:rPr>
        <w:t>深入学习贯彻习近平新时代中国特色社会主义思想，深刻认识、准确把握建设法治政府的重大意义、本质要求和主要任务，把党的领导贯彻到法治政府建设全过程各方面。</w:t>
      </w:r>
    </w:p>
    <w:p>
      <w:pPr>
        <w:spacing w:line="560" w:lineRule="exact"/>
        <w:ind w:firstLineChars="200" w:firstLine="640"/>
        <w:rPr>
          <w:rFonts w:ascii="仿宋" w:eastAsia="仿宋" w:cs="仿宋" w:hAnsi="仿宋" w:hint="eastAsia"/>
          <w:sz w:val="32"/>
          <w:szCs w:val="32"/>
        </w:rPr>
      </w:pPr>
      <w:r>
        <w:rPr>
          <w:rFonts w:ascii="仿宋" w:eastAsia="仿宋" w:cs="仿宋" w:hAnsi="仿宋"/>
          <w:b/>
          <w:bCs/>
          <w:sz w:val="32"/>
          <w:szCs w:val="32"/>
        </w:rPr>
        <w:t>2.</w:t>
      </w:r>
      <w:r>
        <w:rPr>
          <w:rFonts w:ascii="仿宋" w:eastAsia="仿宋" w:cs="仿宋" w:hAnsi="仿宋" w:hint="eastAsia"/>
          <w:b/>
          <w:bCs/>
          <w:sz w:val="32"/>
          <w:szCs w:val="32"/>
        </w:rPr>
        <w:t>加强组织建设和理论学习</w:t>
      </w:r>
      <w:r>
        <w:rPr>
          <w:rFonts w:ascii="仿宋" w:eastAsia="仿宋" w:cs="仿宋" w:hAnsi="仿宋"/>
          <w:b/>
          <w:bCs/>
          <w:sz w:val="32"/>
          <w:szCs w:val="32"/>
        </w:rPr>
        <w:t>。</w:t>
      </w:r>
      <w:r>
        <w:rPr>
          <w:rFonts w:ascii="仿宋" w:eastAsia="仿宋" w:cs="仿宋" w:hAnsi="仿宋" w:hint="eastAsia"/>
          <w:b/>
          <w:bCs/>
          <w:sz w:val="32"/>
          <w:szCs w:val="32"/>
        </w:rPr>
        <w:t>一是健全组织体系。</w:t>
      </w:r>
      <w:r>
        <w:rPr>
          <w:rFonts w:ascii="仿宋" w:eastAsia="仿宋" w:cs="仿宋" w:hAnsi="仿宋" w:hint="eastAsia"/>
          <w:sz w:val="32"/>
          <w:szCs w:val="32"/>
        </w:rPr>
        <w:t>优化调整以</w:t>
      </w:r>
      <w:r>
        <w:rPr>
          <w:rFonts w:ascii="仿宋" w:eastAsia="仿宋" w:cs="仿宋" w:hAnsi="仿宋"/>
          <w:sz w:val="32"/>
          <w:szCs w:val="32"/>
        </w:rPr>
        <w:t>局长</w:t>
      </w:r>
      <w:r>
        <w:rPr>
          <w:rFonts w:ascii="仿宋" w:eastAsia="仿宋" w:cs="仿宋" w:hAnsi="仿宋" w:hint="eastAsia"/>
          <w:sz w:val="32"/>
          <w:szCs w:val="32"/>
        </w:rPr>
        <w:t>为组长的交通运输系统法治建设工作领导小组，分管领导具体抓落实，各</w:t>
      </w:r>
      <w:r>
        <w:rPr>
          <w:rFonts w:ascii="仿宋" w:eastAsia="仿宋" w:cs="仿宋" w:hAnsi="仿宋"/>
          <w:sz w:val="32"/>
          <w:szCs w:val="32"/>
        </w:rPr>
        <w:t>股站</w:t>
      </w:r>
      <w:r>
        <w:rPr>
          <w:rFonts w:ascii="仿宋" w:eastAsia="仿宋" w:cs="仿宋" w:hAnsi="仿宋" w:hint="eastAsia"/>
          <w:sz w:val="32"/>
          <w:szCs w:val="32"/>
        </w:rPr>
        <w:t>各司其职，协同推进法治建设工作。</w:t>
      </w:r>
      <w:r>
        <w:rPr>
          <w:rFonts w:ascii="仿宋" w:eastAsia="仿宋" w:cs="仿宋" w:hAnsi="仿宋"/>
          <w:b/>
          <w:bCs/>
          <w:sz w:val="32"/>
          <w:szCs w:val="32"/>
        </w:rPr>
        <w:t>二是加强理论学习。</w:t>
      </w:r>
      <w:r>
        <w:rPr>
          <w:rFonts w:ascii="仿宋" w:eastAsia="仿宋" w:cs="仿宋" w:hAnsi="仿宋" w:hint="eastAsia"/>
          <w:sz w:val="32"/>
          <w:szCs w:val="32"/>
        </w:rPr>
        <w:t>组织学习</w:t>
      </w:r>
      <w:r>
        <w:rPr>
          <w:rFonts w:ascii="仿宋" w:eastAsia="仿宋" w:cs="仿宋" w:hAnsi="仿宋"/>
          <w:sz w:val="32"/>
          <w:szCs w:val="32"/>
        </w:rPr>
        <w:t>习近平总书记对全面依法治国工作作出的重要指示精神、《论坚持全面依法治国》、《中国共产党纪律处分条例》</w:t>
      </w:r>
      <w:r>
        <w:rPr>
          <w:rFonts w:ascii="仿宋" w:eastAsia="仿宋" w:cs="仿宋" w:hAnsi="仿宋" w:hint="eastAsia"/>
          <w:sz w:val="32"/>
          <w:szCs w:val="32"/>
        </w:rPr>
        <w:t>等，牢固树立法治意识。</w:t>
      </w:r>
    </w:p>
    <w:p>
      <w:pPr>
        <w:spacing w:line="560" w:lineRule="exact"/>
        <w:ind w:firstLineChars="200" w:firstLine="640"/>
        <w:rPr>
          <w:rFonts w:ascii="仿宋" w:eastAsia="仿宋" w:cs="仿宋" w:hAnsi="仿宋" w:hint="eastAsia"/>
          <w:sz w:val="32"/>
          <w:szCs w:val="32"/>
        </w:rPr>
      </w:pPr>
      <w:r>
        <w:rPr>
          <w:rFonts w:ascii="仿宋" w:eastAsia="仿宋" w:cs="仿宋" w:hAnsi="仿宋"/>
          <w:b/>
          <w:bCs/>
          <w:sz w:val="32"/>
          <w:szCs w:val="32"/>
        </w:rPr>
        <w:t>3</w:t>
      </w:r>
      <w:r>
        <w:rPr>
          <w:rFonts w:ascii="仿宋" w:eastAsia="仿宋" w:cs="仿宋" w:hAnsi="仿宋" w:hint="eastAsia"/>
          <w:b/>
          <w:bCs/>
          <w:sz w:val="32"/>
          <w:szCs w:val="32"/>
        </w:rPr>
        <w:t>.完善</w:t>
      </w:r>
      <w:r>
        <w:rPr>
          <w:rFonts w:ascii="仿宋" w:eastAsia="仿宋" w:cs="仿宋" w:hAnsi="仿宋"/>
          <w:b/>
          <w:bCs/>
          <w:sz w:val="32"/>
          <w:szCs w:val="32"/>
        </w:rPr>
        <w:t>法制建设</w:t>
      </w:r>
      <w:r>
        <w:rPr>
          <w:rFonts w:ascii="仿宋" w:eastAsia="仿宋" w:cs="仿宋" w:hAnsi="仿宋" w:hint="eastAsia"/>
          <w:b/>
          <w:bCs/>
          <w:sz w:val="32"/>
          <w:szCs w:val="32"/>
        </w:rPr>
        <w:t>制度</w:t>
      </w:r>
      <w:r>
        <w:rPr>
          <w:rFonts w:ascii="仿宋" w:eastAsia="仿宋" w:cs="仿宋" w:hAnsi="仿宋"/>
          <w:b/>
          <w:bCs/>
          <w:sz w:val="32"/>
          <w:szCs w:val="32"/>
        </w:rPr>
        <w:t>。</w:t>
      </w:r>
      <w:r>
        <w:rPr>
          <w:rFonts w:ascii="仿宋" w:eastAsia="仿宋" w:cs="仿宋" w:hAnsi="仿宋" w:hint="eastAsia"/>
          <w:sz w:val="32"/>
          <w:szCs w:val="32"/>
        </w:rPr>
        <w:t>认真对照政府部门主要负责人履行推进法治建设第一责任人职责清单，局主要领导作为第一责任人，督促班子成员在分管领域履行推进法治建设职责。定期听取法治建设工作情况汇报，及时研究解决有关重大问题，把法治建设成效作为衡量领导班子和领导干部工作实绩的主要内容，确保各项工作有序开展。</w:t>
      </w:r>
    </w:p>
    <w:p>
      <w:pPr>
        <w:spacing w:line="560" w:lineRule="exact"/>
        <w:ind w:firstLineChars="200" w:firstLine="640"/>
        <w:rPr>
          <w:rFonts w:ascii="楷体" w:eastAsia="楷体" w:cs="楷体" w:hAnsi="楷体" w:hint="eastAsia"/>
          <w:b/>
          <w:bCs/>
          <w:sz w:val="32"/>
          <w:szCs w:val="32"/>
        </w:rPr>
      </w:pPr>
      <w:r>
        <w:rPr>
          <w:rFonts w:ascii="楷体" w:eastAsia="楷体" w:cs="楷体" w:hAnsi="楷体" w:hint="eastAsia"/>
          <w:b/>
          <w:bCs/>
          <w:sz w:val="32"/>
          <w:szCs w:val="32"/>
        </w:rPr>
        <w:t>（二）突出工作重点，提升法治政府建设水平</w:t>
      </w:r>
    </w:p>
    <w:p>
      <w:pPr>
        <w:spacing w:line="560" w:lineRule="exact"/>
        <w:ind w:firstLineChars="200" w:firstLine="640"/>
        <w:rPr>
          <w:rFonts w:ascii="仿宋" w:eastAsia="仿宋" w:cs="仿宋" w:hAnsi="仿宋" w:hint="eastAsia"/>
          <w:color w:val="000000"/>
          <w:sz w:val="32"/>
          <w:szCs w:val="32"/>
        </w:rPr>
      </w:pPr>
      <w:r>
        <w:rPr>
          <w:rFonts w:ascii="仿宋" w:eastAsia="仿宋" w:cs="仿宋" w:hAnsi="仿宋" w:hint="eastAsia"/>
          <w:b/>
          <w:bCs/>
          <w:sz w:val="32"/>
          <w:szCs w:val="32"/>
        </w:rPr>
        <w:t>1.加强普法宣传教育</w:t>
      </w:r>
      <w:r>
        <w:rPr>
          <w:rFonts w:ascii="仿宋" w:eastAsia="仿宋" w:cs="仿宋" w:hAnsi="仿宋"/>
          <w:b/>
          <w:bCs/>
          <w:sz w:val="32"/>
          <w:szCs w:val="32"/>
        </w:rPr>
        <w:t>。</w:t>
      </w:r>
      <w:r>
        <w:rPr>
          <w:rFonts w:ascii="仿宋" w:eastAsia="仿宋" w:cs="仿宋" w:hAnsi="仿宋" w:hint="eastAsia"/>
          <w:sz w:val="32"/>
          <w:szCs w:val="32"/>
        </w:rPr>
        <w:t>我局结合“路政宣传月”“安全生产月”“法制宣传周”等重要时间节点</w:t>
      </w:r>
      <w:r>
        <w:rPr>
          <w:rFonts w:ascii="仿宋" w:eastAsia="仿宋" w:cs="仿宋" w:hAnsi="仿宋" w:hint="eastAsia"/>
          <w:color w:val="000000"/>
          <w:sz w:val="32"/>
          <w:szCs w:val="32"/>
        </w:rPr>
        <w:t>，积极开展形式多样的普法宣传活动，通过</w:t>
      </w:r>
      <w:r>
        <w:rPr>
          <w:rFonts w:ascii="仿宋" w:eastAsia="仿宋" w:cs="仿宋" w:hAnsi="仿宋"/>
          <w:color w:val="000000"/>
          <w:sz w:val="32"/>
          <w:szCs w:val="32"/>
        </w:rPr>
        <w:t>汽车站、公交站台、出租车</w:t>
      </w:r>
      <w:r>
        <w:rPr>
          <w:rFonts w:ascii="仿宋" w:eastAsia="仿宋" w:cs="仿宋" w:hAnsi="仿宋" w:hint="eastAsia"/>
          <w:color w:val="000000"/>
          <w:sz w:val="32"/>
          <w:szCs w:val="32"/>
        </w:rPr>
        <w:t>LED屏幕</w:t>
      </w:r>
      <w:r>
        <w:rPr>
          <w:rFonts w:ascii="仿宋" w:eastAsia="仿宋" w:cs="仿宋" w:hAnsi="仿宋"/>
          <w:color w:val="000000"/>
          <w:sz w:val="32"/>
          <w:szCs w:val="32"/>
        </w:rPr>
        <w:t>、</w:t>
      </w:r>
      <w:r>
        <w:rPr>
          <w:rFonts w:ascii="仿宋" w:eastAsia="仿宋" w:cs="仿宋" w:hAnsi="仿宋" w:hint="eastAsia"/>
          <w:color w:val="000000"/>
          <w:sz w:val="32"/>
          <w:szCs w:val="32"/>
        </w:rPr>
        <w:t>发放宣传单、送法进村社、送法进企业等形式开展活动，全年共开展各类宣教</w:t>
      </w:r>
      <w:r>
        <w:rPr>
          <w:rFonts w:ascii="仿宋" w:eastAsia="仿宋" w:cs="仿宋" w:hAnsi="仿宋"/>
          <w:color w:val="000000"/>
          <w:sz w:val="32"/>
          <w:szCs w:val="32"/>
        </w:rPr>
        <w:t>11</w:t>
      </w:r>
      <w:r>
        <w:rPr>
          <w:rFonts w:ascii="仿宋" w:eastAsia="仿宋" w:cs="仿宋" w:hAnsi="仿宋" w:hint="eastAsia"/>
          <w:color w:val="000000"/>
          <w:sz w:val="32"/>
          <w:szCs w:val="32"/>
        </w:rPr>
        <w:t>次，发放宣传资料</w:t>
      </w:r>
      <w:r>
        <w:rPr>
          <w:rFonts w:ascii="仿宋" w:eastAsia="仿宋" w:cs="仿宋" w:hAnsi="仿宋"/>
          <w:color w:val="000000"/>
          <w:sz w:val="32"/>
          <w:szCs w:val="32"/>
        </w:rPr>
        <w:t>2000余</w:t>
      </w:r>
      <w:r>
        <w:rPr>
          <w:rFonts w:ascii="仿宋" w:eastAsia="仿宋" w:cs="仿宋" w:hAnsi="仿宋" w:hint="eastAsia"/>
          <w:color w:val="000000"/>
          <w:sz w:val="32"/>
          <w:szCs w:val="32"/>
        </w:rPr>
        <w:t>份。</w:t>
      </w:r>
    </w:p>
    <w:p>
      <w:pPr>
        <w:spacing w:line="560" w:lineRule="exact"/>
        <w:ind w:firstLineChars="200" w:firstLine="640"/>
        <w:rPr>
          <w:rFonts w:ascii="仿宋" w:eastAsia="仿宋" w:cs="仿宋" w:hAnsi="仿宋" w:hint="eastAsia"/>
          <w:b/>
          <w:bCs/>
          <w:color w:val="FF0000"/>
          <w:sz w:val="32"/>
          <w:szCs w:val="32"/>
        </w:rPr>
      </w:pPr>
      <w:r>
        <w:rPr>
          <w:rFonts w:ascii="仿宋" w:eastAsia="仿宋" w:cs="仿宋" w:hAnsi="仿宋" w:hint="eastAsia"/>
          <w:b/>
          <w:bCs/>
          <w:sz w:val="32"/>
          <w:szCs w:val="32"/>
        </w:rPr>
        <w:t>2.提升行政审批服务质量。</w:t>
      </w:r>
      <w:r>
        <w:rPr>
          <w:rFonts w:ascii="仿宋" w:eastAsia="仿宋" w:cs="仿宋" w:hAnsi="仿宋" w:hint="eastAsia"/>
          <w:sz w:val="32"/>
          <w:szCs w:val="32"/>
        </w:rPr>
        <w:t>全力推进“高效办成一件事”，促进政务服务法治化、规范化。</w:t>
      </w:r>
      <w:r>
        <w:rPr>
          <w:rFonts w:ascii="仿宋" w:eastAsia="仿宋" w:cs="仿宋" w:hAnsi="仿宋"/>
          <w:sz w:val="32"/>
          <w:szCs w:val="32"/>
        </w:rPr>
        <w:t>依据工作需要，配合审批局收回许可事项3项，配合司法局收回行政处罚事项7项。</w:t>
      </w:r>
    </w:p>
    <w:p>
      <w:pPr>
        <w:spacing w:line="560" w:lineRule="exact"/>
        <w:ind w:firstLineChars="200" w:firstLine="640"/>
        <w:rPr>
          <w:rFonts w:ascii="仿宋" w:eastAsia="仿宋" w:cs="仿宋" w:hAnsi="仿宋" w:hint="eastAsia"/>
          <w:b/>
          <w:bCs/>
          <w:sz w:val="32"/>
          <w:szCs w:val="32"/>
        </w:rPr>
      </w:pPr>
      <w:r>
        <w:rPr>
          <w:rFonts w:ascii="仿宋" w:eastAsia="仿宋" w:cs="仿宋" w:hAnsi="仿宋" w:hint="eastAsia"/>
          <w:b/>
          <w:bCs/>
          <w:sz w:val="32"/>
          <w:szCs w:val="32"/>
        </w:rPr>
        <w:t>3.优化交通信用环境。</w:t>
      </w:r>
      <w:r>
        <w:rPr>
          <w:rFonts w:ascii="仿宋" w:eastAsia="仿宋" w:cs="仿宋" w:hAnsi="仿宋" w:hint="eastAsia"/>
          <w:sz w:val="32"/>
          <w:szCs w:val="32"/>
        </w:rPr>
        <w:t>我局积极提升行业信用建设管理水平，完善各项工作机制，抓好政务诚信、招投标管理、工程建设、运输服务等与人民群众密切相关重点领域的信用体系建设工作。</w:t>
      </w:r>
      <w:r>
        <w:rPr>
          <w:rFonts w:ascii="仿宋" w:eastAsia="仿宋" w:cs="仿宋" w:hAnsi="仿宋"/>
          <w:sz w:val="32"/>
          <w:szCs w:val="32"/>
        </w:rPr>
        <w:t>在工程招投标上坚持实事双盲评审和异地评标，打造了良好的市场环境。</w:t>
      </w:r>
    </w:p>
    <w:p>
      <w:pPr>
        <w:spacing w:line="560" w:lineRule="exact"/>
        <w:ind w:firstLineChars="200" w:firstLine="640"/>
        <w:rPr>
          <w:rFonts w:ascii="仿宋" w:eastAsia="仿宋" w:cs="仿宋"/>
          <w:sz w:val="32"/>
          <w:szCs w:val="32"/>
          <w:lang w:bidi="ar-SA"/>
        </w:rPr>
      </w:pPr>
      <w:r>
        <w:rPr>
          <w:rFonts w:ascii="仿宋" w:eastAsia="仿宋" w:cs="仿宋"/>
          <w:b/>
          <w:bCs/>
          <w:sz w:val="32"/>
          <w:szCs w:val="32"/>
          <w:lang w:bidi="ar-SA"/>
        </w:rPr>
        <w:t>4.</w:t>
      </w:r>
      <w:r>
        <w:rPr>
          <w:rFonts w:ascii="仿宋" w:eastAsia="仿宋" w:cs="仿宋" w:hint="eastAsia"/>
          <w:b/>
          <w:bCs/>
          <w:sz w:val="32"/>
          <w:szCs w:val="32"/>
          <w:lang w:bidi="ar-SA"/>
        </w:rPr>
        <w:t>执法管理工作进一步加强</w:t>
      </w:r>
      <w:r>
        <w:rPr>
          <w:rFonts w:ascii="仿宋" w:eastAsia="仿宋" w:cs="仿宋"/>
          <w:b/>
          <w:bCs/>
          <w:sz w:val="32"/>
          <w:szCs w:val="32"/>
          <w:lang w:bidi="ar-SA"/>
        </w:rPr>
        <w:t>。</w:t>
      </w:r>
      <w:r>
        <w:rPr>
          <w:rFonts w:ascii="仿宋" w:eastAsia="仿宋" w:cs="仿宋"/>
          <w:sz w:val="32"/>
          <w:szCs w:val="32"/>
          <w:lang w:bidi="ar-SA"/>
        </w:rPr>
        <w:t>2025年</w:t>
      </w:r>
      <w:r>
        <w:rPr>
          <w:rFonts w:ascii="仿宋" w:eastAsia="仿宋" w:cs="仿宋" w:hint="eastAsia"/>
          <w:sz w:val="32"/>
          <w:szCs w:val="32"/>
          <w:lang w:bidi="ar-SA"/>
        </w:rPr>
        <w:t>组织联合执法行动18次，其中，联合公安、交警等部门开展非法营运、超限超载专项整治15余次，清理公路路障及堆积物6处，拆除非公路标志牌20余块，2025年超限超载率控制在0.4%以下，道路运输市场环境持续优化。检查客运车辆346辆、货运车辆680辆、水上船舶38艘。</w:t>
      </w:r>
    </w:p>
    <w:p>
      <w:pPr>
        <w:spacing w:line="560" w:lineRule="exact"/>
        <w:ind w:firstLineChars="200" w:firstLine="640"/>
        <w:rPr>
          <w:rFonts w:ascii="仿宋" w:eastAsia="仿宋" w:cs="仿宋"/>
          <w:sz w:val="32"/>
          <w:szCs w:val="32"/>
          <w:lang w:bidi="ar-SA"/>
        </w:rPr>
      </w:pPr>
      <w:r>
        <w:rPr>
          <w:rFonts w:ascii="仿宋" w:eastAsia="仿宋" w:cs="仿宋"/>
          <w:b/>
          <w:bCs/>
          <w:sz w:val="32"/>
          <w:szCs w:val="32"/>
          <w:lang w:bidi="ar-SA"/>
        </w:rPr>
        <w:t>5.</w:t>
      </w:r>
      <w:r>
        <w:rPr>
          <w:rFonts w:ascii="仿宋" w:eastAsia="仿宋" w:cs="仿宋" w:hint="eastAsia"/>
          <w:b/>
          <w:bCs/>
          <w:sz w:val="32"/>
          <w:szCs w:val="32"/>
          <w:lang w:bidi="ar-SA"/>
        </w:rPr>
        <w:t>重点领域安全监管进一步强化</w:t>
      </w:r>
      <w:r>
        <w:rPr>
          <w:rFonts w:ascii="仿宋" w:eastAsia="仿宋" w:cs="仿宋"/>
          <w:b/>
          <w:bCs/>
          <w:sz w:val="32"/>
          <w:szCs w:val="32"/>
          <w:lang w:bidi="ar-SA"/>
        </w:rPr>
        <w:t>。</w:t>
      </w:r>
      <w:r>
        <w:rPr>
          <w:rFonts w:ascii="仿宋" w:eastAsia="仿宋" w:cs="仿宋" w:hint="eastAsia"/>
          <w:sz w:val="32"/>
          <w:szCs w:val="32"/>
          <w:lang w:bidi="ar-SA"/>
        </w:rPr>
        <w:t>常态化开展“两客一危”车辆及35家运输企业安全监管， 2025年开展各类安全检查10次，覆盖运输企业22家次、车辆350辆次、船舶25艘次，排查整改安全隐患12处，整改完成率100%，未发生重大安全生产责任事故。</w:t>
      </w:r>
    </w:p>
    <w:p>
      <w:pPr>
        <w:spacing w:line="560" w:lineRule="exact"/>
        <w:ind w:firstLineChars="200" w:firstLine="640"/>
        <w:rPr>
          <w:rFonts w:ascii="仿宋" w:eastAsia="仿宋" w:cs="仿宋"/>
          <w:sz w:val="32"/>
          <w:szCs w:val="32"/>
          <w:lang w:bidi="ar-SA"/>
        </w:rPr>
      </w:pPr>
      <w:r>
        <w:rPr>
          <w:rFonts w:ascii="仿宋" w:eastAsia="仿宋" w:cs="仿宋"/>
          <w:b/>
          <w:bCs/>
          <w:sz w:val="32"/>
          <w:szCs w:val="32"/>
        </w:rPr>
        <w:t>6.</w:t>
      </w:r>
      <w:r>
        <w:rPr>
          <w:rFonts w:ascii="仿宋" w:eastAsia="仿宋" w:cs="仿宋" w:hint="eastAsia"/>
          <w:b/>
          <w:bCs/>
          <w:sz w:val="32"/>
          <w:szCs w:val="32"/>
          <w:lang w:bidi="ar-SA"/>
        </w:rPr>
        <w:t>水上安全管理进一步深入</w:t>
      </w:r>
      <w:r>
        <w:rPr>
          <w:rFonts w:ascii="仿宋" w:eastAsia="仿宋" w:cs="仿宋"/>
          <w:b/>
          <w:bCs/>
          <w:sz w:val="32"/>
          <w:szCs w:val="32"/>
          <w:lang w:bidi="ar-SA"/>
        </w:rPr>
        <w:t>。</w:t>
      </w:r>
      <w:r>
        <w:rPr>
          <w:rFonts w:ascii="仿宋" w:eastAsia="仿宋" w:cs="仿宋" w:hint="eastAsia"/>
          <w:sz w:val="32"/>
          <w:szCs w:val="32"/>
          <w:lang w:bidi="ar-SA"/>
        </w:rPr>
        <w:t>联合乡镇、水利局、水库管理处等相关部门多措并举强化水上安全管理，严格划定水域活动禁区，聚焦节假日、旅游高峰期等重点时段，加密水上交通安全检查频次。截至</w:t>
      </w:r>
      <w:r>
        <w:rPr>
          <w:rFonts w:ascii="仿宋" w:eastAsia="仿宋" w:cs="仿宋"/>
          <w:sz w:val="32"/>
          <w:szCs w:val="32"/>
          <w:lang w:bidi="ar-SA"/>
        </w:rPr>
        <w:t>12月底</w:t>
      </w:r>
      <w:r>
        <w:rPr>
          <w:rFonts w:ascii="仿宋" w:eastAsia="仿宋" w:cs="仿宋" w:hint="eastAsia"/>
          <w:sz w:val="32"/>
          <w:szCs w:val="32"/>
          <w:lang w:bidi="ar-SA"/>
        </w:rPr>
        <w:t>，累计出动执法车辆95余次，投入执法人员300余人次，发放宣传资料450张。通过宣传与执法联动，水库周边非法行为显著减少，群众安全与环保意识明显提升。</w:t>
      </w:r>
    </w:p>
    <w:p>
      <w:pPr>
        <w:spacing w:line="560" w:lineRule="exact"/>
        <w:ind w:firstLineChars="200" w:firstLine="640"/>
        <w:rPr>
          <w:rFonts w:ascii="仿宋" w:eastAsia="仿宋" w:cs="仿宋" w:hAnsi="仿宋"/>
          <w:sz w:val="32"/>
          <w:szCs w:val="32"/>
        </w:rPr>
      </w:pPr>
      <w:r>
        <w:rPr>
          <w:rFonts w:ascii="仿宋" w:eastAsia="仿宋" w:cs="仿宋"/>
          <w:b/>
          <w:bCs/>
          <w:sz w:val="32"/>
          <w:szCs w:val="32"/>
          <w:lang w:bidi="ar-SA"/>
        </w:rPr>
        <w:t>7.法治化</w:t>
      </w:r>
      <w:r>
        <w:rPr>
          <w:rFonts w:ascii="仿宋" w:eastAsia="仿宋" w:cs="仿宋" w:hint="eastAsia"/>
          <w:b/>
          <w:bCs/>
          <w:sz w:val="32"/>
          <w:szCs w:val="32"/>
          <w:lang w:bidi="ar-SA"/>
        </w:rPr>
        <w:t>营商环境进一步优化</w:t>
      </w:r>
      <w:r>
        <w:rPr>
          <w:rFonts w:ascii="仿宋" w:eastAsia="仿宋" w:cs="仿宋"/>
          <w:b/>
          <w:bCs/>
          <w:sz w:val="32"/>
          <w:szCs w:val="32"/>
          <w:lang w:bidi="ar-SA"/>
        </w:rPr>
        <w:t>。</w:t>
      </w:r>
      <w:r>
        <w:rPr>
          <w:rFonts w:ascii="仿宋" w:eastAsia="仿宋" w:cs="仿宋" w:hAnsi="仿宋"/>
          <w:sz w:val="32"/>
          <w:szCs w:val="32"/>
        </w:rPr>
        <w:t>开展</w:t>
      </w:r>
      <w:r>
        <w:rPr>
          <w:rFonts w:ascii="仿宋" w:eastAsia="仿宋" w:cs="仿宋" w:hAnsi="仿宋" w:hint="eastAsia"/>
          <w:sz w:val="32"/>
          <w:szCs w:val="32"/>
        </w:rPr>
        <w:t>涉企行政检查专项行动</w:t>
      </w:r>
      <w:r>
        <w:rPr>
          <w:rFonts w:ascii="仿宋" w:eastAsia="仿宋" w:cs="仿宋" w:hAnsi="仿宋"/>
          <w:sz w:val="32"/>
          <w:szCs w:val="32"/>
        </w:rPr>
        <w:t>，</w:t>
      </w:r>
      <w:r>
        <w:rPr>
          <w:rFonts w:ascii="仿宋" w:eastAsia="仿宋" w:cs="仿宋" w:hAnsi="仿宋" w:hint="eastAsia"/>
          <w:sz w:val="32"/>
          <w:szCs w:val="32"/>
        </w:rPr>
        <w:t>以“减频次、优流程、提效能、强服务”为主线，从清单梳理、流程规范、质效提升三方面发力，着力解决涉企行政检查中的突出问题，做到“既不越位、也不缺位”，切实减轻企业负担。在专项行动中，我局</w:t>
      </w:r>
      <w:r>
        <w:rPr>
          <w:rFonts w:ascii="仿宋" w:eastAsia="仿宋" w:cs="仿宋" w:hAnsi="仿宋"/>
          <w:sz w:val="32"/>
          <w:szCs w:val="32"/>
        </w:rPr>
        <w:t>组织专项宣传行动2次，召开专题座谈会2次，发放调查问卷80余份，并通过</w:t>
      </w:r>
      <w:r>
        <w:rPr>
          <w:rFonts w:ascii="仿宋" w:eastAsia="仿宋" w:cs="仿宋" w:hAnsi="仿宋" w:hint="eastAsia"/>
          <w:sz w:val="32"/>
          <w:szCs w:val="32"/>
        </w:rPr>
        <w:t>自查发现问题1个，完成整改问题1个</w:t>
      </w:r>
      <w:r>
        <w:rPr>
          <w:rFonts w:ascii="仿宋" w:eastAsia="仿宋" w:cs="仿宋" w:hAnsi="仿宋"/>
          <w:sz w:val="32"/>
          <w:szCs w:val="32"/>
        </w:rPr>
        <w:t>。</w:t>
      </w:r>
    </w:p>
    <w:p>
      <w:pPr>
        <w:spacing w:line="560" w:lineRule="exact"/>
        <w:ind w:firstLineChars="200" w:firstLine="640"/>
        <w:rPr>
          <w:rFonts w:ascii="仿宋" w:eastAsia="仿宋" w:cs="仿宋" w:hAnsi="仿宋" w:hint="eastAsia"/>
          <w:sz w:val="32"/>
          <w:szCs w:val="32"/>
        </w:rPr>
      </w:pPr>
      <w:r>
        <w:rPr>
          <w:rFonts w:ascii="仿宋" w:eastAsia="仿宋" w:cs="仿宋" w:hAnsi="仿宋"/>
          <w:b/>
          <w:bCs/>
          <w:sz w:val="32"/>
          <w:szCs w:val="32"/>
        </w:rPr>
        <w:t>8</w:t>
      </w:r>
      <w:r>
        <w:rPr>
          <w:rFonts w:ascii="仿宋" w:eastAsia="仿宋" w:cs="仿宋" w:hAnsi="仿宋" w:hint="eastAsia"/>
          <w:b/>
          <w:bCs/>
          <w:sz w:val="32"/>
          <w:szCs w:val="32"/>
        </w:rPr>
        <w:t>.做好行政执法案卷评查</w:t>
      </w:r>
      <w:r>
        <w:rPr>
          <w:rFonts w:ascii="仿宋" w:eastAsia="仿宋" w:cs="仿宋" w:hAnsi="仿宋"/>
          <w:b/>
          <w:bCs/>
          <w:sz w:val="32"/>
          <w:szCs w:val="32"/>
        </w:rPr>
        <w:t>。</w:t>
      </w:r>
      <w:r>
        <w:rPr>
          <w:rFonts w:ascii="仿宋" w:eastAsia="仿宋" w:cs="仿宋" w:hAnsi="仿宋" w:hint="eastAsia"/>
          <w:sz w:val="32"/>
          <w:szCs w:val="32"/>
        </w:rPr>
        <w:t>对所有行政执法案卷做到了“一卷一评查”，案卷评查率达到了100%。</w:t>
      </w:r>
      <w:r>
        <w:rPr>
          <w:rFonts w:ascii="仿宋" w:eastAsia="仿宋" w:cs="仿宋" w:hint="eastAsia"/>
          <w:sz w:val="32"/>
          <w:szCs w:val="32"/>
          <w:lang w:bidi="ar-SA"/>
        </w:rPr>
        <w:t>2025年1-1</w:t>
      </w:r>
      <w:r>
        <w:rPr>
          <w:rFonts w:ascii="仿宋" w:eastAsia="仿宋" w:cs="仿宋"/>
          <w:sz w:val="32"/>
          <w:szCs w:val="32"/>
          <w:lang w:bidi="ar-SA"/>
        </w:rPr>
        <w:t>2</w:t>
      </w:r>
      <w:r>
        <w:rPr>
          <w:rFonts w:ascii="仿宋" w:eastAsia="仿宋" w:cs="仿宋" w:hint="eastAsia"/>
          <w:sz w:val="32"/>
          <w:szCs w:val="32"/>
          <w:lang w:bidi="ar-SA"/>
        </w:rPr>
        <w:t>月，我局共开展涉企行政检查</w:t>
      </w:r>
      <w:r>
        <w:rPr>
          <w:rFonts w:ascii="仿宋" w:eastAsia="仿宋" w:cs="仿宋"/>
          <w:sz w:val="32"/>
          <w:szCs w:val="32"/>
          <w:lang w:bidi="ar-SA"/>
        </w:rPr>
        <w:t>7</w:t>
      </w:r>
      <w:r>
        <w:rPr>
          <w:rFonts w:ascii="仿宋" w:eastAsia="仿宋" w:cs="仿宋" w:hint="eastAsia"/>
          <w:sz w:val="32"/>
          <w:szCs w:val="32"/>
          <w:lang w:bidi="ar-SA"/>
        </w:rPr>
        <w:t>次，与去年同期相比，检查次数下降了4</w:t>
      </w:r>
      <w:r>
        <w:rPr>
          <w:rFonts w:ascii="仿宋" w:eastAsia="仿宋" w:cs="仿宋"/>
          <w:sz w:val="32"/>
          <w:szCs w:val="32"/>
          <w:lang w:bidi="ar-SA"/>
        </w:rPr>
        <w:t>4</w:t>
      </w:r>
      <w:r>
        <w:rPr>
          <w:rFonts w:ascii="仿宋" w:eastAsia="仿宋" w:cs="仿宋" w:hint="eastAsia"/>
          <w:sz w:val="32"/>
          <w:szCs w:val="32"/>
          <w:lang w:bidi="ar-SA"/>
        </w:rPr>
        <w:t>%，促使我局涉企行政执法工作更加精准高效。</w:t>
      </w:r>
    </w:p>
    <w:p>
      <w:pPr>
        <w:spacing w:line="560" w:lineRule="exact"/>
        <w:ind w:firstLineChars="200" w:firstLine="640"/>
        <w:rPr>
          <w:rFonts w:ascii="黑体" w:eastAsia="黑体" w:cs="黑体" w:hAnsi="黑体" w:hint="eastAsia"/>
          <w:sz w:val="32"/>
          <w:szCs w:val="32"/>
        </w:rPr>
      </w:pPr>
      <w:r>
        <w:rPr>
          <w:rFonts w:ascii="黑体" w:eastAsia="黑体" w:cs="黑体" w:hAnsi="黑体" w:hint="eastAsia"/>
          <w:sz w:val="32"/>
          <w:szCs w:val="32"/>
        </w:rPr>
        <w:t>二、2025年度推进法治政府建设存在的不足和原因</w:t>
      </w:r>
    </w:p>
    <w:p>
      <w:pPr>
        <w:spacing w:line="560" w:lineRule="exact"/>
        <w:ind w:firstLineChars="200" w:firstLine="640"/>
        <w:rPr>
          <w:rFonts w:ascii="仿宋" w:eastAsia="仿宋" w:cs="仿宋" w:hAnsi="仿宋" w:hint="eastAsia"/>
          <w:sz w:val="32"/>
          <w:szCs w:val="32"/>
        </w:rPr>
      </w:pPr>
      <w:r>
        <w:rPr>
          <w:rFonts w:ascii="楷体" w:eastAsia="楷体" w:cs="楷体" w:hAnsi="楷体" w:hint="eastAsia"/>
          <w:b/>
          <w:bCs/>
          <w:sz w:val="32"/>
          <w:szCs w:val="32"/>
        </w:rPr>
        <w:t>（一）部分干部职工法治理念有待深化：</w:t>
      </w:r>
      <w:r>
        <w:rPr>
          <w:rFonts w:ascii="仿宋" w:eastAsia="仿宋" w:cs="仿宋" w:hAnsi="仿宋" w:hint="eastAsia"/>
          <w:sz w:val="32"/>
          <w:szCs w:val="32"/>
        </w:rPr>
        <w:t>对法治政府、法制部门建设的系统性、长期性认识仍需加强，运用法治思维和法治方式解决复杂问题的能力有待提升。</w:t>
      </w:r>
    </w:p>
    <w:p>
      <w:pPr>
        <w:spacing w:line="560" w:lineRule="exact"/>
        <w:ind w:firstLineChars="200" w:firstLine="640"/>
        <w:rPr>
          <w:rFonts w:ascii="仿宋" w:eastAsia="仿宋" w:cs="仿宋" w:hAnsi="仿宋" w:hint="eastAsia"/>
          <w:sz w:val="32"/>
          <w:szCs w:val="32"/>
        </w:rPr>
      </w:pPr>
      <w:r>
        <w:rPr>
          <w:rFonts w:ascii="楷体" w:eastAsia="楷体" w:cs="楷体" w:hAnsi="楷体" w:hint="eastAsia"/>
          <w:b/>
          <w:bCs/>
          <w:sz w:val="32"/>
          <w:szCs w:val="32"/>
        </w:rPr>
        <w:t>（二）执法服务水平还存在短板：</w:t>
      </w:r>
      <w:r>
        <w:rPr>
          <w:rFonts w:ascii="仿宋" w:eastAsia="仿宋" w:cs="仿宋" w:hAnsi="仿宋" w:hint="eastAsia"/>
          <w:sz w:val="32"/>
          <w:szCs w:val="32"/>
        </w:rPr>
        <w:t>部分执法人员法律专业知识和执法技能有待提高，法制审核力量相对薄弱。</w:t>
      </w:r>
    </w:p>
    <w:p>
      <w:pPr>
        <w:spacing w:line="560" w:lineRule="exact"/>
        <w:ind w:firstLineChars="200" w:firstLine="640"/>
        <w:rPr>
          <w:rFonts w:ascii="仿宋" w:eastAsia="仿宋" w:cs="仿宋" w:hAnsi="仿宋" w:hint="eastAsia"/>
          <w:sz w:val="32"/>
          <w:szCs w:val="32"/>
        </w:rPr>
      </w:pPr>
      <w:r>
        <w:rPr>
          <w:rFonts w:ascii="楷体" w:eastAsia="楷体" w:cs="楷体" w:hAnsi="楷体" w:hint="eastAsia"/>
          <w:b/>
          <w:bCs/>
          <w:sz w:val="32"/>
          <w:szCs w:val="32"/>
        </w:rPr>
        <w:t>（三）普法宣传的精准性和创新性有待增强：</w:t>
      </w:r>
      <w:r>
        <w:rPr>
          <w:rFonts w:ascii="仿宋" w:eastAsia="仿宋" w:cs="仿宋" w:hAnsi="仿宋" w:hint="eastAsia"/>
          <w:sz w:val="32"/>
          <w:szCs w:val="32"/>
        </w:rPr>
        <w:t>宣传形式有时较为传统，针对不同受众的差异化、订单式普法需进一步探索，普法实效有待提升。</w:t>
      </w:r>
    </w:p>
    <w:p>
      <w:pPr>
        <w:spacing w:line="560" w:lineRule="exact"/>
        <w:ind w:firstLineChars="200" w:firstLine="640"/>
        <w:rPr>
          <w:rFonts w:ascii="仿宋" w:eastAsia="仿宋" w:cs="仿宋" w:hAnsi="仿宋" w:hint="eastAsia"/>
          <w:sz w:val="32"/>
          <w:szCs w:val="32"/>
        </w:rPr>
      </w:pPr>
      <w:r>
        <w:rPr>
          <w:rFonts w:ascii="楷体" w:eastAsia="楷体" w:cs="楷体" w:hAnsi="楷体" w:hint="eastAsia"/>
          <w:b/>
          <w:bCs/>
          <w:sz w:val="32"/>
          <w:szCs w:val="32"/>
        </w:rPr>
        <w:t>（四）执法信息化、智能化应用水平需进一步提高：</w:t>
      </w:r>
      <w:r>
        <w:rPr>
          <w:rFonts w:ascii="仿宋" w:eastAsia="仿宋" w:cs="仿宋" w:hAnsi="仿宋" w:hint="eastAsia"/>
          <w:sz w:val="32"/>
          <w:szCs w:val="32"/>
        </w:rPr>
        <w:t>交通运输执法“嵌入式”数字监督等新型监管方式处于探索阶段，其效能有待持续释放和深化。</w:t>
      </w:r>
    </w:p>
    <w:p>
      <w:pPr>
        <w:spacing w:line="560" w:lineRule="exact"/>
        <w:ind w:firstLineChars="200" w:firstLine="640"/>
        <w:rPr>
          <w:rFonts w:ascii="仿宋" w:eastAsia="仿宋" w:cs="仿宋" w:hAnsi="仿宋" w:hint="eastAsia"/>
          <w:sz w:val="32"/>
          <w:szCs w:val="32"/>
        </w:rPr>
      </w:pPr>
      <w:r>
        <w:rPr>
          <w:rFonts w:ascii="楷体" w:eastAsia="楷体" w:cs="楷体" w:hAnsi="楷体" w:hint="eastAsia"/>
          <w:b/>
          <w:bCs/>
          <w:sz w:val="32"/>
          <w:szCs w:val="32"/>
        </w:rPr>
        <w:t>主要原因：</w:t>
      </w:r>
      <w:r>
        <w:rPr>
          <w:rFonts w:ascii="仿宋" w:eastAsia="仿宋" w:cs="仿宋" w:hAnsi="仿宋" w:hint="eastAsia"/>
          <w:sz w:val="32"/>
          <w:szCs w:val="32"/>
        </w:rPr>
        <w:t>对法治政府建设新要求、新任务的学习领会和转化应用不够深入；执法队伍专业化、职业化建设需持续加强；普法宣传资源整合和创新手段运用有待加强；新技术与执法实践深度融合需进一步推进。</w:t>
      </w:r>
    </w:p>
    <w:p>
      <w:pPr>
        <w:spacing w:line="560" w:lineRule="exact"/>
        <w:ind w:firstLineChars="200" w:firstLine="640"/>
        <w:rPr>
          <w:rFonts w:ascii="黑体" w:eastAsia="黑体" w:cs="黑体" w:hAnsi="黑体" w:hint="eastAsia"/>
          <w:sz w:val="32"/>
          <w:szCs w:val="32"/>
        </w:rPr>
      </w:pPr>
      <w:r>
        <w:rPr>
          <w:rFonts w:ascii="黑体" w:eastAsia="黑体" w:cs="黑体" w:hAnsi="黑体"/>
          <w:sz w:val="32"/>
          <w:szCs w:val="32"/>
        </w:rPr>
        <w:t>三</w:t>
      </w:r>
      <w:r>
        <w:rPr>
          <w:rFonts w:ascii="黑体" w:eastAsia="黑体" w:cs="黑体" w:hAnsi="黑体" w:hint="eastAsia"/>
          <w:sz w:val="32"/>
          <w:szCs w:val="32"/>
        </w:rPr>
        <w:t>、党政主要负责人履行推进法治建设第一责任人职责、加强法治政府建设有关情况</w:t>
      </w:r>
    </w:p>
    <w:p>
      <w:pPr>
        <w:spacing w:line="560" w:lineRule="exact"/>
        <w:ind w:firstLineChars="200" w:firstLine="640"/>
        <w:rPr>
          <w:rFonts w:ascii="楷体" w:eastAsia="楷体" w:cs="楷体" w:hAnsi="楷体" w:hint="eastAsia"/>
          <w:b/>
          <w:bCs/>
          <w:sz w:val="32"/>
          <w:szCs w:val="32"/>
        </w:rPr>
      </w:pPr>
      <w:r>
        <w:rPr>
          <w:rFonts w:ascii="楷体" w:eastAsia="楷体" w:cs="楷体" w:hAnsi="楷体" w:hint="eastAsia"/>
          <w:b/>
          <w:bCs/>
          <w:sz w:val="32"/>
          <w:szCs w:val="32"/>
        </w:rPr>
        <w:t>（一）带头强化法治学习</w:t>
      </w:r>
    </w:p>
    <w:p>
      <w:pPr>
        <w:spacing w:line="560" w:lineRule="exact"/>
        <w:ind w:firstLineChars="200" w:firstLine="640"/>
        <w:rPr>
          <w:rFonts w:ascii="仿宋" w:eastAsia="仿宋" w:cs="仿宋" w:hAnsi="仿宋" w:hint="eastAsia"/>
          <w:sz w:val="32"/>
          <w:szCs w:val="32"/>
        </w:rPr>
      </w:pPr>
      <w:r>
        <w:rPr>
          <w:rFonts w:ascii="仿宋" w:eastAsia="仿宋" w:cs="仿宋" w:hAnsi="仿宋" w:hint="eastAsia"/>
          <w:sz w:val="32"/>
          <w:szCs w:val="32"/>
        </w:rPr>
        <w:t>健全理论学习中心组学法制度，专题学习</w:t>
      </w:r>
      <w:r>
        <w:rPr>
          <w:rFonts w:ascii="仿宋" w:eastAsia="仿宋" w:cs="仿宋" w:hAnsi="仿宋"/>
          <w:sz w:val="32"/>
          <w:szCs w:val="32"/>
        </w:rPr>
        <w:t>习近平总书记对全面依法治国工作作出的重要指示精神、《论坚持全面依法治国》、《中国共产党纪律处分条例》</w:t>
      </w:r>
      <w:r>
        <w:rPr>
          <w:rFonts w:ascii="仿宋" w:eastAsia="仿宋" w:cs="仿宋" w:hAnsi="仿宋" w:hint="eastAsia"/>
          <w:sz w:val="32"/>
          <w:szCs w:val="32"/>
        </w:rPr>
        <w:t>等，在领导干部考核中，主动撰写领导干部年度</w:t>
      </w:r>
      <w:r>
        <w:rPr>
          <w:rFonts w:ascii="仿宋" w:eastAsia="仿宋" w:cs="仿宋" w:hAnsi="仿宋" w:hint="eastAsia"/>
          <w:bCs/>
          <w:sz w:val="32"/>
          <w:szCs w:val="32"/>
        </w:rPr>
        <w:t>述学述职述廉述法报告</w:t>
      </w:r>
      <w:r>
        <w:rPr>
          <w:rFonts w:ascii="仿宋" w:eastAsia="仿宋" w:cs="仿宋" w:hAnsi="仿宋" w:hint="eastAsia"/>
          <w:sz w:val="32"/>
          <w:szCs w:val="32"/>
        </w:rPr>
        <w:t>，将领导干部述法作为重要部分纳入领导干部考核之中。</w:t>
      </w:r>
    </w:p>
    <w:p>
      <w:pPr>
        <w:spacing w:line="560" w:lineRule="exact"/>
        <w:ind w:firstLineChars="200" w:firstLine="640"/>
        <w:rPr>
          <w:rFonts w:ascii="楷体" w:eastAsia="楷体" w:cs="楷体" w:hAnsi="楷体" w:hint="eastAsia"/>
          <w:b/>
          <w:bCs/>
          <w:sz w:val="32"/>
          <w:szCs w:val="32"/>
        </w:rPr>
      </w:pPr>
      <w:r>
        <w:rPr>
          <w:rFonts w:ascii="楷体" w:eastAsia="楷体" w:cs="楷体" w:hAnsi="楷体" w:hint="eastAsia"/>
          <w:b/>
          <w:bCs/>
          <w:sz w:val="32"/>
          <w:szCs w:val="32"/>
        </w:rPr>
        <w:t>（二）深入履行法治第一责任人职责</w:t>
      </w:r>
    </w:p>
    <w:p>
      <w:pPr>
        <w:spacing w:line="560" w:lineRule="exact"/>
        <w:ind w:firstLineChars="200" w:firstLine="640"/>
        <w:rPr>
          <w:rFonts w:ascii="仿宋" w:eastAsia="仿宋" w:cs="仿宋" w:hAnsi="仿宋"/>
          <w:sz w:val="32"/>
          <w:szCs w:val="32"/>
        </w:rPr>
      </w:pPr>
      <w:r>
        <w:rPr>
          <w:rFonts w:ascii="仿宋" w:eastAsia="仿宋" w:cs="仿宋" w:hAnsi="仿宋"/>
          <w:sz w:val="32"/>
          <w:szCs w:val="32"/>
        </w:rPr>
        <w:t>认真</w:t>
      </w:r>
      <w:r>
        <w:rPr>
          <w:rFonts w:ascii="仿宋" w:eastAsia="仿宋" w:cs="仿宋" w:hAnsi="仿宋" w:hint="eastAsia"/>
          <w:sz w:val="32"/>
          <w:szCs w:val="32"/>
        </w:rPr>
        <w:t>对照法治建设第一责任人职责清单</w:t>
      </w:r>
      <w:r>
        <w:rPr>
          <w:rFonts w:ascii="仿宋" w:eastAsia="仿宋" w:cs="仿宋" w:hAnsi="仿宋"/>
          <w:sz w:val="32"/>
          <w:szCs w:val="32"/>
        </w:rPr>
        <w:t>，</w:t>
      </w:r>
      <w:r>
        <w:rPr>
          <w:rFonts w:ascii="仿宋" w:eastAsia="仿宋" w:cs="仿宋" w:hAnsi="仿宋" w:hint="eastAsia"/>
          <w:sz w:val="32"/>
          <w:szCs w:val="32"/>
        </w:rPr>
        <w:t>带头落实法治建设第一责任人职责，督促班子成员在分管领域履行推进法治建设职责，将法治建设纳入年度工作计划和年度述职述廉重要内容，并定期向</w:t>
      </w:r>
      <w:r>
        <w:rPr>
          <w:rFonts w:ascii="仿宋" w:eastAsia="仿宋" w:cs="仿宋" w:hAnsi="仿宋"/>
          <w:sz w:val="32"/>
          <w:szCs w:val="32"/>
        </w:rPr>
        <w:t>县</w:t>
      </w:r>
      <w:r>
        <w:rPr>
          <w:rFonts w:ascii="仿宋" w:eastAsia="仿宋" w:cs="仿宋" w:hAnsi="仿宋" w:hint="eastAsia"/>
          <w:sz w:val="32"/>
          <w:szCs w:val="32"/>
        </w:rPr>
        <w:t>委</w:t>
      </w:r>
      <w:r>
        <w:rPr>
          <w:rFonts w:ascii="仿宋" w:eastAsia="仿宋" w:cs="仿宋" w:hAnsi="仿宋"/>
          <w:sz w:val="32"/>
          <w:szCs w:val="32"/>
        </w:rPr>
        <w:t>县</w:t>
      </w:r>
      <w:r>
        <w:rPr>
          <w:rFonts w:ascii="仿宋" w:eastAsia="仿宋" w:cs="仿宋" w:hAnsi="仿宋" w:hint="eastAsia"/>
          <w:sz w:val="32"/>
          <w:szCs w:val="32"/>
        </w:rPr>
        <w:t>政府报告上一年度推进法治建设情况</w:t>
      </w:r>
      <w:r>
        <w:rPr>
          <w:rFonts w:ascii="仿宋" w:eastAsia="仿宋" w:cs="仿宋" w:hAnsi="仿宋"/>
          <w:sz w:val="32"/>
          <w:szCs w:val="32"/>
        </w:rPr>
        <w:t>。</w:t>
      </w:r>
    </w:p>
    <w:p>
      <w:pPr>
        <w:spacing w:line="560" w:lineRule="exact"/>
        <w:ind w:firstLineChars="200" w:firstLine="640"/>
        <w:rPr>
          <w:rFonts w:ascii="黑体" w:eastAsia="黑体" w:cs="黑体" w:hAnsi="黑体" w:hint="eastAsia"/>
          <w:sz w:val="32"/>
          <w:szCs w:val="32"/>
        </w:rPr>
      </w:pPr>
      <w:r>
        <w:rPr>
          <w:rFonts w:ascii="黑体" w:eastAsia="黑体" w:cs="黑体" w:hAnsi="黑体"/>
          <w:sz w:val="32"/>
          <w:szCs w:val="32"/>
        </w:rPr>
        <w:t>四</w:t>
      </w:r>
      <w:r>
        <w:rPr>
          <w:rFonts w:ascii="黑体" w:eastAsia="黑体" w:cs="黑体" w:hAnsi="黑体" w:hint="eastAsia"/>
          <w:sz w:val="32"/>
          <w:szCs w:val="32"/>
        </w:rPr>
        <w:t>、2026年法治政府建设的主要安排</w:t>
      </w:r>
    </w:p>
    <w:p>
      <w:pPr>
        <w:spacing w:line="560" w:lineRule="exact"/>
        <w:ind w:firstLineChars="200" w:firstLine="640"/>
        <w:rPr>
          <w:rFonts w:ascii="楷体" w:eastAsia="楷体" w:cs="楷体" w:hAnsi="楷体" w:hint="eastAsia"/>
          <w:b/>
          <w:bCs/>
          <w:sz w:val="32"/>
          <w:szCs w:val="32"/>
        </w:rPr>
      </w:pPr>
      <w:r>
        <w:rPr>
          <w:rFonts w:ascii="楷体" w:eastAsia="楷体" w:cs="楷体" w:hAnsi="楷体" w:hint="eastAsia"/>
          <w:b/>
          <w:bCs/>
          <w:sz w:val="32"/>
          <w:szCs w:val="32"/>
        </w:rPr>
        <w:t>（一）加强法治人才培养，全面提升执法队伍专业化水平</w:t>
      </w:r>
    </w:p>
    <w:p>
      <w:pPr>
        <w:spacing w:line="560" w:lineRule="exact"/>
        <w:ind w:firstLineChars="200" w:firstLine="640"/>
        <w:rPr>
          <w:rFonts w:ascii="仿宋" w:eastAsia="仿宋" w:cs="仿宋" w:hAnsi="仿宋" w:hint="eastAsia"/>
          <w:sz w:val="32"/>
          <w:szCs w:val="32"/>
        </w:rPr>
      </w:pPr>
      <w:r>
        <w:rPr>
          <w:rFonts w:ascii="仿宋" w:eastAsia="仿宋" w:cs="仿宋" w:hAnsi="仿宋"/>
          <w:b/>
          <w:bCs/>
          <w:sz w:val="32"/>
          <w:szCs w:val="32"/>
        </w:rPr>
        <w:t>一</w:t>
      </w:r>
      <w:r>
        <w:rPr>
          <w:rFonts w:ascii="仿宋" w:eastAsia="仿宋" w:cs="仿宋" w:hAnsi="仿宋" w:hint="eastAsia"/>
          <w:b/>
          <w:bCs/>
          <w:sz w:val="32"/>
          <w:szCs w:val="32"/>
        </w:rPr>
        <w:t>是加强法治人才队伍建设</w:t>
      </w:r>
      <w:r>
        <w:rPr>
          <w:rFonts w:ascii="仿宋" w:eastAsia="仿宋" w:cs="仿宋" w:hAnsi="仿宋"/>
          <w:b/>
          <w:bCs/>
          <w:sz w:val="32"/>
          <w:szCs w:val="32"/>
        </w:rPr>
        <w:t>。</w:t>
      </w:r>
      <w:r>
        <w:rPr>
          <w:rFonts w:ascii="仿宋" w:eastAsia="仿宋" w:cs="仿宋" w:hAnsi="仿宋" w:hint="eastAsia"/>
          <w:sz w:val="32"/>
          <w:szCs w:val="32"/>
        </w:rPr>
        <w:t>围绕新修订法律法规、行业标准、执法程序等内容开展专题培训和案例教学，加大对执法人员的业务培训和法治教育力度，定期组织开展业务竞赛和岗位练兵活动，提高执法人员的业务能力和法治素养。</w:t>
      </w:r>
      <w:r>
        <w:rPr>
          <w:rFonts w:ascii="仿宋" w:eastAsia="仿宋" w:cs="仿宋" w:hAnsi="仿宋"/>
          <w:b/>
          <w:bCs/>
          <w:sz w:val="32"/>
          <w:szCs w:val="32"/>
        </w:rPr>
        <w:t>二</w:t>
      </w:r>
      <w:r>
        <w:rPr>
          <w:rFonts w:ascii="仿宋" w:eastAsia="仿宋" w:cs="仿宋" w:hAnsi="仿宋" w:hint="eastAsia"/>
          <w:b/>
          <w:bCs/>
          <w:sz w:val="32"/>
          <w:szCs w:val="32"/>
        </w:rPr>
        <w:t>是建立执法人员绩效考核体系</w:t>
      </w:r>
      <w:r>
        <w:rPr>
          <w:rFonts w:ascii="仿宋" w:eastAsia="仿宋" w:cs="仿宋" w:hAnsi="仿宋"/>
          <w:b/>
          <w:bCs/>
          <w:sz w:val="32"/>
          <w:szCs w:val="32"/>
        </w:rPr>
        <w:t>。</w:t>
      </w:r>
      <w:r>
        <w:rPr>
          <w:rFonts w:ascii="仿宋" w:eastAsia="仿宋" w:cs="仿宋" w:hAnsi="仿宋" w:hint="eastAsia"/>
          <w:sz w:val="32"/>
          <w:szCs w:val="32"/>
        </w:rPr>
        <w:t>将学法用法、执法规范化情况纳入考核，激励执法人员不断提升业务素质。</w:t>
      </w:r>
    </w:p>
    <w:p>
      <w:pPr>
        <w:spacing w:line="560" w:lineRule="exact"/>
        <w:ind w:firstLineChars="200" w:firstLine="640"/>
        <w:rPr>
          <w:rFonts w:ascii="楷体" w:eastAsia="楷体" w:cs="楷体" w:hAnsi="楷体" w:hint="eastAsia"/>
          <w:b/>
          <w:bCs/>
          <w:sz w:val="32"/>
          <w:szCs w:val="32"/>
        </w:rPr>
      </w:pPr>
      <w:r>
        <w:rPr>
          <w:rFonts w:ascii="楷体" w:eastAsia="楷体" w:cs="楷体" w:hAnsi="楷体" w:hint="eastAsia"/>
          <w:b/>
          <w:bCs/>
          <w:sz w:val="32"/>
          <w:szCs w:val="32"/>
        </w:rPr>
        <w:t>（二）提升行政执法信息化水平，加快推进智慧执法建设</w:t>
      </w:r>
    </w:p>
    <w:p>
      <w:pPr>
        <w:spacing w:line="560" w:lineRule="exact"/>
        <w:ind w:firstLineChars="200" w:firstLine="640"/>
        <w:rPr>
          <w:rFonts w:ascii="仿宋" w:eastAsia="仿宋" w:cs="仿宋" w:hAnsi="仿宋"/>
          <w:sz w:val="32"/>
          <w:szCs w:val="32"/>
        </w:rPr>
      </w:pPr>
      <w:r>
        <w:rPr>
          <w:rFonts w:ascii="仿宋" w:eastAsia="仿宋" w:cs="仿宋" w:hAnsi="仿宋"/>
          <w:b/>
          <w:bCs/>
          <w:sz w:val="32"/>
          <w:szCs w:val="32"/>
        </w:rPr>
        <w:t>一是整合现有执法信息系统。</w:t>
      </w:r>
      <w:r>
        <w:rPr>
          <w:rFonts w:ascii="仿宋" w:eastAsia="仿宋" w:cs="仿宋" w:hAnsi="仿宋"/>
          <w:sz w:val="32"/>
          <w:szCs w:val="32"/>
        </w:rPr>
        <w:t>完善案件办理、现场执法、证据管理、统计分析等功能，提高执法流程信息化、规范化水平。</w:t>
      </w:r>
      <w:r>
        <w:rPr>
          <w:rFonts w:ascii="仿宋" w:eastAsia="仿宋" w:cs="仿宋" w:hAnsi="仿宋"/>
          <w:b/>
          <w:bCs/>
          <w:sz w:val="32"/>
          <w:szCs w:val="32"/>
        </w:rPr>
        <w:t>二是打破信息壁垒。</w:t>
      </w:r>
      <w:r>
        <w:rPr>
          <w:rFonts w:ascii="仿宋" w:eastAsia="仿宋" w:cs="仿宋" w:hAnsi="仿宋"/>
          <w:sz w:val="32"/>
          <w:szCs w:val="32"/>
        </w:rPr>
        <w:t>加强与公安、市场监管、应急管理等部门的数据交换，提升联合监管和协同执法能力。</w:t>
      </w:r>
      <w:r>
        <w:rPr>
          <w:rFonts w:ascii="仿宋" w:eastAsia="仿宋" w:cs="仿宋" w:hAnsi="仿宋"/>
          <w:b/>
          <w:bCs/>
          <w:sz w:val="32"/>
          <w:szCs w:val="32"/>
        </w:rPr>
        <w:t>三是加强信息化设备配备和更新。</w:t>
      </w:r>
      <w:r>
        <w:rPr>
          <w:rFonts w:ascii="仿宋" w:eastAsia="仿宋" w:cs="仿宋" w:hAnsi="仿宋"/>
          <w:sz w:val="32"/>
          <w:szCs w:val="32"/>
        </w:rPr>
        <w:t>为一线执法人员配备移动执法终端、记录仪等设备，提高现场执法效率。</w:t>
      </w:r>
    </w:p>
    <w:p>
      <w:pPr>
        <w:spacing w:line="560" w:lineRule="exact"/>
        <w:ind w:firstLineChars="200" w:firstLine="640"/>
        <w:rPr>
          <w:rFonts w:ascii="楷体" w:eastAsia="楷体" w:cs="楷体" w:hAnsi="楷体"/>
          <w:b/>
          <w:bCs/>
          <w:sz w:val="32"/>
          <w:szCs w:val="32"/>
        </w:rPr>
      </w:pPr>
      <w:r>
        <w:rPr>
          <w:rFonts w:ascii="楷体" w:eastAsia="楷体" w:cs="楷体" w:hAnsi="楷体"/>
          <w:b/>
          <w:bCs/>
          <w:sz w:val="32"/>
          <w:szCs w:val="32"/>
        </w:rPr>
        <w:t>（三）增强法治宣传教育实效，全面提升全民交通法治意识</w:t>
      </w:r>
    </w:p>
    <w:p>
      <w:pPr>
        <w:spacing w:line="560" w:lineRule="exact"/>
        <w:ind w:firstLineChars="200" w:firstLine="640"/>
        <w:rPr>
          <w:rFonts w:ascii="仿宋" w:eastAsia="仿宋" w:cs="仿宋" w:hAnsi="仿宋"/>
          <w:sz w:val="32"/>
          <w:szCs w:val="32"/>
        </w:rPr>
      </w:pPr>
      <w:r>
        <w:rPr>
          <w:rFonts w:ascii="仿宋" w:eastAsia="仿宋" w:cs="仿宋" w:hAnsi="仿宋" w:hint="eastAsia"/>
          <w:sz w:val="32"/>
          <w:szCs w:val="32"/>
        </w:rPr>
        <w:t>创新法治宣传教育方式方法，根据不同群体的特点和需求，制定有针对性的普法方案。充分利用新媒体平台，制作群众喜闻乐见的法治宣传作品，增强法治宣传教育的吸引力和感染力，提高群众对交通运输法律法规的知晓度和认同感。</w:t>
      </w:r>
    </w:p>
    <w:p>
      <w:pPr>
        <w:spacing w:line="560" w:lineRule="exact"/>
        <w:ind w:firstLineChars="200" w:firstLine="640"/>
        <w:rPr>
          <w:rFonts w:ascii="仿宋" w:eastAsia="仿宋" w:cs="仿宋" w:hAnsi="仿宋"/>
          <w:sz w:val="32"/>
          <w:szCs w:val="32"/>
        </w:rPr>
      </w:pPr>
    </w:p>
    <w:p>
      <w:pPr>
        <w:spacing w:line="560" w:lineRule="exact"/>
        <w:ind w:firstLineChars="200" w:firstLine="640"/>
        <w:rPr>
          <w:rFonts w:ascii="仿宋" w:eastAsia="仿宋" w:cs="仿宋" w:hAnsi="仿宋"/>
          <w:sz w:val="32"/>
          <w:szCs w:val="32"/>
        </w:rPr>
      </w:pPr>
    </w:p>
    <w:p>
      <w:pPr>
        <w:spacing w:line="560" w:lineRule="exact"/>
        <w:ind w:firstLineChars="200" w:firstLine="640"/>
        <w:rPr>
          <w:rFonts w:ascii="仿宋" w:eastAsia="仿宋" w:cs="仿宋" w:hAnsi="仿宋"/>
          <w:sz w:val="32"/>
          <w:szCs w:val="32"/>
        </w:rPr>
      </w:pPr>
    </w:p>
    <w:p>
      <w:pPr>
        <w:spacing w:line="560" w:lineRule="exact"/>
        <w:ind w:firstLineChars="1400" w:firstLine="4480"/>
        <w:rPr>
          <w:rFonts w:ascii="仿宋" w:eastAsia="仿宋" w:cs="仿宋" w:hAnsi="仿宋" w:hint="eastAsia"/>
          <w:sz w:val="32"/>
          <w:szCs w:val="32"/>
        </w:rPr>
      </w:pPr>
      <w:r>
        <w:rPr>
          <w:rFonts w:ascii="仿宋" w:eastAsia="仿宋" w:cs="仿宋" w:hAnsi="仿宋"/>
          <w:sz w:val="32"/>
          <w:szCs w:val="32"/>
        </w:rPr>
        <w:t>2026年2月28日</w:t>
      </w:r>
    </w:p>
    <w:sectPr>
      <w:footerReference w:type="default" r:id="rId2"/>
      <w:footerReference w:type="even" r:id="rId3"/>
      <w:footerReference w:type="first" r:id="rId4"/>
      <w:pgSz w:w="11906" w:h="16838"/>
      <w:pgMar w:top="1440" w:right="1800" w:bottom="1440" w:left="1800" w:header="851" w:footer="992" w:gutter="0"/>
      <w:pgNumType/>
      <w:cols w:num="1" w:space="425"/>
      <w:docGrid w:type="lines" w:linePitch="312" w:charSpace="-4915"/>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auto"/>
    <w:pitch w:val="variable"/>
    <w:sig w:usb0="800002BF" w:usb1="38CF7CFA" w:usb2="00000016" w:usb3="00000000" w:csb0="00040001" w:csb1="00000000"/>
  </w:font>
  <w:font w:name="黑体">
    <w:panose1 w:val="02010609060101010101"/>
    <w:charset w:val="86"/>
    <w:family w:val="auto"/>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pPr>
    <w:r>
      <w:rPr>
        <w:rStyle w:val="17"/>
      </w:rPr>
      <w:fldChar w:fldCharType="begin"/>
    </w:r>
    <w:r>
      <w:rPr>
        <w:rStyle w:val="17"/>
      </w:rPr>
      <w:instrText>Page</w:instrText>
    </w:r>
    <w:r>
      <w:rPr>
        <w:rStyle w:val="17"/>
      </w:rPr>
      <w:fldChar w:fldCharType="separate"/>
    </w:r>
    <w:r>
      <w:rPr>
        <w:rStyle w:val="17"/>
      </w:rPr>
      <w:t>1</w:t>
    </w:r>
    <w:r>
      <w:rPr>
        <w:rStyle w:val="17"/>
      </w:rPr>
      <w:fldChar w:fldCharType="end"/>
    </w:r>
  </w:p>
  <w:p>
    <w:pPr>
      <w:pStyle w:val="16"/>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pPr>
    <w:r>
      <w:rPr>
        <w:rStyle w:val="17"/>
      </w:rPr>
      <w:fldChar w:fldCharType="begin"/>
    </w:r>
    <w:r>
      <w:rPr>
        <w:rStyle w:val="17"/>
      </w:rPr>
      <w:instrText>Page</w:instrText>
    </w:r>
    <w:r>
      <w:rPr>
        <w:rStyle w:val="17"/>
      </w:rPr>
      <w:fldChar w:fldCharType="separate"/>
    </w:r>
    <w:r>
      <w:rPr>
        <w:rStyle w:val="17"/>
      </w:rPr>
      <w:t>1</w:t>
    </w:r>
    <w:r>
      <w:rPr>
        <w:rStyle w:val="17"/>
      </w:rPr>
      <w:fldChar w:fldCharType="end"/>
    </w:r>
  </w:p>
  <w:p>
    <w:pPr>
      <w:pStyle w:val="16"/>
      <w:tabs>
        <w:tab w:val="center" w:pos="4153"/>
        <w:tab w:val="right" w:pos="8307"/>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6"/>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pPr>
    <w:r>
      <w:rPr>
        <w:rStyle w:val="17"/>
      </w:rPr>
      <w:fldChar w:fldCharType="begin"/>
    </w:r>
    <w:r>
      <w:rPr>
        <w:rStyle w:val="17"/>
      </w:rPr>
      <w:instrText>Page</w:instrText>
    </w:r>
    <w:r>
      <w:rPr>
        <w:rStyle w:val="17"/>
      </w:rPr>
      <w:fldChar w:fldCharType="separate"/>
    </w:r>
    <w:r>
      <w:rPr>
        <w:rStyle w:val="17"/>
      </w:rPr>
      <w:t>1</w:t>
    </w:r>
    <w:r>
      <w:rPr>
        <w:rStyle w:val="17"/>
      </w:rPr>
      <w:fldChar w:fldCharType="end"/>
    </w:r>
  </w:p>
  <w:p>
    <w:pPr>
      <w:pStyle w:val="16"/>
      <w:tabs>
        <w:tab w:val="center" w:pos="4153"/>
        <w:tab w:val="right" w:pos="8307"/>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isplayBackgroundShape/>
  <w:bordersDoNotSurroundHeader/>
  <w:bordersDoNotSurroundFooter/>
  <w:defaultTabStop w:val="420"/>
  <w:drawingGridHorizontalSpacing w:val="105"/>
  <w:drawingGridVerticalSpacing w:val="156"/>
  <w:displayHorizontalDrawingGridEvery w:val="0"/>
  <w:displayVerticalDrawingGridEvery w:val="2"/>
  <w:noPunctuationKerning/>
  <w:noLineBreaksAfter w:lang="zh-CN" w:val="$([{£¥·‘“〈《「『【〔〖〝﹙﹛﹝＄（．［｛￡￥"/>
  <w:noLineBreaksBefore w:lang="zh-CN" w:val="!%),.:;&gt;?]}¢¨°·ˇˉ―‖’”…‰′″›℃∶、。〃〉》」』】〕〗〞︶︺︾﹀﹄﹚﹜﹞！＂％＇），．：；？］｀｜｝～￠"/>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spacing w:line="240" w:lineRule="auto"/>
      <w:jc w:val="left"/>
    </w:pPr>
    <w:rPr>
      <w:rFonts w:ascii="宋体" w:eastAsia="宋体" w:cs="Arial" w:hAnsi="Times New Roman"/>
      <w:kern w:val="2"/>
      <w:sz w:val="24"/>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szCs w:val="18"/>
    </w:rPr>
  </w:style>
  <w:style w:type="paragraph" w:styleId="16">
    <w:name w:val="footer"/>
    <w:basedOn w:val="0"/>
    <w:pPr>
      <w:tabs>
        <w:tab w:val="center" w:pos="4153"/>
        <w:tab w:val="right" w:pos="8307"/>
      </w:tabs>
      <w:snapToGrid w:val="0"/>
      <w:jc w:val="left"/>
    </w:pPr>
    <w:rPr>
      <w:sz w:val="18"/>
      <w:szCs w:val="18"/>
    </w:rPr>
  </w:style>
  <w:style w:type="character" w:styleId="17">
    <w:name w:val="page number"/>
    <w:basedOn w:val="10"/>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27C0C07A-076D-4B03-BCE5-9707FA5BCFA4}">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133</TotalTime>
  <Application>Yozo_Office27021597764231179</Application>
  <Pages>6</Pages>
  <Words>0</Words>
  <Characters>2147</Characters>
  <Lines>0</Lines>
  <Paragraphs>40</Paragraphs>
  <CharactersWithSpaces>2863</CharactersWithSpaces>
  <Company>Yozosoft</Company>
</Properties>
</file>

<file path=docProps/core.xml><?xml version="1.0" encoding="utf-8"?>
<cp:coreProperties xmlns:cp="http://schemas.openxmlformats.org/package/2006/metadata/core-properties" xmlns:dc="http://purl.org/dc/elements/1.1/" xmlns:dcterms="http://purl.org/dc/terms/" xmlns:xsi="http://www.w3.org/2001/XMLSchema-instance">
  <dc:creator>User274</dc:creator>
  <cp:lastModifiedBy>Administrator</cp:lastModifiedBy>
  <cp:revision>1</cp:revision>
  <dcterms:created xsi:type="dcterms:W3CDTF">2021-05-08T07:28:00Z</dcterms:created>
  <dcterms:modified xsi:type="dcterms:W3CDTF">2026-02-28T07:13:19Z</dcterms:modified>
</cp:coreProperties>
</file>