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B4A5D">
      <w:pPr>
        <w:spacing w:line="592" w:lineRule="exact"/>
        <w:jc w:val="center"/>
        <w:rPr>
          <w:rFonts w:ascii="Times New Roman" w:hAnsi="Times New Roman" w:eastAsia="方正小标宋简体"/>
          <w:sz w:val="44"/>
          <w:szCs w:val="44"/>
        </w:rPr>
      </w:pPr>
      <w:bookmarkStart w:id="2" w:name="_GoBack"/>
      <w:bookmarkStart w:id="0" w:name="OLE_LINK2"/>
      <w:bookmarkStart w:id="1" w:name="OLE_LINK1"/>
      <w:r>
        <w:rPr>
          <w:rFonts w:ascii="Times New Roman" w:hAnsi="Times New Roman" w:eastAsia="方正小标宋简体"/>
          <w:sz w:val="44"/>
          <w:szCs w:val="44"/>
        </w:rPr>
        <w:t>“对安全生产检测检验、安全评价等中介机构的行政检查”的检查标准</w:t>
      </w:r>
      <w:bookmarkEnd w:id="2"/>
    </w:p>
    <w:bookmarkEnd w:id="0"/>
    <w:bookmarkEnd w:id="1"/>
    <w:tbl>
      <w:tblPr>
        <w:tblStyle w:val="4"/>
        <w:tblW w:w="13041" w:type="dxa"/>
        <w:jc w:val="center"/>
        <w:tblLayout w:type="fixed"/>
        <w:tblCellMar>
          <w:top w:w="0" w:type="dxa"/>
          <w:left w:w="28" w:type="dxa"/>
          <w:bottom w:w="0" w:type="dxa"/>
          <w:right w:w="28" w:type="dxa"/>
        </w:tblCellMar>
      </w:tblPr>
      <w:tblGrid>
        <w:gridCol w:w="548"/>
        <w:gridCol w:w="1863"/>
        <w:gridCol w:w="1276"/>
        <w:gridCol w:w="5812"/>
        <w:gridCol w:w="3542"/>
      </w:tblGrid>
      <w:tr w14:paraId="2C8544D5">
        <w:tblPrEx>
          <w:tblCellMar>
            <w:top w:w="0" w:type="dxa"/>
            <w:left w:w="28" w:type="dxa"/>
            <w:bottom w:w="0" w:type="dxa"/>
            <w:right w:w="28" w:type="dxa"/>
          </w:tblCellMar>
        </w:tblPrEx>
        <w:trPr>
          <w:wBefore w:w="0" w:type="dxa"/>
          <w:wAfter w:w="0" w:type="dxa"/>
          <w:cantSplit/>
          <w:trHeight w:val="454" w:hRule="atLeast"/>
          <w:tblHeader/>
          <w:jc w:val="center"/>
        </w:trPr>
        <w:tc>
          <w:tcPr>
            <w:tcW w:w="548" w:type="dxa"/>
            <w:tcBorders>
              <w:top w:val="single" w:color="auto" w:sz="4" w:space="0"/>
              <w:left w:val="single" w:color="auto" w:sz="4" w:space="0"/>
              <w:bottom w:val="single" w:color="auto" w:sz="4" w:space="0"/>
              <w:right w:val="single" w:color="auto" w:sz="4" w:space="0"/>
            </w:tcBorders>
            <w:noWrap w:val="0"/>
            <w:vAlign w:val="center"/>
          </w:tcPr>
          <w:p w14:paraId="2F0EBE86">
            <w:pPr>
              <w:widowControl/>
              <w:spacing w:line="360" w:lineRule="atLeast"/>
              <w:jc w:val="center"/>
              <w:rPr>
                <w:rFonts w:ascii="黑体" w:hAnsi="黑体" w:eastAsia="黑体"/>
                <w:bCs/>
                <w:color w:val="000000"/>
                <w:kern w:val="0"/>
                <w:sz w:val="24"/>
                <w:szCs w:val="24"/>
              </w:rPr>
            </w:pPr>
            <w:r>
              <w:rPr>
                <w:rFonts w:ascii="黑体" w:hAnsi="黑体" w:eastAsia="黑体"/>
                <w:bCs/>
                <w:color w:val="000000"/>
                <w:kern w:val="0"/>
                <w:sz w:val="24"/>
                <w:szCs w:val="24"/>
              </w:rPr>
              <w:t>序号</w:t>
            </w:r>
          </w:p>
        </w:tc>
        <w:tc>
          <w:tcPr>
            <w:tcW w:w="1863" w:type="dxa"/>
            <w:tcBorders>
              <w:top w:val="single" w:color="auto" w:sz="4" w:space="0"/>
              <w:left w:val="nil"/>
              <w:bottom w:val="single" w:color="auto" w:sz="4" w:space="0"/>
              <w:right w:val="single" w:color="auto" w:sz="4" w:space="0"/>
            </w:tcBorders>
            <w:noWrap w:val="0"/>
            <w:vAlign w:val="center"/>
          </w:tcPr>
          <w:p w14:paraId="1227B9E2">
            <w:pPr>
              <w:widowControl/>
              <w:spacing w:line="360" w:lineRule="atLeast"/>
              <w:jc w:val="center"/>
              <w:rPr>
                <w:rFonts w:ascii="黑体" w:hAnsi="黑体" w:eastAsia="黑体"/>
                <w:color w:val="000000"/>
                <w:kern w:val="0"/>
                <w:sz w:val="24"/>
                <w:szCs w:val="24"/>
              </w:rPr>
            </w:pPr>
            <w:r>
              <w:rPr>
                <w:rFonts w:ascii="黑体" w:hAnsi="黑体" w:eastAsia="黑体"/>
                <w:color w:val="000000"/>
                <w:kern w:val="0"/>
                <w:sz w:val="24"/>
                <w:szCs w:val="24"/>
              </w:rPr>
              <w:t>检查内容</w:t>
            </w:r>
          </w:p>
        </w:tc>
        <w:tc>
          <w:tcPr>
            <w:tcW w:w="1276" w:type="dxa"/>
            <w:tcBorders>
              <w:top w:val="single" w:color="auto" w:sz="4" w:space="0"/>
              <w:left w:val="nil"/>
              <w:bottom w:val="single" w:color="auto" w:sz="4" w:space="0"/>
              <w:right w:val="single" w:color="auto" w:sz="4" w:space="0"/>
            </w:tcBorders>
            <w:noWrap w:val="0"/>
            <w:vAlign w:val="center"/>
          </w:tcPr>
          <w:p w14:paraId="770F5511">
            <w:pPr>
              <w:widowControl/>
              <w:spacing w:line="360" w:lineRule="atLeast"/>
              <w:jc w:val="center"/>
              <w:rPr>
                <w:rFonts w:ascii="黑体" w:hAnsi="黑体" w:eastAsia="黑体"/>
                <w:color w:val="000000"/>
                <w:kern w:val="0"/>
                <w:sz w:val="24"/>
                <w:szCs w:val="24"/>
              </w:rPr>
            </w:pPr>
            <w:r>
              <w:rPr>
                <w:rFonts w:ascii="黑体" w:hAnsi="黑体" w:eastAsia="黑体"/>
                <w:color w:val="000000"/>
                <w:kern w:val="0"/>
                <w:sz w:val="24"/>
                <w:szCs w:val="24"/>
              </w:rPr>
              <w:t>检查方法</w:t>
            </w:r>
          </w:p>
        </w:tc>
        <w:tc>
          <w:tcPr>
            <w:tcW w:w="5812" w:type="dxa"/>
            <w:tcBorders>
              <w:top w:val="single" w:color="auto" w:sz="4" w:space="0"/>
              <w:left w:val="nil"/>
              <w:bottom w:val="single" w:color="auto" w:sz="4" w:space="0"/>
              <w:right w:val="single" w:color="auto" w:sz="4" w:space="0"/>
            </w:tcBorders>
            <w:noWrap w:val="0"/>
            <w:vAlign w:val="center"/>
          </w:tcPr>
          <w:p w14:paraId="28583544">
            <w:pPr>
              <w:widowControl/>
              <w:spacing w:line="360" w:lineRule="atLeast"/>
              <w:jc w:val="center"/>
              <w:rPr>
                <w:rFonts w:ascii="黑体" w:hAnsi="黑体" w:eastAsia="黑体"/>
                <w:color w:val="000000"/>
                <w:kern w:val="0"/>
                <w:sz w:val="24"/>
                <w:szCs w:val="24"/>
              </w:rPr>
            </w:pPr>
            <w:r>
              <w:rPr>
                <w:rFonts w:ascii="黑体" w:hAnsi="黑体" w:eastAsia="黑体"/>
                <w:color w:val="000000"/>
                <w:kern w:val="0"/>
                <w:sz w:val="24"/>
                <w:szCs w:val="24"/>
              </w:rPr>
              <w:t>检查依据</w:t>
            </w:r>
          </w:p>
        </w:tc>
        <w:tc>
          <w:tcPr>
            <w:tcW w:w="3542" w:type="dxa"/>
            <w:tcBorders>
              <w:top w:val="single" w:color="auto" w:sz="4" w:space="0"/>
              <w:left w:val="nil"/>
              <w:bottom w:val="single" w:color="auto" w:sz="4" w:space="0"/>
              <w:right w:val="single" w:color="auto" w:sz="4" w:space="0"/>
            </w:tcBorders>
            <w:noWrap w:val="0"/>
            <w:vAlign w:val="center"/>
          </w:tcPr>
          <w:p w14:paraId="1972F2F4">
            <w:pPr>
              <w:widowControl/>
              <w:spacing w:line="360" w:lineRule="atLeast"/>
              <w:jc w:val="center"/>
              <w:rPr>
                <w:rFonts w:ascii="黑体" w:hAnsi="黑体" w:eastAsia="黑体"/>
                <w:color w:val="000000"/>
                <w:kern w:val="0"/>
                <w:sz w:val="24"/>
                <w:szCs w:val="24"/>
              </w:rPr>
            </w:pPr>
            <w:r>
              <w:rPr>
                <w:rFonts w:ascii="黑体" w:hAnsi="黑体" w:eastAsia="黑体"/>
                <w:color w:val="000000"/>
                <w:kern w:val="0"/>
                <w:sz w:val="24"/>
                <w:szCs w:val="24"/>
              </w:rPr>
              <w:t>常见问题示例</w:t>
            </w:r>
          </w:p>
        </w:tc>
      </w:tr>
      <w:tr w14:paraId="3464F9E0">
        <w:tblPrEx>
          <w:tblCellMar>
            <w:top w:w="0" w:type="dxa"/>
            <w:left w:w="28" w:type="dxa"/>
            <w:bottom w:w="0" w:type="dxa"/>
            <w:right w:w="28" w:type="dxa"/>
          </w:tblCellMar>
        </w:tblPrEx>
        <w:trPr>
          <w:wBefore w:w="0" w:type="dxa"/>
          <w:wAfter w:w="0" w:type="dxa"/>
          <w:cantSplit/>
          <w:trHeight w:val="454" w:hRule="atLeast"/>
          <w:jc w:val="center"/>
        </w:trPr>
        <w:tc>
          <w:tcPr>
            <w:tcW w:w="548" w:type="dxa"/>
            <w:tcBorders>
              <w:top w:val="nil"/>
              <w:left w:val="single" w:color="auto" w:sz="4" w:space="0"/>
              <w:bottom w:val="single" w:color="auto" w:sz="4" w:space="0"/>
              <w:right w:val="single" w:color="auto" w:sz="4" w:space="0"/>
            </w:tcBorders>
            <w:noWrap w:val="0"/>
            <w:vAlign w:val="center"/>
          </w:tcPr>
          <w:p w14:paraId="042BEFF8">
            <w:pPr>
              <w:widowControl/>
              <w:spacing w:line="360" w:lineRule="atLeas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w:t>
            </w:r>
          </w:p>
        </w:tc>
        <w:tc>
          <w:tcPr>
            <w:tcW w:w="1863" w:type="dxa"/>
            <w:tcBorders>
              <w:top w:val="nil"/>
              <w:left w:val="nil"/>
              <w:bottom w:val="single" w:color="auto" w:sz="4" w:space="0"/>
              <w:right w:val="single" w:color="auto" w:sz="4" w:space="0"/>
            </w:tcBorders>
            <w:noWrap w:val="0"/>
            <w:vAlign w:val="center"/>
          </w:tcPr>
          <w:p w14:paraId="007E5A91">
            <w:pPr>
              <w:widowControl/>
              <w:spacing w:line="360" w:lineRule="atLeas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安全评价、安全生产检测检验资质</w:t>
            </w:r>
          </w:p>
        </w:tc>
        <w:tc>
          <w:tcPr>
            <w:tcW w:w="1276" w:type="dxa"/>
            <w:tcBorders>
              <w:top w:val="nil"/>
              <w:left w:val="nil"/>
              <w:bottom w:val="single" w:color="auto" w:sz="4" w:space="0"/>
              <w:right w:val="single" w:color="auto" w:sz="4" w:space="0"/>
            </w:tcBorders>
            <w:noWrap w:val="0"/>
            <w:vAlign w:val="center"/>
          </w:tcPr>
          <w:p w14:paraId="0DDF088C">
            <w:pPr>
              <w:widowControl/>
              <w:spacing w:line="360" w:lineRule="atLeas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查验证书</w:t>
            </w:r>
          </w:p>
        </w:tc>
        <w:tc>
          <w:tcPr>
            <w:tcW w:w="5812" w:type="dxa"/>
            <w:tcBorders>
              <w:top w:val="nil"/>
              <w:left w:val="nil"/>
              <w:bottom w:val="single" w:color="auto" w:sz="4" w:space="0"/>
              <w:right w:val="single" w:color="auto" w:sz="4" w:space="0"/>
            </w:tcBorders>
            <w:noWrap w:val="0"/>
            <w:vAlign w:val="center"/>
          </w:tcPr>
          <w:p w14:paraId="15E7EA02">
            <w:pPr>
              <w:widowControl/>
              <w:spacing w:line="360" w:lineRule="atLeas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部门规章〕《安全评价检测检验机构管理办法》（应急管理部令第1号）第二条第一款“在中华人民共和国领域内申请安全评价检测检验机构资质，从事法定的安全评价、检测检验服务（附件1），以及应急管理部门、煤矿安全生产监督管理部门实施安全评价检测检验机构资质认可和监督管理适用本办法。”</w:t>
            </w:r>
          </w:p>
        </w:tc>
        <w:tc>
          <w:tcPr>
            <w:tcW w:w="3542" w:type="dxa"/>
            <w:tcBorders>
              <w:top w:val="nil"/>
              <w:left w:val="nil"/>
              <w:bottom w:val="single" w:color="auto" w:sz="4" w:space="0"/>
              <w:right w:val="single" w:color="auto" w:sz="4" w:space="0"/>
            </w:tcBorders>
            <w:noWrap w:val="0"/>
            <w:vAlign w:val="center"/>
          </w:tcPr>
          <w:p w14:paraId="74F9C561">
            <w:pPr>
              <w:widowControl/>
              <w:spacing w:line="360" w:lineRule="atLeas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安全评价检测检验机构未取得相应资质证书，或者冒用资质证书、使用伪造的资质证书从事安全评价、检测检验服务。</w:t>
            </w:r>
          </w:p>
        </w:tc>
      </w:tr>
      <w:tr w14:paraId="3DE86087">
        <w:tblPrEx>
          <w:tblCellMar>
            <w:top w:w="0" w:type="dxa"/>
            <w:left w:w="28" w:type="dxa"/>
            <w:bottom w:w="0" w:type="dxa"/>
            <w:right w:w="28" w:type="dxa"/>
          </w:tblCellMar>
        </w:tblPrEx>
        <w:trPr>
          <w:wBefore w:w="0" w:type="dxa"/>
          <w:wAfter w:w="0" w:type="dxa"/>
          <w:cantSplit/>
          <w:trHeight w:val="454" w:hRule="atLeast"/>
          <w:jc w:val="center"/>
        </w:trPr>
        <w:tc>
          <w:tcPr>
            <w:tcW w:w="548" w:type="dxa"/>
            <w:tcBorders>
              <w:top w:val="nil"/>
              <w:left w:val="single" w:color="auto" w:sz="4" w:space="0"/>
              <w:bottom w:val="single" w:color="auto" w:sz="4" w:space="0"/>
              <w:right w:val="single" w:color="auto" w:sz="4" w:space="0"/>
            </w:tcBorders>
            <w:noWrap w:val="0"/>
            <w:vAlign w:val="center"/>
          </w:tcPr>
          <w:p w14:paraId="3F2568A3">
            <w:pPr>
              <w:widowControl/>
              <w:spacing w:line="360" w:lineRule="atLeas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w:t>
            </w:r>
          </w:p>
        </w:tc>
        <w:tc>
          <w:tcPr>
            <w:tcW w:w="1863" w:type="dxa"/>
            <w:tcBorders>
              <w:top w:val="nil"/>
              <w:left w:val="nil"/>
              <w:bottom w:val="single" w:color="auto" w:sz="4" w:space="0"/>
              <w:right w:val="single" w:color="auto" w:sz="4" w:space="0"/>
            </w:tcBorders>
            <w:noWrap w:val="0"/>
            <w:vAlign w:val="center"/>
          </w:tcPr>
          <w:p w14:paraId="56E7D9CD">
            <w:pPr>
              <w:widowControl/>
              <w:spacing w:line="360" w:lineRule="atLeas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安全评价、安全生产检测检验资质证书及安全评价、安全生产检测检验合同文件</w:t>
            </w:r>
          </w:p>
        </w:tc>
        <w:tc>
          <w:tcPr>
            <w:tcW w:w="1276" w:type="dxa"/>
            <w:tcBorders>
              <w:top w:val="nil"/>
              <w:left w:val="nil"/>
              <w:bottom w:val="single" w:color="auto" w:sz="4" w:space="0"/>
              <w:right w:val="single" w:color="auto" w:sz="4" w:space="0"/>
            </w:tcBorders>
            <w:noWrap w:val="0"/>
            <w:vAlign w:val="center"/>
          </w:tcPr>
          <w:p w14:paraId="5FDDDF57">
            <w:pPr>
              <w:widowControl/>
              <w:spacing w:line="360" w:lineRule="atLeas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查验证书及抽查合同</w:t>
            </w:r>
          </w:p>
        </w:tc>
        <w:tc>
          <w:tcPr>
            <w:tcW w:w="5812" w:type="dxa"/>
            <w:tcBorders>
              <w:top w:val="nil"/>
              <w:left w:val="nil"/>
              <w:bottom w:val="single" w:color="auto" w:sz="4" w:space="0"/>
              <w:right w:val="single" w:color="auto" w:sz="4" w:space="0"/>
            </w:tcBorders>
            <w:noWrap w:val="0"/>
            <w:vAlign w:val="center"/>
          </w:tcPr>
          <w:p w14:paraId="084A3B27">
            <w:pPr>
              <w:widowControl/>
              <w:spacing w:line="360" w:lineRule="atLeas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部门规章〕《安全评价检测检验机构管理办法》（应急管理部令第1号）第二十二条：“安全评价检测检验机构及其从业人员不得有下列行为：（二）不再具备资质条件或者资质过期从事安全评价、检测检验的。”</w:t>
            </w:r>
          </w:p>
        </w:tc>
        <w:tc>
          <w:tcPr>
            <w:tcW w:w="3542" w:type="dxa"/>
            <w:tcBorders>
              <w:top w:val="nil"/>
              <w:left w:val="nil"/>
              <w:bottom w:val="single" w:color="auto" w:sz="4" w:space="0"/>
              <w:right w:val="single" w:color="auto" w:sz="4" w:space="0"/>
            </w:tcBorders>
            <w:noWrap w:val="0"/>
            <w:vAlign w:val="center"/>
          </w:tcPr>
          <w:p w14:paraId="51DA4CF9">
            <w:pPr>
              <w:widowControl/>
              <w:spacing w:line="360" w:lineRule="atLeas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安全评价检测检验机构不再具备资质条件或者资质过期从事安全评价、检测检验。</w:t>
            </w:r>
          </w:p>
        </w:tc>
      </w:tr>
      <w:tr w14:paraId="799E48B5">
        <w:tblPrEx>
          <w:tblCellMar>
            <w:top w:w="0" w:type="dxa"/>
            <w:left w:w="28" w:type="dxa"/>
            <w:bottom w:w="0" w:type="dxa"/>
            <w:right w:w="28" w:type="dxa"/>
          </w:tblCellMar>
        </w:tblPrEx>
        <w:trPr>
          <w:wBefore w:w="0" w:type="dxa"/>
          <w:wAfter w:w="0" w:type="dxa"/>
          <w:cantSplit/>
          <w:trHeight w:val="454" w:hRule="atLeast"/>
          <w:jc w:val="center"/>
        </w:trPr>
        <w:tc>
          <w:tcPr>
            <w:tcW w:w="548" w:type="dxa"/>
            <w:tcBorders>
              <w:top w:val="nil"/>
              <w:left w:val="single" w:color="auto" w:sz="4" w:space="0"/>
              <w:bottom w:val="single" w:color="auto" w:sz="4" w:space="0"/>
              <w:right w:val="single" w:color="auto" w:sz="4" w:space="0"/>
            </w:tcBorders>
            <w:noWrap w:val="0"/>
            <w:vAlign w:val="center"/>
          </w:tcPr>
          <w:p w14:paraId="08727EBB">
            <w:pPr>
              <w:widowControl/>
              <w:spacing w:line="360" w:lineRule="atLeas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w:t>
            </w:r>
          </w:p>
        </w:tc>
        <w:tc>
          <w:tcPr>
            <w:tcW w:w="1863" w:type="dxa"/>
            <w:tcBorders>
              <w:top w:val="nil"/>
              <w:left w:val="nil"/>
              <w:bottom w:val="single" w:color="auto" w:sz="4" w:space="0"/>
              <w:right w:val="single" w:color="auto" w:sz="4" w:space="0"/>
            </w:tcBorders>
            <w:noWrap w:val="0"/>
            <w:vAlign w:val="center"/>
          </w:tcPr>
          <w:p w14:paraId="611CB026">
            <w:pPr>
              <w:widowControl/>
              <w:spacing w:line="360" w:lineRule="atLeas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安全评价、安全生产检测检验</w:t>
            </w:r>
            <w:r>
              <w:rPr>
                <w:rFonts w:hint="eastAsia" w:ascii="Times New Roman" w:hAnsi="Times New Roman" w:eastAsia="仿宋_GB2312"/>
                <w:color w:val="000000"/>
                <w:kern w:val="0"/>
                <w:sz w:val="24"/>
                <w:szCs w:val="24"/>
                <w:lang w:eastAsia="zh-CN"/>
              </w:rPr>
              <w:t>资质</w:t>
            </w:r>
            <w:r>
              <w:rPr>
                <w:rFonts w:ascii="Times New Roman" w:hAnsi="Times New Roman" w:eastAsia="仿宋_GB2312"/>
                <w:color w:val="000000"/>
                <w:kern w:val="0"/>
                <w:sz w:val="24"/>
                <w:szCs w:val="24"/>
              </w:rPr>
              <w:t>证书及安全评价、安全生产检测检验合同文件</w:t>
            </w:r>
          </w:p>
        </w:tc>
        <w:tc>
          <w:tcPr>
            <w:tcW w:w="1276" w:type="dxa"/>
            <w:tcBorders>
              <w:top w:val="nil"/>
              <w:left w:val="nil"/>
              <w:bottom w:val="single" w:color="auto" w:sz="4" w:space="0"/>
              <w:right w:val="single" w:color="auto" w:sz="4" w:space="0"/>
            </w:tcBorders>
            <w:noWrap w:val="0"/>
            <w:vAlign w:val="center"/>
          </w:tcPr>
          <w:p w14:paraId="7E2E4704">
            <w:pPr>
              <w:widowControl/>
              <w:spacing w:line="360" w:lineRule="atLeas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查验证书及抽查合同</w:t>
            </w:r>
          </w:p>
        </w:tc>
        <w:tc>
          <w:tcPr>
            <w:tcW w:w="5812" w:type="dxa"/>
            <w:tcBorders>
              <w:top w:val="nil"/>
              <w:left w:val="nil"/>
              <w:bottom w:val="single" w:color="auto" w:sz="4" w:space="0"/>
              <w:right w:val="single" w:color="auto" w:sz="4" w:space="0"/>
            </w:tcBorders>
            <w:noWrap w:val="0"/>
            <w:vAlign w:val="center"/>
          </w:tcPr>
          <w:p w14:paraId="58002D1F">
            <w:pPr>
              <w:widowControl/>
              <w:spacing w:line="360" w:lineRule="atLeas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部门规章〕《安全评价检测检验机构管理办法》（应急管理部令第1号）第二十二条“安全评价检测检验机构及其从业人员不得有下列行为：（三）超出资质认可业务范围，从事法定的安全评价、检测检验的；”</w:t>
            </w:r>
          </w:p>
        </w:tc>
        <w:tc>
          <w:tcPr>
            <w:tcW w:w="3542" w:type="dxa"/>
            <w:tcBorders>
              <w:top w:val="nil"/>
              <w:left w:val="nil"/>
              <w:bottom w:val="single" w:color="auto" w:sz="4" w:space="0"/>
              <w:right w:val="single" w:color="auto" w:sz="4" w:space="0"/>
            </w:tcBorders>
            <w:noWrap w:val="0"/>
            <w:vAlign w:val="center"/>
          </w:tcPr>
          <w:p w14:paraId="14192ECD">
            <w:pPr>
              <w:widowControl/>
              <w:spacing w:line="360" w:lineRule="atLeas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安全评价检测检验机构超出资质认可业务范围，从事法定的安全评价、检测检验。</w:t>
            </w:r>
          </w:p>
        </w:tc>
      </w:tr>
      <w:tr w14:paraId="0877FF2D">
        <w:tblPrEx>
          <w:tblCellMar>
            <w:top w:w="0" w:type="dxa"/>
            <w:left w:w="28" w:type="dxa"/>
            <w:bottom w:w="0" w:type="dxa"/>
            <w:right w:w="28" w:type="dxa"/>
          </w:tblCellMar>
        </w:tblPrEx>
        <w:trPr>
          <w:wBefore w:w="0" w:type="dxa"/>
          <w:wAfter w:w="0" w:type="dxa"/>
          <w:cantSplit/>
          <w:trHeight w:val="454" w:hRule="atLeast"/>
          <w:jc w:val="center"/>
        </w:trPr>
        <w:tc>
          <w:tcPr>
            <w:tcW w:w="548" w:type="dxa"/>
            <w:tcBorders>
              <w:top w:val="nil"/>
              <w:left w:val="single" w:color="auto" w:sz="4" w:space="0"/>
              <w:bottom w:val="single" w:color="auto" w:sz="4" w:space="0"/>
              <w:right w:val="single" w:color="auto" w:sz="4" w:space="0"/>
            </w:tcBorders>
            <w:noWrap w:val="0"/>
            <w:vAlign w:val="center"/>
          </w:tcPr>
          <w:p w14:paraId="1C92C331">
            <w:pPr>
              <w:widowControl/>
              <w:spacing w:line="360" w:lineRule="atLeas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4</w:t>
            </w:r>
          </w:p>
        </w:tc>
        <w:tc>
          <w:tcPr>
            <w:tcW w:w="1863" w:type="dxa"/>
            <w:tcBorders>
              <w:top w:val="nil"/>
              <w:left w:val="nil"/>
              <w:bottom w:val="single" w:color="auto" w:sz="4" w:space="0"/>
              <w:right w:val="single" w:color="auto" w:sz="4" w:space="0"/>
            </w:tcBorders>
            <w:noWrap w:val="0"/>
            <w:vAlign w:val="center"/>
          </w:tcPr>
          <w:p w14:paraId="0D51462D">
            <w:pPr>
              <w:widowControl/>
              <w:spacing w:line="360" w:lineRule="atLeas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安全评价、安全生产检测检验</w:t>
            </w:r>
            <w:r>
              <w:rPr>
                <w:rFonts w:hint="eastAsia" w:ascii="Times New Roman" w:hAnsi="Times New Roman" w:eastAsia="仿宋_GB2312"/>
                <w:color w:val="000000"/>
                <w:kern w:val="0"/>
                <w:sz w:val="24"/>
                <w:szCs w:val="24"/>
                <w:lang w:eastAsia="zh-CN"/>
              </w:rPr>
              <w:t>资质</w:t>
            </w:r>
            <w:r>
              <w:rPr>
                <w:rFonts w:ascii="Times New Roman" w:hAnsi="Times New Roman" w:eastAsia="仿宋_GB2312"/>
                <w:color w:val="000000"/>
                <w:kern w:val="0"/>
                <w:sz w:val="24"/>
                <w:szCs w:val="24"/>
              </w:rPr>
              <w:t>证书及安全评价、安全生产检测检验合同文件</w:t>
            </w:r>
          </w:p>
        </w:tc>
        <w:tc>
          <w:tcPr>
            <w:tcW w:w="1276" w:type="dxa"/>
            <w:tcBorders>
              <w:top w:val="nil"/>
              <w:left w:val="nil"/>
              <w:bottom w:val="single" w:color="auto" w:sz="4" w:space="0"/>
              <w:right w:val="single" w:color="auto" w:sz="4" w:space="0"/>
            </w:tcBorders>
            <w:noWrap w:val="0"/>
            <w:vAlign w:val="center"/>
          </w:tcPr>
          <w:p w14:paraId="53634046">
            <w:pPr>
              <w:widowControl/>
              <w:spacing w:line="360" w:lineRule="atLeas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查验证书及抽查合同</w:t>
            </w:r>
          </w:p>
        </w:tc>
        <w:tc>
          <w:tcPr>
            <w:tcW w:w="5812" w:type="dxa"/>
            <w:tcBorders>
              <w:top w:val="nil"/>
              <w:left w:val="nil"/>
              <w:bottom w:val="single" w:color="auto" w:sz="4" w:space="0"/>
              <w:right w:val="single" w:color="auto" w:sz="4" w:space="0"/>
            </w:tcBorders>
            <w:noWrap w:val="0"/>
            <w:vAlign w:val="center"/>
          </w:tcPr>
          <w:p w14:paraId="0D276C22">
            <w:pPr>
              <w:widowControl/>
              <w:spacing w:line="360" w:lineRule="atLeas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〔部门规章〕《安全评价检测检验机构管理办法》（应急管理部令第1号）第二十二条“安全评价检测检验机构及其从业人员不得有下列行为：（四）出租、出借安全评价检测检验资质证书的；”</w:t>
            </w:r>
          </w:p>
        </w:tc>
        <w:tc>
          <w:tcPr>
            <w:tcW w:w="3542" w:type="dxa"/>
            <w:tcBorders>
              <w:top w:val="nil"/>
              <w:left w:val="nil"/>
              <w:bottom w:val="single" w:color="auto" w:sz="4" w:space="0"/>
              <w:right w:val="single" w:color="auto" w:sz="4" w:space="0"/>
            </w:tcBorders>
            <w:noWrap w:val="0"/>
            <w:vAlign w:val="center"/>
          </w:tcPr>
          <w:p w14:paraId="34D62EA4">
            <w:pPr>
              <w:widowControl/>
              <w:spacing w:line="360" w:lineRule="atLeas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安全评价检测检验机构出租、出借安全评价检测检验资质证书。</w:t>
            </w:r>
          </w:p>
        </w:tc>
      </w:tr>
      <w:tr w14:paraId="3DFBB539">
        <w:tblPrEx>
          <w:tblCellMar>
            <w:top w:w="0" w:type="dxa"/>
            <w:left w:w="28" w:type="dxa"/>
            <w:bottom w:w="0" w:type="dxa"/>
            <w:right w:w="28" w:type="dxa"/>
          </w:tblCellMar>
        </w:tblPrEx>
        <w:trPr>
          <w:wBefore w:w="0" w:type="dxa"/>
          <w:wAfter w:w="0" w:type="dxa"/>
          <w:cantSplit/>
          <w:trHeight w:val="454" w:hRule="atLeast"/>
          <w:jc w:val="center"/>
        </w:trPr>
        <w:tc>
          <w:tcPr>
            <w:tcW w:w="548" w:type="dxa"/>
            <w:tcBorders>
              <w:top w:val="nil"/>
              <w:left w:val="single" w:color="auto" w:sz="4" w:space="0"/>
              <w:bottom w:val="single" w:color="auto" w:sz="4" w:space="0"/>
              <w:right w:val="single" w:color="auto" w:sz="4" w:space="0"/>
            </w:tcBorders>
            <w:noWrap w:val="0"/>
            <w:vAlign w:val="center"/>
          </w:tcPr>
          <w:p w14:paraId="4DDCE684">
            <w:pPr>
              <w:widowControl/>
              <w:spacing w:line="360" w:lineRule="atLeas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5</w:t>
            </w:r>
          </w:p>
        </w:tc>
        <w:tc>
          <w:tcPr>
            <w:tcW w:w="1863" w:type="dxa"/>
            <w:tcBorders>
              <w:top w:val="nil"/>
              <w:left w:val="nil"/>
              <w:bottom w:val="single" w:color="auto" w:sz="4" w:space="0"/>
              <w:right w:val="single" w:color="auto" w:sz="4" w:space="0"/>
            </w:tcBorders>
            <w:noWrap w:val="0"/>
            <w:vAlign w:val="center"/>
          </w:tcPr>
          <w:p w14:paraId="1683AA50">
            <w:pPr>
              <w:widowControl/>
              <w:spacing w:line="360" w:lineRule="atLeas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安全评价检测检验机构的名称、注册地址、实验室条件、法定代表人、专职技术负责人、授权签字人情况</w:t>
            </w:r>
          </w:p>
        </w:tc>
        <w:tc>
          <w:tcPr>
            <w:tcW w:w="1276" w:type="dxa"/>
            <w:tcBorders>
              <w:top w:val="nil"/>
              <w:left w:val="nil"/>
              <w:bottom w:val="single" w:color="auto" w:sz="4" w:space="0"/>
              <w:right w:val="single" w:color="auto" w:sz="4" w:space="0"/>
            </w:tcBorders>
            <w:noWrap w:val="0"/>
            <w:vAlign w:val="center"/>
          </w:tcPr>
          <w:p w14:paraId="1E4BCE52">
            <w:pPr>
              <w:widowControl/>
              <w:spacing w:line="360" w:lineRule="atLeas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查看工商执照等相关资料</w:t>
            </w:r>
          </w:p>
        </w:tc>
        <w:tc>
          <w:tcPr>
            <w:tcW w:w="5812" w:type="dxa"/>
            <w:tcBorders>
              <w:top w:val="nil"/>
              <w:left w:val="nil"/>
              <w:bottom w:val="single" w:color="auto" w:sz="4" w:space="0"/>
              <w:right w:val="single" w:color="auto" w:sz="4" w:space="0"/>
            </w:tcBorders>
            <w:noWrap w:val="0"/>
            <w:vAlign w:val="center"/>
          </w:tcPr>
          <w:p w14:paraId="611E7885">
            <w:pPr>
              <w:widowControl/>
              <w:spacing w:line="360" w:lineRule="atLeas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〔部门规章〕《安全评价检测检验机构管理办法》（应急管理部令第1号）第十二条：“ 安全评价检测检验机构的名称、注册地址、实验室条件、法定代表人、专职技术负责人、授权签字人发生变化的，应当自发生变化之日起三十日内向原资质认可机关提出书面变更申请。”</w:t>
            </w:r>
          </w:p>
        </w:tc>
        <w:tc>
          <w:tcPr>
            <w:tcW w:w="3542" w:type="dxa"/>
            <w:tcBorders>
              <w:top w:val="nil"/>
              <w:left w:val="nil"/>
              <w:bottom w:val="single" w:color="auto" w:sz="4" w:space="0"/>
              <w:right w:val="single" w:color="auto" w:sz="4" w:space="0"/>
            </w:tcBorders>
            <w:noWrap w:val="0"/>
            <w:vAlign w:val="center"/>
          </w:tcPr>
          <w:p w14:paraId="087815F3">
            <w:pPr>
              <w:widowControl/>
              <w:spacing w:line="360" w:lineRule="atLeas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机构名称、注册地址、实验室条件、法定代表人、专职技术负责人、授权签字人发生变化之日起三十日内未向原资质认可机关提出变更申请。</w:t>
            </w:r>
          </w:p>
        </w:tc>
      </w:tr>
      <w:tr w14:paraId="1ECF568C">
        <w:tblPrEx>
          <w:tblCellMar>
            <w:top w:w="0" w:type="dxa"/>
            <w:left w:w="28" w:type="dxa"/>
            <w:bottom w:w="0" w:type="dxa"/>
            <w:right w:w="28" w:type="dxa"/>
          </w:tblCellMar>
        </w:tblPrEx>
        <w:trPr>
          <w:wBefore w:w="0" w:type="dxa"/>
          <w:wAfter w:w="0" w:type="dxa"/>
          <w:cantSplit/>
          <w:trHeight w:val="454" w:hRule="atLeast"/>
          <w:jc w:val="center"/>
        </w:trPr>
        <w:tc>
          <w:tcPr>
            <w:tcW w:w="548" w:type="dxa"/>
            <w:tcBorders>
              <w:top w:val="nil"/>
              <w:left w:val="single" w:color="auto" w:sz="4" w:space="0"/>
              <w:bottom w:val="single" w:color="auto" w:sz="4" w:space="0"/>
              <w:right w:val="single" w:color="auto" w:sz="4" w:space="0"/>
            </w:tcBorders>
            <w:noWrap w:val="0"/>
            <w:vAlign w:val="center"/>
          </w:tcPr>
          <w:p w14:paraId="644889A0">
            <w:pPr>
              <w:widowControl/>
              <w:spacing w:line="360" w:lineRule="atLeas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6</w:t>
            </w:r>
          </w:p>
        </w:tc>
        <w:tc>
          <w:tcPr>
            <w:tcW w:w="1863" w:type="dxa"/>
            <w:tcBorders>
              <w:top w:val="nil"/>
              <w:left w:val="nil"/>
              <w:bottom w:val="single" w:color="auto" w:sz="4" w:space="0"/>
              <w:right w:val="single" w:color="auto" w:sz="4" w:space="0"/>
            </w:tcBorders>
            <w:noWrap w:val="0"/>
            <w:vAlign w:val="center"/>
          </w:tcPr>
          <w:p w14:paraId="4CDB7437">
            <w:pPr>
              <w:widowControl/>
              <w:spacing w:line="360" w:lineRule="atLeas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安全评价、安全生产检测检验合同文件</w:t>
            </w:r>
          </w:p>
        </w:tc>
        <w:tc>
          <w:tcPr>
            <w:tcW w:w="1276" w:type="dxa"/>
            <w:tcBorders>
              <w:top w:val="nil"/>
              <w:left w:val="nil"/>
              <w:bottom w:val="single" w:color="auto" w:sz="4" w:space="0"/>
              <w:right w:val="single" w:color="auto" w:sz="4" w:space="0"/>
            </w:tcBorders>
            <w:noWrap w:val="0"/>
            <w:vAlign w:val="center"/>
          </w:tcPr>
          <w:p w14:paraId="7BC4C053">
            <w:pPr>
              <w:widowControl/>
              <w:spacing w:line="360" w:lineRule="atLeas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查验资料结合询问相关人员</w:t>
            </w:r>
          </w:p>
        </w:tc>
        <w:tc>
          <w:tcPr>
            <w:tcW w:w="5812" w:type="dxa"/>
            <w:tcBorders>
              <w:top w:val="nil"/>
              <w:left w:val="nil"/>
              <w:bottom w:val="single" w:color="auto" w:sz="4" w:space="0"/>
              <w:right w:val="single" w:color="auto" w:sz="4" w:space="0"/>
            </w:tcBorders>
            <w:noWrap w:val="0"/>
            <w:vAlign w:val="center"/>
          </w:tcPr>
          <w:p w14:paraId="47BCF040">
            <w:pPr>
              <w:widowControl/>
              <w:spacing w:line="360" w:lineRule="atLeas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部门规章〕《安全评价检测检验机构管理办法》（应急管理部令第1号）第十六条第一款：“生产经营单位委托安全评价检测检验机构开展技术服务时，应当签订委托技术服务合同，明确服务对象、范围、权利、义务和责任。”</w:t>
            </w:r>
          </w:p>
        </w:tc>
        <w:tc>
          <w:tcPr>
            <w:tcW w:w="3542" w:type="dxa"/>
            <w:tcBorders>
              <w:top w:val="nil"/>
              <w:left w:val="nil"/>
              <w:bottom w:val="single" w:color="auto" w:sz="4" w:space="0"/>
              <w:right w:val="single" w:color="auto" w:sz="4" w:space="0"/>
            </w:tcBorders>
            <w:noWrap w:val="0"/>
            <w:vAlign w:val="center"/>
          </w:tcPr>
          <w:p w14:paraId="4673A93F">
            <w:pPr>
              <w:widowControl/>
              <w:spacing w:line="360" w:lineRule="atLeas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安全评价检测检验机构未依法与委托方签订技术服务合同的情况。</w:t>
            </w:r>
          </w:p>
        </w:tc>
      </w:tr>
      <w:tr w14:paraId="7A1F70F1">
        <w:tblPrEx>
          <w:tblCellMar>
            <w:top w:w="0" w:type="dxa"/>
            <w:left w:w="28" w:type="dxa"/>
            <w:bottom w:w="0" w:type="dxa"/>
            <w:right w:w="28" w:type="dxa"/>
          </w:tblCellMar>
        </w:tblPrEx>
        <w:trPr>
          <w:wBefore w:w="0" w:type="dxa"/>
          <w:wAfter w:w="0" w:type="dxa"/>
          <w:cantSplit/>
          <w:trHeight w:val="454" w:hRule="atLeast"/>
          <w:jc w:val="center"/>
        </w:trPr>
        <w:tc>
          <w:tcPr>
            <w:tcW w:w="548" w:type="dxa"/>
            <w:tcBorders>
              <w:top w:val="nil"/>
              <w:left w:val="single" w:color="auto" w:sz="4" w:space="0"/>
              <w:bottom w:val="single" w:color="auto" w:sz="4" w:space="0"/>
              <w:right w:val="single" w:color="auto" w:sz="4" w:space="0"/>
            </w:tcBorders>
            <w:noWrap w:val="0"/>
            <w:vAlign w:val="center"/>
          </w:tcPr>
          <w:p w14:paraId="1C51E422">
            <w:pPr>
              <w:widowControl/>
              <w:spacing w:line="360" w:lineRule="atLeas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7</w:t>
            </w:r>
          </w:p>
        </w:tc>
        <w:tc>
          <w:tcPr>
            <w:tcW w:w="1863" w:type="dxa"/>
            <w:tcBorders>
              <w:top w:val="nil"/>
              <w:left w:val="nil"/>
              <w:bottom w:val="single" w:color="auto" w:sz="4" w:space="0"/>
              <w:right w:val="single" w:color="auto" w:sz="4" w:space="0"/>
            </w:tcBorders>
            <w:noWrap w:val="0"/>
            <w:vAlign w:val="center"/>
          </w:tcPr>
          <w:p w14:paraId="16FD0D94">
            <w:pPr>
              <w:widowControl/>
              <w:spacing w:line="360" w:lineRule="atLeas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安全评价和安全生产检测检验法规标准执行情况</w:t>
            </w:r>
          </w:p>
        </w:tc>
        <w:tc>
          <w:tcPr>
            <w:tcW w:w="1276" w:type="dxa"/>
            <w:tcBorders>
              <w:top w:val="nil"/>
              <w:left w:val="nil"/>
              <w:bottom w:val="single" w:color="auto" w:sz="4" w:space="0"/>
              <w:right w:val="single" w:color="auto" w:sz="4" w:space="0"/>
            </w:tcBorders>
            <w:noWrap w:val="0"/>
            <w:vAlign w:val="center"/>
          </w:tcPr>
          <w:p w14:paraId="6105A0D0">
            <w:pPr>
              <w:widowControl/>
              <w:spacing w:line="360" w:lineRule="atLeas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查验安全评价和安全生产检测检验报告</w:t>
            </w:r>
          </w:p>
        </w:tc>
        <w:tc>
          <w:tcPr>
            <w:tcW w:w="5812" w:type="dxa"/>
            <w:tcBorders>
              <w:top w:val="nil"/>
              <w:left w:val="nil"/>
              <w:bottom w:val="single" w:color="auto" w:sz="4" w:space="0"/>
              <w:right w:val="single" w:color="auto" w:sz="4" w:space="0"/>
            </w:tcBorders>
            <w:noWrap w:val="0"/>
            <w:vAlign w:val="center"/>
          </w:tcPr>
          <w:p w14:paraId="01DE47E9">
            <w:pPr>
              <w:widowControl/>
              <w:spacing w:line="360" w:lineRule="atLeas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部门规章〕《安全评价检测检验机构管理办法》（应急管理部令第1号）第二十二条：“安全评价检测检验机构及其从业人员不得有下列行为：（一）违反法规标准的规定开展安全评价、检测检验的；（六）违反有关法规标准规定，更改或者</w:t>
            </w:r>
            <w:r>
              <w:rPr>
                <w:rFonts w:hint="eastAsia" w:ascii="Times New Roman" w:hAnsi="Times New Roman" w:eastAsia="仿宋_GB2312"/>
                <w:color w:val="auto"/>
                <w:kern w:val="0"/>
                <w:sz w:val="24"/>
                <w:szCs w:val="24"/>
                <w:lang w:val="en-US" w:eastAsia="zh-CN"/>
              </w:rPr>
              <w:t>简化</w:t>
            </w:r>
            <w:r>
              <w:rPr>
                <w:rFonts w:ascii="Times New Roman" w:hAnsi="Times New Roman" w:eastAsia="仿宋_GB2312"/>
                <w:color w:val="auto"/>
                <w:kern w:val="0"/>
                <w:sz w:val="24"/>
                <w:szCs w:val="24"/>
              </w:rPr>
              <w:t>安</w:t>
            </w:r>
            <w:r>
              <w:rPr>
                <w:rFonts w:ascii="Times New Roman" w:hAnsi="Times New Roman" w:eastAsia="仿宋_GB2312"/>
                <w:color w:val="000000"/>
                <w:kern w:val="0"/>
                <w:sz w:val="24"/>
                <w:szCs w:val="24"/>
              </w:rPr>
              <w:t>全评价、检测检验程序和相关内容的。”</w:t>
            </w:r>
          </w:p>
        </w:tc>
        <w:tc>
          <w:tcPr>
            <w:tcW w:w="3542" w:type="dxa"/>
            <w:tcBorders>
              <w:top w:val="nil"/>
              <w:left w:val="nil"/>
              <w:bottom w:val="single" w:color="auto" w:sz="4" w:space="0"/>
              <w:right w:val="single" w:color="auto" w:sz="4" w:space="0"/>
            </w:tcBorders>
            <w:noWrap w:val="0"/>
            <w:vAlign w:val="center"/>
          </w:tcPr>
          <w:p w14:paraId="074C7651">
            <w:pPr>
              <w:widowControl/>
              <w:spacing w:line="360" w:lineRule="atLeas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安全评价检测检验机构及其从业人员违反法规标准的规定开展安全评价、检测检验；违反有关法规标准规定，更改或者简化安全评价、检测检验程序和相关内容的情况。</w:t>
            </w:r>
          </w:p>
        </w:tc>
      </w:tr>
      <w:tr w14:paraId="20B2C2D4">
        <w:tblPrEx>
          <w:tblCellMar>
            <w:top w:w="0" w:type="dxa"/>
            <w:left w:w="28" w:type="dxa"/>
            <w:bottom w:w="0" w:type="dxa"/>
            <w:right w:w="28" w:type="dxa"/>
          </w:tblCellMar>
        </w:tblPrEx>
        <w:trPr>
          <w:wBefore w:w="0" w:type="dxa"/>
          <w:wAfter w:w="0" w:type="dxa"/>
          <w:cantSplit/>
          <w:trHeight w:val="454" w:hRule="atLeast"/>
          <w:jc w:val="center"/>
        </w:trPr>
        <w:tc>
          <w:tcPr>
            <w:tcW w:w="548" w:type="dxa"/>
            <w:tcBorders>
              <w:top w:val="nil"/>
              <w:left w:val="single" w:color="auto" w:sz="4" w:space="0"/>
              <w:bottom w:val="single" w:color="auto" w:sz="4" w:space="0"/>
              <w:right w:val="single" w:color="auto" w:sz="4" w:space="0"/>
            </w:tcBorders>
            <w:noWrap w:val="0"/>
            <w:vAlign w:val="center"/>
          </w:tcPr>
          <w:p w14:paraId="3BF475C2">
            <w:pPr>
              <w:widowControl/>
              <w:spacing w:line="360" w:lineRule="atLeas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8</w:t>
            </w:r>
          </w:p>
        </w:tc>
        <w:tc>
          <w:tcPr>
            <w:tcW w:w="1863" w:type="dxa"/>
            <w:tcBorders>
              <w:top w:val="nil"/>
              <w:left w:val="nil"/>
              <w:bottom w:val="single" w:color="auto" w:sz="4" w:space="0"/>
              <w:right w:val="single" w:color="auto" w:sz="4" w:space="0"/>
            </w:tcBorders>
            <w:noWrap w:val="0"/>
            <w:vAlign w:val="center"/>
          </w:tcPr>
          <w:p w14:paraId="6AEFB0F2">
            <w:pPr>
              <w:widowControl/>
              <w:spacing w:line="360" w:lineRule="atLeas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安全评价报告、安全生产检测检验报告相关信息及现场勘验图像影像资料公开情况</w:t>
            </w:r>
          </w:p>
        </w:tc>
        <w:tc>
          <w:tcPr>
            <w:tcW w:w="1276" w:type="dxa"/>
            <w:tcBorders>
              <w:top w:val="nil"/>
              <w:left w:val="nil"/>
              <w:bottom w:val="single" w:color="auto" w:sz="4" w:space="0"/>
              <w:right w:val="single" w:color="auto" w:sz="4" w:space="0"/>
            </w:tcBorders>
            <w:noWrap w:val="0"/>
            <w:vAlign w:val="center"/>
          </w:tcPr>
          <w:p w14:paraId="4C202D2C">
            <w:pPr>
              <w:widowControl/>
              <w:spacing w:line="360" w:lineRule="atLeas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查验资料</w:t>
            </w:r>
          </w:p>
        </w:tc>
        <w:tc>
          <w:tcPr>
            <w:tcW w:w="5812" w:type="dxa"/>
            <w:tcBorders>
              <w:top w:val="nil"/>
              <w:left w:val="nil"/>
              <w:bottom w:val="single" w:color="auto" w:sz="4" w:space="0"/>
              <w:right w:val="single" w:color="auto" w:sz="4" w:space="0"/>
            </w:tcBorders>
            <w:noWrap w:val="0"/>
            <w:vAlign w:val="center"/>
          </w:tcPr>
          <w:p w14:paraId="01E414BB">
            <w:pPr>
              <w:widowControl/>
              <w:spacing w:line="360" w:lineRule="atLeas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部门规章〕《安全评价检测检验机构管理办法》（应急管理部令第1号）第十八条第二款：“安全评价检测检验机构应当按照有关规定在网上公开安全评价报告、安全生产检测检验报告相关信息及现场勘验图像影像。”</w:t>
            </w:r>
          </w:p>
        </w:tc>
        <w:tc>
          <w:tcPr>
            <w:tcW w:w="3542" w:type="dxa"/>
            <w:tcBorders>
              <w:top w:val="nil"/>
              <w:left w:val="nil"/>
              <w:bottom w:val="single" w:color="auto" w:sz="4" w:space="0"/>
              <w:right w:val="single" w:color="auto" w:sz="4" w:space="0"/>
            </w:tcBorders>
            <w:noWrap w:val="0"/>
            <w:vAlign w:val="center"/>
          </w:tcPr>
          <w:p w14:paraId="46863019">
            <w:pPr>
              <w:widowControl/>
              <w:spacing w:line="360" w:lineRule="atLeas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安全评价检测检验机构未按照有关规定在网上公开安全评价报告、安全生产检测检验报告相关信息及现场勘验图像影像的情况。</w:t>
            </w:r>
          </w:p>
        </w:tc>
      </w:tr>
      <w:tr w14:paraId="6EB27E7C">
        <w:tblPrEx>
          <w:tblCellMar>
            <w:top w:w="0" w:type="dxa"/>
            <w:left w:w="28" w:type="dxa"/>
            <w:bottom w:w="0" w:type="dxa"/>
            <w:right w:w="28" w:type="dxa"/>
          </w:tblCellMar>
        </w:tblPrEx>
        <w:trPr>
          <w:wBefore w:w="0" w:type="dxa"/>
          <w:wAfter w:w="0" w:type="dxa"/>
          <w:cantSplit/>
          <w:trHeight w:val="454" w:hRule="atLeast"/>
          <w:jc w:val="center"/>
        </w:trPr>
        <w:tc>
          <w:tcPr>
            <w:tcW w:w="548" w:type="dxa"/>
            <w:tcBorders>
              <w:top w:val="nil"/>
              <w:left w:val="single" w:color="auto" w:sz="4" w:space="0"/>
              <w:bottom w:val="single" w:color="auto" w:sz="4" w:space="0"/>
              <w:right w:val="single" w:color="auto" w:sz="4" w:space="0"/>
            </w:tcBorders>
            <w:noWrap w:val="0"/>
            <w:vAlign w:val="center"/>
          </w:tcPr>
          <w:p w14:paraId="20722D6F">
            <w:pPr>
              <w:widowControl/>
              <w:spacing w:line="360" w:lineRule="atLeas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9</w:t>
            </w:r>
          </w:p>
        </w:tc>
        <w:tc>
          <w:tcPr>
            <w:tcW w:w="1863" w:type="dxa"/>
            <w:tcBorders>
              <w:top w:val="nil"/>
              <w:left w:val="nil"/>
              <w:bottom w:val="single" w:color="auto" w:sz="4" w:space="0"/>
              <w:right w:val="single" w:color="auto" w:sz="4" w:space="0"/>
            </w:tcBorders>
            <w:noWrap w:val="0"/>
            <w:vAlign w:val="center"/>
          </w:tcPr>
          <w:p w14:paraId="1FC0D8E3">
            <w:pPr>
              <w:widowControl/>
              <w:spacing w:line="360" w:lineRule="atLeas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技术服务行为告知情况</w:t>
            </w:r>
          </w:p>
        </w:tc>
        <w:tc>
          <w:tcPr>
            <w:tcW w:w="1276" w:type="dxa"/>
            <w:tcBorders>
              <w:top w:val="nil"/>
              <w:left w:val="nil"/>
              <w:bottom w:val="single" w:color="auto" w:sz="4" w:space="0"/>
              <w:right w:val="single" w:color="auto" w:sz="4" w:space="0"/>
            </w:tcBorders>
            <w:noWrap w:val="0"/>
            <w:vAlign w:val="center"/>
          </w:tcPr>
          <w:p w14:paraId="2F529740">
            <w:pPr>
              <w:widowControl/>
              <w:spacing w:line="360" w:lineRule="atLeas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查验资料</w:t>
            </w:r>
          </w:p>
        </w:tc>
        <w:tc>
          <w:tcPr>
            <w:tcW w:w="5812" w:type="dxa"/>
            <w:tcBorders>
              <w:top w:val="nil"/>
              <w:left w:val="nil"/>
              <w:bottom w:val="single" w:color="auto" w:sz="4" w:space="0"/>
              <w:right w:val="single" w:color="auto" w:sz="4" w:space="0"/>
            </w:tcBorders>
            <w:noWrap w:val="0"/>
            <w:vAlign w:val="center"/>
          </w:tcPr>
          <w:p w14:paraId="63454D26">
            <w:pPr>
              <w:widowControl/>
              <w:spacing w:line="360" w:lineRule="atLeas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〔部门规章〕《安全评价检测检验机构管理办法》（应急管理部令第1号）第十九条 “安全评价检测检验机构应当在开展现场技术服务前七个工作日内，书面告知（附件4）项目实施地资质认可机关，接受资质认可机关及其下级部门的监督抽查。”</w:t>
            </w:r>
          </w:p>
        </w:tc>
        <w:tc>
          <w:tcPr>
            <w:tcW w:w="3542" w:type="dxa"/>
            <w:tcBorders>
              <w:top w:val="nil"/>
              <w:left w:val="nil"/>
              <w:bottom w:val="single" w:color="auto" w:sz="4" w:space="0"/>
              <w:right w:val="single" w:color="auto" w:sz="4" w:space="0"/>
            </w:tcBorders>
            <w:noWrap w:val="0"/>
            <w:vAlign w:val="center"/>
          </w:tcPr>
          <w:p w14:paraId="3A5A4060">
            <w:pPr>
              <w:widowControl/>
              <w:spacing w:line="360" w:lineRule="atLeas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安全评价检测检验机构未在开展现场技术服务前七个工作日内，书面告知项目实施地资质认可机关，接受资质认可机关及其下级部门的监督抽查。</w:t>
            </w:r>
          </w:p>
        </w:tc>
      </w:tr>
      <w:tr w14:paraId="00D30FD5">
        <w:tblPrEx>
          <w:tblCellMar>
            <w:top w:w="0" w:type="dxa"/>
            <w:left w:w="28" w:type="dxa"/>
            <w:bottom w:w="0" w:type="dxa"/>
            <w:right w:w="28" w:type="dxa"/>
          </w:tblCellMar>
        </w:tblPrEx>
        <w:trPr>
          <w:wBefore w:w="0" w:type="dxa"/>
          <w:wAfter w:w="0" w:type="dxa"/>
          <w:cantSplit/>
          <w:trHeight w:val="454" w:hRule="atLeast"/>
          <w:jc w:val="center"/>
        </w:trPr>
        <w:tc>
          <w:tcPr>
            <w:tcW w:w="548" w:type="dxa"/>
            <w:tcBorders>
              <w:top w:val="nil"/>
              <w:left w:val="single" w:color="auto" w:sz="4" w:space="0"/>
              <w:bottom w:val="single" w:color="auto" w:sz="4" w:space="0"/>
              <w:right w:val="single" w:color="auto" w:sz="4" w:space="0"/>
            </w:tcBorders>
            <w:noWrap w:val="0"/>
            <w:vAlign w:val="center"/>
          </w:tcPr>
          <w:p w14:paraId="18BAAB01">
            <w:pPr>
              <w:widowControl/>
              <w:spacing w:line="360" w:lineRule="atLeas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10</w:t>
            </w:r>
          </w:p>
        </w:tc>
        <w:tc>
          <w:tcPr>
            <w:tcW w:w="1863" w:type="dxa"/>
            <w:tcBorders>
              <w:top w:val="nil"/>
              <w:left w:val="nil"/>
              <w:bottom w:val="single" w:color="auto" w:sz="4" w:space="0"/>
              <w:right w:val="single" w:color="auto" w:sz="4" w:space="0"/>
            </w:tcBorders>
            <w:noWrap w:val="0"/>
            <w:vAlign w:val="center"/>
          </w:tcPr>
          <w:p w14:paraId="2C52C960">
            <w:pPr>
              <w:widowControl/>
              <w:spacing w:line="360" w:lineRule="atLeas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安全评价、检测检验相关人员现场勘验或工作情况</w:t>
            </w:r>
          </w:p>
        </w:tc>
        <w:tc>
          <w:tcPr>
            <w:tcW w:w="1276" w:type="dxa"/>
            <w:tcBorders>
              <w:top w:val="nil"/>
              <w:left w:val="nil"/>
              <w:bottom w:val="single" w:color="auto" w:sz="4" w:space="0"/>
              <w:right w:val="single" w:color="auto" w:sz="4" w:space="0"/>
            </w:tcBorders>
            <w:noWrap w:val="0"/>
            <w:vAlign w:val="center"/>
          </w:tcPr>
          <w:p w14:paraId="12C1109D">
            <w:pPr>
              <w:widowControl/>
              <w:spacing w:line="360" w:lineRule="atLeas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检查出差记录，查阅有关影像资料</w:t>
            </w:r>
          </w:p>
        </w:tc>
        <w:tc>
          <w:tcPr>
            <w:tcW w:w="5812" w:type="dxa"/>
            <w:tcBorders>
              <w:top w:val="nil"/>
              <w:left w:val="nil"/>
              <w:bottom w:val="single" w:color="auto" w:sz="4" w:space="0"/>
              <w:right w:val="single" w:color="auto" w:sz="4" w:space="0"/>
            </w:tcBorders>
            <w:noWrap w:val="0"/>
            <w:vAlign w:val="center"/>
          </w:tcPr>
          <w:p w14:paraId="6703E371">
            <w:pPr>
              <w:widowControl/>
              <w:spacing w:line="360" w:lineRule="atLeas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部门规章〕《安全评价检测检验机构管理办法》（应急管理部令第1号）第二十二条：“安全评价检测检验机构及其从业人员不得有下列行为：（八）安全评价项目组组长及负责勘验人员不到现场实际地点开展勘验等有关工作的；（九）承担现场检测检验的人员不到现场实际地点开展设备检测检验等有关工作的；”</w:t>
            </w:r>
          </w:p>
        </w:tc>
        <w:tc>
          <w:tcPr>
            <w:tcW w:w="3542" w:type="dxa"/>
            <w:tcBorders>
              <w:top w:val="nil"/>
              <w:left w:val="nil"/>
              <w:bottom w:val="single" w:color="auto" w:sz="4" w:space="0"/>
              <w:right w:val="single" w:color="auto" w:sz="4" w:space="0"/>
            </w:tcBorders>
            <w:noWrap w:val="0"/>
            <w:vAlign w:val="center"/>
          </w:tcPr>
          <w:p w14:paraId="35857A17">
            <w:pPr>
              <w:widowControl/>
              <w:spacing w:line="360" w:lineRule="atLeas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安全评价项目组组长及负责勘验人员不到现场实际地点开展勘验等有关工作；承担现场检测检验的人员不到现场实际地点开展设备检测检验等有关工作的情况。</w:t>
            </w:r>
          </w:p>
        </w:tc>
      </w:tr>
      <w:tr w14:paraId="5C8B5B1F">
        <w:tblPrEx>
          <w:tblCellMar>
            <w:top w:w="0" w:type="dxa"/>
            <w:left w:w="28" w:type="dxa"/>
            <w:bottom w:w="0" w:type="dxa"/>
            <w:right w:w="28" w:type="dxa"/>
          </w:tblCellMar>
        </w:tblPrEx>
        <w:trPr>
          <w:wBefore w:w="0" w:type="dxa"/>
          <w:wAfter w:w="0" w:type="dxa"/>
          <w:cantSplit/>
          <w:trHeight w:val="454" w:hRule="atLeast"/>
          <w:jc w:val="center"/>
        </w:trPr>
        <w:tc>
          <w:tcPr>
            <w:tcW w:w="548" w:type="dxa"/>
            <w:tcBorders>
              <w:top w:val="nil"/>
              <w:left w:val="single" w:color="auto" w:sz="4" w:space="0"/>
              <w:bottom w:val="single" w:color="auto" w:sz="4" w:space="0"/>
              <w:right w:val="single" w:color="auto" w:sz="4" w:space="0"/>
            </w:tcBorders>
            <w:noWrap w:val="0"/>
            <w:vAlign w:val="center"/>
          </w:tcPr>
          <w:p w14:paraId="6A67757C">
            <w:pPr>
              <w:widowControl/>
              <w:spacing w:line="360" w:lineRule="atLeas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11</w:t>
            </w:r>
          </w:p>
        </w:tc>
        <w:tc>
          <w:tcPr>
            <w:tcW w:w="1863" w:type="dxa"/>
            <w:tcBorders>
              <w:top w:val="nil"/>
              <w:left w:val="nil"/>
              <w:bottom w:val="single" w:color="auto" w:sz="4" w:space="0"/>
              <w:right w:val="single" w:color="auto" w:sz="4" w:space="0"/>
            </w:tcBorders>
            <w:noWrap w:val="0"/>
            <w:vAlign w:val="center"/>
          </w:tcPr>
          <w:p w14:paraId="4BDF218D">
            <w:pPr>
              <w:widowControl/>
              <w:spacing w:line="360" w:lineRule="atLeas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检查安全评价报告法规标准引用、关键危险有害因素、重大危险源辨识、对策措施建议与存在问题符合情况；检查安全生产检测检验报告存在法规标准引用错误、关键项目漏检、结论不明确等重大疏漏情况</w:t>
            </w:r>
          </w:p>
        </w:tc>
        <w:tc>
          <w:tcPr>
            <w:tcW w:w="1276" w:type="dxa"/>
            <w:tcBorders>
              <w:top w:val="nil"/>
              <w:left w:val="nil"/>
              <w:bottom w:val="single" w:color="auto" w:sz="4" w:space="0"/>
              <w:right w:val="single" w:color="auto" w:sz="4" w:space="0"/>
            </w:tcBorders>
            <w:noWrap w:val="0"/>
            <w:vAlign w:val="center"/>
          </w:tcPr>
          <w:p w14:paraId="5E04F749">
            <w:pPr>
              <w:widowControl/>
              <w:spacing w:line="360" w:lineRule="atLeas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检查安全评价、安全生产检测检验报告，结合现场抽查</w:t>
            </w:r>
          </w:p>
        </w:tc>
        <w:tc>
          <w:tcPr>
            <w:tcW w:w="5812" w:type="dxa"/>
            <w:tcBorders>
              <w:top w:val="nil"/>
              <w:left w:val="nil"/>
              <w:bottom w:val="single" w:color="auto" w:sz="4" w:space="0"/>
              <w:right w:val="single" w:color="auto" w:sz="4" w:space="0"/>
            </w:tcBorders>
            <w:noWrap w:val="0"/>
            <w:vAlign w:val="center"/>
          </w:tcPr>
          <w:p w14:paraId="281CF163">
            <w:pPr>
              <w:widowControl/>
              <w:spacing w:line="360" w:lineRule="atLeas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部门规章〕《安全评价检测检验机构管理办法》（应急管理部令第1号）第二十二条：“安全评价检测检验机构及其从业人员不得有下列行为：（一）违反法规标准的规定开展安全评价、检测检验的；（二）违反有关法规标准规定，更改或者</w:t>
            </w:r>
            <w:r>
              <w:rPr>
                <w:rFonts w:hint="eastAsia" w:ascii="Times New Roman" w:hAnsi="Times New Roman" w:eastAsia="仿宋_GB2312"/>
                <w:color w:val="000000"/>
                <w:kern w:val="0"/>
                <w:sz w:val="24"/>
                <w:szCs w:val="24"/>
                <w:lang w:val="en-US" w:eastAsia="zh-CN"/>
              </w:rPr>
              <w:t>简化</w:t>
            </w:r>
            <w:r>
              <w:rPr>
                <w:rFonts w:ascii="Times New Roman" w:hAnsi="Times New Roman" w:eastAsia="仿宋_GB2312"/>
                <w:color w:val="000000"/>
                <w:kern w:val="0"/>
                <w:sz w:val="24"/>
                <w:szCs w:val="24"/>
              </w:rPr>
              <w:t>安全评价、检测检验程序和相关内容的。”</w:t>
            </w:r>
          </w:p>
        </w:tc>
        <w:tc>
          <w:tcPr>
            <w:tcW w:w="3542" w:type="dxa"/>
            <w:tcBorders>
              <w:top w:val="nil"/>
              <w:left w:val="nil"/>
              <w:bottom w:val="single" w:color="auto" w:sz="4" w:space="0"/>
              <w:right w:val="single" w:color="auto" w:sz="4" w:space="0"/>
            </w:tcBorders>
            <w:noWrap w:val="0"/>
            <w:vAlign w:val="center"/>
          </w:tcPr>
          <w:p w14:paraId="24A6181A">
            <w:pPr>
              <w:widowControl/>
              <w:spacing w:line="360" w:lineRule="atLeas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安全评价检测检验机构及其从业人员违反法规标准的规定开展安全评价、检测检验。</w:t>
            </w:r>
          </w:p>
        </w:tc>
      </w:tr>
      <w:tr w14:paraId="0CDB0DA4">
        <w:tblPrEx>
          <w:tblCellMar>
            <w:top w:w="0" w:type="dxa"/>
            <w:left w:w="28" w:type="dxa"/>
            <w:bottom w:w="0" w:type="dxa"/>
            <w:right w:w="28" w:type="dxa"/>
          </w:tblCellMar>
        </w:tblPrEx>
        <w:trPr>
          <w:wBefore w:w="0" w:type="dxa"/>
          <w:wAfter w:w="0" w:type="dxa"/>
          <w:cantSplit/>
          <w:trHeight w:val="454" w:hRule="atLeast"/>
          <w:jc w:val="center"/>
        </w:trPr>
        <w:tc>
          <w:tcPr>
            <w:tcW w:w="548" w:type="dxa"/>
            <w:tcBorders>
              <w:top w:val="nil"/>
              <w:left w:val="single" w:color="auto" w:sz="4" w:space="0"/>
              <w:bottom w:val="single" w:color="auto" w:sz="4" w:space="0"/>
              <w:right w:val="single" w:color="auto" w:sz="4" w:space="0"/>
            </w:tcBorders>
            <w:noWrap w:val="0"/>
            <w:vAlign w:val="center"/>
          </w:tcPr>
          <w:p w14:paraId="00557764">
            <w:pPr>
              <w:widowControl/>
              <w:spacing w:line="360" w:lineRule="atLeas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12</w:t>
            </w:r>
          </w:p>
        </w:tc>
        <w:tc>
          <w:tcPr>
            <w:tcW w:w="1863" w:type="dxa"/>
            <w:tcBorders>
              <w:top w:val="nil"/>
              <w:left w:val="nil"/>
              <w:bottom w:val="single" w:color="auto" w:sz="4" w:space="0"/>
              <w:right w:val="single" w:color="auto" w:sz="4" w:space="0"/>
            </w:tcBorders>
            <w:noWrap w:val="0"/>
            <w:vAlign w:val="center"/>
          </w:tcPr>
          <w:p w14:paraId="2AEA45F3">
            <w:pPr>
              <w:widowControl/>
              <w:spacing w:line="360" w:lineRule="atLeas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检查安全评价、安全生产检测检验报告</w:t>
            </w:r>
          </w:p>
        </w:tc>
        <w:tc>
          <w:tcPr>
            <w:tcW w:w="1276" w:type="dxa"/>
            <w:tcBorders>
              <w:top w:val="nil"/>
              <w:left w:val="nil"/>
              <w:bottom w:val="single" w:color="auto" w:sz="4" w:space="0"/>
              <w:right w:val="single" w:color="auto" w:sz="4" w:space="0"/>
            </w:tcBorders>
            <w:noWrap w:val="0"/>
            <w:vAlign w:val="center"/>
          </w:tcPr>
          <w:p w14:paraId="7D09355A">
            <w:pPr>
              <w:widowControl/>
              <w:spacing w:line="360" w:lineRule="atLeas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检查安全评价、安全生产检测检验报告，结合现场对比</w:t>
            </w:r>
          </w:p>
        </w:tc>
        <w:tc>
          <w:tcPr>
            <w:tcW w:w="5812" w:type="dxa"/>
            <w:tcBorders>
              <w:top w:val="nil"/>
              <w:left w:val="nil"/>
              <w:bottom w:val="single" w:color="auto" w:sz="4" w:space="0"/>
              <w:right w:val="single" w:color="auto" w:sz="4" w:space="0"/>
            </w:tcBorders>
            <w:noWrap w:val="0"/>
            <w:vAlign w:val="center"/>
          </w:tcPr>
          <w:p w14:paraId="0D4AF2BB">
            <w:pPr>
              <w:widowControl/>
              <w:spacing w:line="360" w:lineRule="atLeas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〔法律〕《</w:t>
            </w:r>
            <w:r>
              <w:rPr>
                <w:rFonts w:hint="eastAsia" w:ascii="Times New Roman" w:hAnsi="Times New Roman" w:eastAsia="仿宋_GB2312"/>
                <w:color w:val="000000"/>
                <w:kern w:val="0"/>
                <w:sz w:val="24"/>
                <w:szCs w:val="24"/>
                <w:lang w:eastAsia="zh-CN"/>
              </w:rPr>
              <w:t>中华人民共和国</w:t>
            </w:r>
            <w:r>
              <w:rPr>
                <w:rFonts w:ascii="Times New Roman" w:hAnsi="Times New Roman" w:eastAsia="仿宋_GB2312"/>
                <w:color w:val="000000"/>
                <w:kern w:val="0"/>
                <w:sz w:val="24"/>
                <w:szCs w:val="24"/>
              </w:rPr>
              <w:t>安全生产法》第六十九条“承担安全评价、认证、检测、检验的机构应当具备国家规定的资质条件，并对其作出的安全评价、认证、检测、检验的结果负责。”</w:t>
            </w:r>
            <w:r>
              <w:rPr>
                <w:rFonts w:ascii="Times New Roman" w:hAnsi="Times New Roman" w:eastAsia="仿宋_GB2312"/>
                <w:color w:val="000000"/>
                <w:kern w:val="0"/>
                <w:sz w:val="24"/>
                <w:szCs w:val="24"/>
              </w:rPr>
              <w:br w:type="textWrapping"/>
            </w:r>
            <w:r>
              <w:rPr>
                <w:rFonts w:ascii="Times New Roman" w:hAnsi="Times New Roman" w:eastAsia="仿宋_GB2312"/>
                <w:color w:val="000000"/>
                <w:kern w:val="0"/>
                <w:sz w:val="24"/>
                <w:szCs w:val="24"/>
              </w:rPr>
              <w:t>〔部门规章〕《安全评价检测检验机构管理办法》（应急管理部令第1号）第二十二条“安全评价检测检验机构及其从业人员不得有下列行为：（五）出具虚假或者重大疏漏的安全评价、检测检验报告的；”</w:t>
            </w:r>
          </w:p>
        </w:tc>
        <w:tc>
          <w:tcPr>
            <w:tcW w:w="3542" w:type="dxa"/>
            <w:tcBorders>
              <w:top w:val="nil"/>
              <w:left w:val="nil"/>
              <w:bottom w:val="single" w:color="auto" w:sz="4" w:space="0"/>
              <w:right w:val="single" w:color="auto" w:sz="4" w:space="0"/>
            </w:tcBorders>
            <w:noWrap w:val="0"/>
            <w:vAlign w:val="center"/>
          </w:tcPr>
          <w:p w14:paraId="7D01298D">
            <w:pPr>
              <w:widowControl/>
              <w:spacing w:line="360" w:lineRule="atLeast"/>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承担安全评价、认证、检测、检验的机构出具虚假或者重大疏漏的安全评价、检测检验报告。</w:t>
            </w:r>
          </w:p>
        </w:tc>
      </w:tr>
    </w:tbl>
    <w:p w14:paraId="19D48EAC">
      <w:pPr>
        <w:rPr>
          <w:rFonts w:ascii="Times New Roman" w:hAnsi="Times New Roman"/>
        </w:rPr>
      </w:pPr>
    </w:p>
    <w:sectPr>
      <w:footerReference r:id="rId3" w:type="default"/>
      <w:pgSz w:w="16838" w:h="11906" w:orient="landscape"/>
      <w:pgMar w:top="1418" w:right="1985" w:bottom="1418" w:left="181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512EF1-A87C-484B-9812-75993A2127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小标宋简体"/>
    <w:panose1 w:val="03000509000000000000"/>
    <w:charset w:val="86"/>
    <w:family w:val="script"/>
    <w:pitch w:val="default"/>
    <w:sig w:usb0="00000001" w:usb1="080E0000" w:usb2="00000000" w:usb3="00000000" w:csb0="00040000" w:csb1="00000000"/>
    <w:embedRegular r:id="rId2" w:fontKey="{153BE319-0596-4C3A-B100-8C0628988D9A}"/>
  </w:font>
  <w:font w:name="仿宋_GB2312">
    <w:altName w:val="仿宋"/>
    <w:panose1 w:val="02010609030101010101"/>
    <w:charset w:val="86"/>
    <w:family w:val="modern"/>
    <w:pitch w:val="default"/>
    <w:sig w:usb0="00000001" w:usb1="080E0000" w:usb2="00000000" w:usb3="00000000" w:csb0="00040000" w:csb1="00000000"/>
    <w:embedRegular r:id="rId3" w:fontKey="{A5F845D5-EC0C-4EB5-A28B-264068A4B725}"/>
  </w:font>
  <w:font w:name="WPSEMBED2">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6F1BE">
    <w:pPr>
      <w:pStyle w:val="2"/>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4</w:t>
    </w:r>
    <w:r>
      <w:rPr>
        <w:rFonts w:ascii="Times New Roman" w:hAnsi="Times New Roman"/>
        <w:sz w:val="28"/>
        <w:szCs w:val="28"/>
      </w:rPr>
      <w:fldChar w:fldCharType="end"/>
    </w:r>
    <w:r>
      <w:rPr>
        <w:rFonts w:ascii="Times New Roman" w:hAnsi="Times New Roman"/>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B42"/>
    <w:rsid w:val="00082DE2"/>
    <w:rsid w:val="00306B42"/>
    <w:rsid w:val="003F2B44"/>
    <w:rsid w:val="0041127E"/>
    <w:rsid w:val="00492EF9"/>
    <w:rsid w:val="008B375E"/>
    <w:rsid w:val="009900FA"/>
    <w:rsid w:val="00E165BA"/>
    <w:rsid w:val="00EF6F95"/>
    <w:rsid w:val="02B52CC9"/>
    <w:rsid w:val="0A575C46"/>
    <w:rsid w:val="140B1DA7"/>
    <w:rsid w:val="15375F43"/>
    <w:rsid w:val="17E01290"/>
    <w:rsid w:val="3D8E4F95"/>
    <w:rsid w:val="523E1CA0"/>
    <w:rsid w:val="59C70824"/>
    <w:rsid w:val="6A405F4B"/>
    <w:rsid w:val="7372484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5">
    <w:name w:val="Default Paragraph Font"/>
    <w:unhideWhenUsed/>
    <w:uiPriority w:val="1"/>
  </w:style>
  <w:style w:type="table" w:default="1" w:styleId="4">
    <w:name w:val="Normal Table"/>
    <w:unhideWhenUsed/>
    <w:uiPriority w:val="99"/>
    <w:tblPr>
      <w:tblStyle w:val="4"/>
      <w:tblCellMar>
        <w:top w:w="0" w:type="dxa"/>
        <w:left w:w="108" w:type="dxa"/>
        <w:bottom w:w="0" w:type="dxa"/>
        <w:right w:w="108" w:type="dxa"/>
      </w:tblCellMar>
    </w:tblPr>
  </w:style>
  <w:style w:type="paragraph" w:styleId="2">
    <w:name w:val="footer"/>
    <w:basedOn w:val="1"/>
    <w:link w:val="6"/>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uiPriority w:val="99"/>
    <w:rPr>
      <w:kern w:val="2"/>
      <w:sz w:val="18"/>
      <w:szCs w:val="18"/>
    </w:rPr>
  </w:style>
  <w:style w:type="character" w:customStyle="1" w:styleId="7">
    <w:name w:val="页眉 Char"/>
    <w:link w:val="3"/>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2578</Words>
  <Characters>2581</Characters>
  <Lines>19</Lines>
  <Paragraphs>5</Paragraphs>
  <TotalTime>0</TotalTime>
  <ScaleCrop>false</ScaleCrop>
  <LinksUpToDate>false</LinksUpToDate>
  <CharactersWithSpaces>2583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2025-02-28T06:51:00Z</dcterms:created>
  <dc:creator>China</dc:creator>
  <cp:lastModifiedBy>光</cp:lastModifiedBy>
  <dcterms:modified xsi:type="dcterms:W3CDTF">2026-04-27T03:06:02Z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eyJoZGlkIjoiMjUyYWFlYmY1MDgzZjVkMTIyZDNjNGU3MzRhOTU3MzYiLCJ1c2VySWQiOiIxMTMzNTQyMDk0In0=</vt:lpwstr>
  </property>
  <property fmtid="{D5CDD505-2E9C-101B-9397-08002B2CF9AE}" pid="3" name="KSOProductBuildVer">
    <vt:lpwstr>2052-12.1.0.25225</vt:lpwstr>
  </property>
  <property fmtid="{D5CDD505-2E9C-101B-9397-08002B2CF9AE}" pid="4" name="ICV">
    <vt:lpwstr>6C9CFEA9C4364A50A4097679517AF8E8_13</vt:lpwstr>
  </property>
</Properties>
</file>