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26D20">
      <w:pPr>
        <w:spacing w:line="592" w:lineRule="exact"/>
        <w:jc w:val="center"/>
        <w:rPr>
          <w:rFonts w:ascii="Times New Roman" w:hAnsi="Times New Roman" w:eastAsia="仿宋_GB2312"/>
          <w:sz w:val="24"/>
          <w:szCs w:val="24"/>
        </w:rPr>
      </w:pPr>
      <w:bookmarkStart w:id="0" w:name="OLE_LINK4"/>
      <w:bookmarkStart w:id="1" w:name="OLE_LINK3"/>
      <w:r>
        <w:rPr>
          <w:rFonts w:ascii="Times New Roman" w:hAnsi="Times New Roman" w:eastAsia="方正小标宋简体"/>
          <w:sz w:val="44"/>
          <w:szCs w:val="44"/>
        </w:rPr>
        <w:t>“</w:t>
      </w:r>
      <w:bookmarkStart w:id="2" w:name="_GoBack"/>
      <w:r>
        <w:rPr>
          <w:rFonts w:ascii="Times New Roman" w:hAnsi="Times New Roman" w:eastAsia="方正小标宋简体"/>
          <w:sz w:val="44"/>
          <w:szCs w:val="44"/>
        </w:rPr>
        <w:t>对生产安全事故应急预案备案”的检查标准</w:t>
      </w:r>
      <w:bookmarkEnd w:id="2"/>
    </w:p>
    <w:bookmarkEnd w:id="0"/>
    <w:bookmarkEnd w:id="1"/>
    <w:tbl>
      <w:tblPr>
        <w:tblStyle w:val="4"/>
        <w:tblW w:w="13041" w:type="dxa"/>
        <w:jc w:val="center"/>
        <w:tblLayout w:type="fixed"/>
        <w:tblCellMar>
          <w:top w:w="0" w:type="dxa"/>
          <w:left w:w="28" w:type="dxa"/>
          <w:bottom w:w="0" w:type="dxa"/>
          <w:right w:w="28" w:type="dxa"/>
        </w:tblCellMar>
      </w:tblPr>
      <w:tblGrid>
        <w:gridCol w:w="427"/>
        <w:gridCol w:w="567"/>
        <w:gridCol w:w="567"/>
        <w:gridCol w:w="10914"/>
        <w:gridCol w:w="566"/>
      </w:tblGrid>
      <w:tr w14:paraId="68D16026">
        <w:tblPrEx>
          <w:tblCellMar>
            <w:top w:w="0" w:type="dxa"/>
            <w:left w:w="28" w:type="dxa"/>
            <w:bottom w:w="0" w:type="dxa"/>
            <w:right w:w="28" w:type="dxa"/>
          </w:tblCellMar>
        </w:tblPrEx>
        <w:trPr>
          <w:wBefore w:w="0" w:type="auto"/>
          <w:wAfter w:w="0" w:type="auto"/>
          <w:cantSplit/>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4884ED6D">
            <w:pPr>
              <w:widowControl/>
              <w:spacing w:line="26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序号</w:t>
            </w:r>
          </w:p>
        </w:tc>
        <w:tc>
          <w:tcPr>
            <w:tcW w:w="567" w:type="dxa"/>
            <w:tcBorders>
              <w:top w:val="single" w:color="auto" w:sz="4" w:space="0"/>
              <w:left w:val="nil"/>
              <w:bottom w:val="single" w:color="auto" w:sz="4" w:space="0"/>
              <w:right w:val="single" w:color="auto" w:sz="4" w:space="0"/>
            </w:tcBorders>
            <w:noWrap w:val="0"/>
            <w:vAlign w:val="center"/>
          </w:tcPr>
          <w:p w14:paraId="5EE57708">
            <w:pPr>
              <w:widowControl/>
              <w:spacing w:line="260" w:lineRule="exact"/>
              <w:jc w:val="center"/>
              <w:rPr>
                <w:rFonts w:ascii="黑体" w:hAnsi="黑体" w:eastAsia="黑体"/>
                <w:color w:val="000000"/>
                <w:kern w:val="0"/>
                <w:sz w:val="24"/>
                <w:szCs w:val="24"/>
              </w:rPr>
            </w:pPr>
            <w:r>
              <w:rPr>
                <w:rFonts w:ascii="黑体" w:hAnsi="黑体" w:eastAsia="黑体"/>
                <w:color w:val="000000"/>
                <w:kern w:val="0"/>
                <w:sz w:val="24"/>
                <w:szCs w:val="24"/>
              </w:rPr>
              <w:t>检查内容</w:t>
            </w:r>
          </w:p>
        </w:tc>
        <w:tc>
          <w:tcPr>
            <w:tcW w:w="567" w:type="dxa"/>
            <w:tcBorders>
              <w:top w:val="single" w:color="auto" w:sz="4" w:space="0"/>
              <w:left w:val="nil"/>
              <w:bottom w:val="single" w:color="auto" w:sz="4" w:space="0"/>
              <w:right w:val="single" w:color="auto" w:sz="4" w:space="0"/>
            </w:tcBorders>
            <w:noWrap w:val="0"/>
            <w:vAlign w:val="center"/>
          </w:tcPr>
          <w:p w14:paraId="4831EA56">
            <w:pPr>
              <w:widowControl/>
              <w:spacing w:line="260" w:lineRule="exact"/>
              <w:jc w:val="center"/>
              <w:rPr>
                <w:rFonts w:ascii="黑体" w:hAnsi="黑体" w:eastAsia="黑体"/>
                <w:color w:val="000000"/>
                <w:kern w:val="0"/>
                <w:sz w:val="24"/>
                <w:szCs w:val="24"/>
              </w:rPr>
            </w:pPr>
            <w:r>
              <w:rPr>
                <w:rFonts w:ascii="黑体" w:hAnsi="黑体" w:eastAsia="黑体"/>
                <w:color w:val="000000"/>
                <w:kern w:val="0"/>
                <w:sz w:val="24"/>
                <w:szCs w:val="24"/>
              </w:rPr>
              <w:t>检查方法</w:t>
            </w:r>
          </w:p>
        </w:tc>
        <w:tc>
          <w:tcPr>
            <w:tcW w:w="10914" w:type="dxa"/>
            <w:tcBorders>
              <w:top w:val="single" w:color="auto" w:sz="4" w:space="0"/>
              <w:left w:val="nil"/>
              <w:bottom w:val="single" w:color="auto" w:sz="4" w:space="0"/>
              <w:right w:val="single" w:color="auto" w:sz="4" w:space="0"/>
            </w:tcBorders>
            <w:noWrap w:val="0"/>
            <w:vAlign w:val="center"/>
          </w:tcPr>
          <w:p w14:paraId="66F74713">
            <w:pPr>
              <w:widowControl/>
              <w:spacing w:line="260" w:lineRule="exact"/>
              <w:jc w:val="center"/>
              <w:rPr>
                <w:rFonts w:ascii="黑体" w:hAnsi="黑体" w:eastAsia="黑体"/>
                <w:color w:val="000000"/>
                <w:kern w:val="0"/>
                <w:sz w:val="24"/>
                <w:szCs w:val="24"/>
              </w:rPr>
            </w:pPr>
            <w:r>
              <w:rPr>
                <w:rFonts w:ascii="黑体" w:hAnsi="黑体" w:eastAsia="黑体"/>
                <w:color w:val="000000"/>
                <w:kern w:val="0"/>
                <w:sz w:val="24"/>
                <w:szCs w:val="24"/>
              </w:rPr>
              <w:t>检查依据</w:t>
            </w:r>
          </w:p>
        </w:tc>
        <w:tc>
          <w:tcPr>
            <w:tcW w:w="566" w:type="dxa"/>
            <w:tcBorders>
              <w:top w:val="single" w:color="auto" w:sz="4" w:space="0"/>
              <w:left w:val="nil"/>
              <w:bottom w:val="single" w:color="auto" w:sz="4" w:space="0"/>
              <w:right w:val="single" w:color="auto" w:sz="4" w:space="0"/>
            </w:tcBorders>
            <w:noWrap w:val="0"/>
            <w:vAlign w:val="center"/>
          </w:tcPr>
          <w:p w14:paraId="5A65978F">
            <w:pPr>
              <w:widowControl/>
              <w:spacing w:line="260" w:lineRule="exact"/>
              <w:jc w:val="center"/>
              <w:rPr>
                <w:rFonts w:ascii="黑体" w:hAnsi="黑体" w:eastAsia="黑体"/>
                <w:color w:val="000000"/>
                <w:kern w:val="0"/>
                <w:sz w:val="24"/>
                <w:szCs w:val="24"/>
              </w:rPr>
            </w:pPr>
            <w:r>
              <w:rPr>
                <w:rFonts w:ascii="黑体" w:hAnsi="黑体" w:eastAsia="黑体"/>
                <w:color w:val="000000"/>
                <w:kern w:val="0"/>
                <w:sz w:val="24"/>
                <w:szCs w:val="24"/>
              </w:rPr>
              <w:t>常见问题示例</w:t>
            </w:r>
          </w:p>
        </w:tc>
      </w:tr>
      <w:tr w14:paraId="4BC94E92">
        <w:tblPrEx>
          <w:tblCellMar>
            <w:top w:w="0" w:type="dxa"/>
            <w:left w:w="28" w:type="dxa"/>
            <w:bottom w:w="0" w:type="dxa"/>
            <w:right w:w="28" w:type="dxa"/>
          </w:tblCellMar>
        </w:tblPrEx>
        <w:trPr>
          <w:wBefore w:w="0" w:type="auto"/>
          <w:wAfter w:w="0" w:type="auto"/>
          <w:cantSplit/>
          <w:trHeight w:val="7247" w:hRule="atLeast"/>
          <w:jc w:val="center"/>
        </w:trPr>
        <w:tc>
          <w:tcPr>
            <w:tcW w:w="427" w:type="dxa"/>
            <w:tcBorders>
              <w:top w:val="nil"/>
              <w:left w:val="single" w:color="auto" w:sz="4" w:space="0"/>
              <w:bottom w:val="single" w:color="auto" w:sz="4" w:space="0"/>
              <w:right w:val="single" w:color="auto" w:sz="4" w:space="0"/>
            </w:tcBorders>
            <w:noWrap w:val="0"/>
            <w:vAlign w:val="center"/>
          </w:tcPr>
          <w:p w14:paraId="3064EEF4">
            <w:pPr>
              <w:widowControl/>
              <w:spacing w:line="260" w:lineRule="exact"/>
              <w:jc w:val="center"/>
              <w:rPr>
                <w:rFonts w:hint="eastAsia" w:ascii="Times New Roman" w:hAnsi="Times New Roman" w:eastAsia="仿宋_GB2312"/>
                <w:kern w:val="0"/>
                <w:sz w:val="21"/>
                <w:szCs w:val="21"/>
                <w:lang w:eastAsia="zh-CN"/>
              </w:rPr>
            </w:pPr>
            <w:r>
              <w:rPr>
                <w:rFonts w:hint="eastAsia" w:ascii="Times New Roman" w:hAnsi="Times New Roman" w:eastAsia="仿宋_GB2312"/>
                <w:kern w:val="0"/>
                <w:sz w:val="21"/>
                <w:szCs w:val="21"/>
                <w:lang w:val="en-US" w:eastAsia="zh-CN"/>
              </w:rPr>
              <w:t>1</w:t>
            </w:r>
          </w:p>
        </w:tc>
        <w:tc>
          <w:tcPr>
            <w:tcW w:w="567" w:type="dxa"/>
            <w:tcBorders>
              <w:top w:val="nil"/>
              <w:left w:val="nil"/>
              <w:bottom w:val="single" w:color="auto" w:sz="4" w:space="0"/>
              <w:right w:val="single" w:color="auto" w:sz="4" w:space="0"/>
            </w:tcBorders>
            <w:noWrap w:val="0"/>
            <w:vAlign w:val="center"/>
          </w:tcPr>
          <w:p w14:paraId="26B95B9B">
            <w:pPr>
              <w:widowControl/>
              <w:spacing w:line="26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对生产安全事故应急预案备案的行政检查</w:t>
            </w:r>
          </w:p>
        </w:tc>
        <w:tc>
          <w:tcPr>
            <w:tcW w:w="567" w:type="dxa"/>
            <w:tcBorders>
              <w:top w:val="nil"/>
              <w:left w:val="nil"/>
              <w:bottom w:val="single" w:color="auto" w:sz="4" w:space="0"/>
              <w:right w:val="single" w:color="auto" w:sz="4" w:space="0"/>
            </w:tcBorders>
            <w:noWrap w:val="0"/>
            <w:vAlign w:val="center"/>
          </w:tcPr>
          <w:p w14:paraId="5BB4D207">
            <w:pPr>
              <w:widowControl/>
              <w:spacing w:line="26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现场</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检查</w:t>
            </w:r>
          </w:p>
        </w:tc>
        <w:tc>
          <w:tcPr>
            <w:tcW w:w="10914" w:type="dxa"/>
            <w:tcBorders>
              <w:top w:val="nil"/>
              <w:left w:val="nil"/>
              <w:bottom w:val="single" w:color="auto" w:sz="4" w:space="0"/>
              <w:right w:val="single" w:color="auto" w:sz="4" w:space="0"/>
            </w:tcBorders>
            <w:noWrap w:val="0"/>
            <w:vAlign w:val="center"/>
          </w:tcPr>
          <w:p w14:paraId="49426D72">
            <w:pPr>
              <w:widowControl/>
              <w:spacing w:line="260" w:lineRule="exact"/>
              <w:rPr>
                <w:rFonts w:ascii="Times New Roman" w:hAnsi="Times New Roman" w:eastAsia="仿宋_GB2312"/>
                <w:kern w:val="0"/>
                <w:sz w:val="21"/>
                <w:szCs w:val="21"/>
              </w:rPr>
            </w:pPr>
            <w:r>
              <w:rPr>
                <w:rFonts w:ascii="Times New Roman" w:hAnsi="Times New Roman" w:eastAsia="仿宋_GB2312"/>
                <w:kern w:val="0"/>
                <w:sz w:val="21"/>
                <w:szCs w:val="21"/>
              </w:rPr>
              <w:t>1.《生产安全事故应急条例》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r>
              <w:rPr>
                <w:rFonts w:ascii="Times New Roman" w:hAnsi="Times New Roman" w:eastAsia="仿宋_GB2312"/>
                <w:kern w:val="0"/>
                <w:sz w:val="21"/>
                <w:szCs w:val="21"/>
              </w:rPr>
              <w:br w:type="textWrapping"/>
            </w:r>
            <w:r>
              <w:rPr>
                <w:rFonts w:ascii="Times New Roman" w:hAnsi="Times New Roman" w:eastAsia="仿宋_GB2312"/>
                <w:spacing w:val="-2"/>
                <w:kern w:val="0"/>
                <w:sz w:val="21"/>
                <w:szCs w:val="21"/>
              </w:rPr>
              <w:t>2.《生产安全事故应急预案管理办法》第二十六条：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油气输送管道运营单位的应急预案，除按照本条第一款、第二款的规定备案外，还应当抄送所经行政区域的县级人民政府应急管理部门。</w:t>
            </w:r>
            <w:r>
              <w:rPr>
                <w:rFonts w:ascii="Times New Roman" w:hAnsi="Times New Roman" w:eastAsia="仿宋_GB2312"/>
                <w:kern w:val="0"/>
                <w:sz w:val="21"/>
                <w:szCs w:val="21"/>
              </w:rPr>
              <w:br w:type="textWrapping"/>
            </w:r>
            <w:r>
              <w:rPr>
                <w:rFonts w:ascii="Times New Roman" w:hAnsi="Times New Roman" w:eastAsia="仿宋_GB2312"/>
                <w:spacing w:val="-2"/>
                <w:kern w:val="0"/>
                <w:sz w:val="21"/>
                <w:szCs w:val="21"/>
              </w:rPr>
              <w:t>海洋石油开采企业的应急预案，除按照本条第一款、第二款的规定备案外，还应当抄送所经行政区域的县级人民政府应急管理部门和海洋石油安全监管机构。</w:t>
            </w:r>
            <w:r>
              <w:rPr>
                <w:rFonts w:ascii="Times New Roman" w:hAnsi="Times New Roman" w:eastAsia="仿宋_GB2312"/>
                <w:spacing w:val="-2"/>
                <w:kern w:val="0"/>
                <w:sz w:val="21"/>
                <w:szCs w:val="21"/>
              </w:rPr>
              <w:br w:type="textWrapping"/>
            </w:r>
            <w:r>
              <w:rPr>
                <w:rFonts w:ascii="Times New Roman" w:hAnsi="Times New Roman" w:eastAsia="仿宋_GB2312"/>
                <w:spacing w:val="-2"/>
                <w:kern w:val="0"/>
                <w:sz w:val="21"/>
                <w:szCs w:val="21"/>
              </w:rPr>
              <w:t>煤矿企业的应急预案除按照本条第一款、第二款的规定备案外，还应当抄送所在地的煤矿安全监察机构。</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3.《河北省安全生产条例》第三十四条：第二款生产经营单位应当将重大危险源存在的危险因素和安全措施、应急措施及时如实告知从业人员和相关人员，在醒目位置设置警示标志，并按照有关规定将重大危险源及其有关安全措施、应急预案报应急管理部门和有关部门备案，应急管理部门和有关部门应当通过相关信息系统实现信息共享。</w:t>
            </w:r>
            <w:r>
              <w:rPr>
                <w:rFonts w:ascii="Times New Roman" w:hAnsi="Times New Roman" w:eastAsia="仿宋_GB2312"/>
                <w:kern w:val="0"/>
                <w:sz w:val="21"/>
                <w:szCs w:val="21"/>
              </w:rPr>
              <w:br w:type="textWrapping"/>
            </w:r>
            <w:r>
              <w:rPr>
                <w:rFonts w:ascii="Times New Roman" w:hAnsi="Times New Roman" w:eastAsia="仿宋_GB2312"/>
                <w:kern w:val="0"/>
                <w:sz w:val="21"/>
                <w:szCs w:val="21"/>
              </w:rPr>
              <w:t>4.《河北省安全生产应急管理规定》第九条：第二款生产经营单位应当针对本单位可能发生的生产安全事故，按国家和本省有关规定制定生产安全事故应急预案，报相应应急管理部门和其他有关部门备案。第三款县级以上人民政府及其有关部门、生产经营单位制定的有关生产安全事故应急预案应当相互衔接，并根据国家和本省有关规定及时修订。</w:t>
            </w:r>
          </w:p>
        </w:tc>
        <w:tc>
          <w:tcPr>
            <w:tcW w:w="566" w:type="dxa"/>
            <w:tcBorders>
              <w:top w:val="nil"/>
              <w:left w:val="nil"/>
              <w:bottom w:val="single" w:color="auto" w:sz="4" w:space="0"/>
              <w:right w:val="single" w:color="auto" w:sz="4" w:space="0"/>
            </w:tcBorders>
            <w:noWrap w:val="0"/>
            <w:vAlign w:val="center"/>
          </w:tcPr>
          <w:p w14:paraId="4CEA37AC">
            <w:pPr>
              <w:widowControl/>
              <w:spacing w:line="260" w:lineRule="exact"/>
              <w:rPr>
                <w:rFonts w:ascii="Times New Roman" w:hAnsi="Times New Roman" w:eastAsia="仿宋_GB2312"/>
                <w:kern w:val="0"/>
                <w:sz w:val="21"/>
                <w:szCs w:val="21"/>
              </w:rPr>
            </w:pPr>
            <w:r>
              <w:rPr>
                <w:rFonts w:hint="eastAsia" w:ascii="Times New Roman" w:hAnsi="Times New Roman" w:eastAsia="仿宋_GB2312"/>
                <w:kern w:val="0"/>
                <w:sz w:val="21"/>
                <w:szCs w:val="21"/>
                <w:lang w:val="en-US" w:eastAsia="zh-CN"/>
              </w:rPr>
              <w:t>未按规定进行应急预案备案</w:t>
            </w:r>
          </w:p>
        </w:tc>
      </w:tr>
    </w:tbl>
    <w:p w14:paraId="5FD62A41">
      <w:pPr>
        <w:spacing w:line="40" w:lineRule="exact"/>
        <w:rPr>
          <w:rFonts w:ascii="Times New Roman" w:hAnsi="Times New Roman" w:eastAsia="仿宋_GB2312"/>
          <w:sz w:val="24"/>
          <w:szCs w:val="24"/>
        </w:rPr>
      </w:pPr>
    </w:p>
    <w:sectPr>
      <w:footerReference r:id="rId3" w:type="default"/>
      <w:pgSz w:w="16838" w:h="11906" w:orient="landscape"/>
      <w:pgMar w:top="1418" w:right="1985" w:bottom="1418"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D93DD5-63D8-4015-B89F-764D490635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小标宋简体"/>
    <w:panose1 w:val="03000509000000000000"/>
    <w:charset w:val="86"/>
    <w:family w:val="script"/>
    <w:pitch w:val="default"/>
    <w:sig w:usb0="00000001" w:usb1="080E0000" w:usb2="00000000" w:usb3="00000000" w:csb0="00040000" w:csb1="00000000"/>
    <w:embedRegular r:id="rId2" w:fontKey="{B7F050F9-9B08-49F0-9E3A-1E1C442E48DC}"/>
  </w:font>
  <w:font w:name="仿宋_GB2312">
    <w:altName w:val="仿宋"/>
    <w:panose1 w:val="02010609030101010101"/>
    <w:charset w:val="86"/>
    <w:family w:val="modern"/>
    <w:pitch w:val="default"/>
    <w:sig w:usb0="00000001" w:usb1="080E0000" w:usb2="00000000" w:usb3="00000000" w:csb0="00040000" w:csb1="00000000"/>
    <w:embedRegular r:id="rId3" w:fontKey="{4474A0DE-5574-43F3-99FC-A8231F349908}"/>
  </w:font>
  <w:font w:name="WPSEMBED2">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6E28">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42"/>
    <w:rsid w:val="00036651"/>
    <w:rsid w:val="00082DE2"/>
    <w:rsid w:val="00306B42"/>
    <w:rsid w:val="00334F6A"/>
    <w:rsid w:val="003454BB"/>
    <w:rsid w:val="003E3BB9"/>
    <w:rsid w:val="003F2B44"/>
    <w:rsid w:val="0041127E"/>
    <w:rsid w:val="004E3071"/>
    <w:rsid w:val="00566776"/>
    <w:rsid w:val="0059566F"/>
    <w:rsid w:val="008B375E"/>
    <w:rsid w:val="009604E7"/>
    <w:rsid w:val="009900FA"/>
    <w:rsid w:val="00A9215D"/>
    <w:rsid w:val="00BD02A3"/>
    <w:rsid w:val="00C2013B"/>
    <w:rsid w:val="00C66748"/>
    <w:rsid w:val="00D05A1C"/>
    <w:rsid w:val="00DF0388"/>
    <w:rsid w:val="00E165BA"/>
    <w:rsid w:val="00EF6F95"/>
    <w:rsid w:val="00F1572D"/>
    <w:rsid w:val="00F312BC"/>
    <w:rsid w:val="00FA7FA0"/>
    <w:rsid w:val="1ECC2BB4"/>
    <w:rsid w:val="41C903CB"/>
    <w:rsid w:val="420A5FBD"/>
    <w:rsid w:val="77C93E64"/>
    <w:rsid w:val="7AD324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800080"/>
      <w:u w:val="single"/>
    </w:rPr>
  </w:style>
  <w:style w:type="character" w:styleId="7">
    <w:name w:val="Hyperlink"/>
    <w:unhideWhenUsed/>
    <w:uiPriority w:val="99"/>
    <w:rPr>
      <w:color w:val="0000FF"/>
      <w:u w:val="single"/>
    </w:rPr>
  </w:style>
  <w:style w:type="character" w:customStyle="1" w:styleId="8">
    <w:name w:val="页脚 Char"/>
    <w:link w:val="2"/>
    <w:uiPriority w:val="99"/>
    <w:rPr>
      <w:kern w:val="2"/>
      <w:sz w:val="18"/>
      <w:szCs w:val="18"/>
    </w:rPr>
  </w:style>
  <w:style w:type="character" w:customStyle="1" w:styleId="9">
    <w:name w:val="页眉 Char"/>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1266</Words>
  <Characters>1271</Characters>
  <Lines>9</Lines>
  <Paragraphs>2</Paragraphs>
  <TotalTime>8</TotalTime>
  <ScaleCrop>false</ScaleCrop>
  <LinksUpToDate>false</LinksUpToDate>
  <CharactersWithSpaces>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2025-02-28T07:54:00Z</dcterms:created>
  <dc:creator>China</dc:creator>
  <cp:lastModifiedBy>光</cp:lastModifiedBy>
  <dcterms:modified xsi:type="dcterms:W3CDTF">2026-04-27T03:07:57Z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eyJoZGlkIjoiYmYxZGQ2MzMxMTk1YzEyOTM2ODgwY2RkNTJiZmY4ZTEiLCJ1c2VySWQiOiIxMTMzNjY4NDA4In0=</vt:lpwstr>
  </property>
  <property fmtid="{D5CDD505-2E9C-101B-9397-08002B2CF9AE}" pid="3" name="KSOProductBuildVer">
    <vt:lpwstr>2052-12.1.0.25225</vt:lpwstr>
  </property>
  <property fmtid="{D5CDD505-2E9C-101B-9397-08002B2CF9AE}" pid="4" name="ICV">
    <vt:lpwstr>87AE388CE8A14C3A936A6A7571E9A093_13</vt:lpwstr>
  </property>
</Properties>
</file>