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D96B9">
      <w:pPr>
        <w:spacing w:line="592" w:lineRule="exact"/>
        <w:jc w:val="center"/>
        <w:rPr>
          <w:rFonts w:ascii="Times New Roman" w:hAnsi="Times New Roman" w:eastAsia="仿宋_GB2312"/>
          <w:sz w:val="24"/>
          <w:szCs w:val="24"/>
        </w:rPr>
      </w:pPr>
      <w:r>
        <w:rPr>
          <w:rFonts w:ascii="Times New Roman" w:hAnsi="Times New Roman" w:eastAsia="方正小标宋简体"/>
          <w:sz w:val="44"/>
          <w:szCs w:val="44"/>
        </w:rPr>
        <w:t>“</w:t>
      </w:r>
      <w:bookmarkStart w:id="0" w:name="_GoBack"/>
      <w:r>
        <w:rPr>
          <w:rFonts w:ascii="Times New Roman" w:hAnsi="Times New Roman" w:eastAsia="方正小标宋简体"/>
          <w:sz w:val="44"/>
          <w:szCs w:val="44"/>
        </w:rPr>
        <w:t>对地震应急预案备案的行政检查”的检查标准</w:t>
      </w:r>
    </w:p>
    <w:bookmarkEnd w:id="0"/>
    <w:tbl>
      <w:tblPr>
        <w:tblStyle w:val="4"/>
        <w:tblW w:w="13041" w:type="dxa"/>
        <w:jc w:val="center"/>
        <w:tblLayout w:type="fixed"/>
        <w:tblCellMar>
          <w:top w:w="0" w:type="dxa"/>
          <w:left w:w="28" w:type="dxa"/>
          <w:bottom w:w="0" w:type="dxa"/>
          <w:right w:w="28" w:type="dxa"/>
        </w:tblCellMar>
      </w:tblPr>
      <w:tblGrid>
        <w:gridCol w:w="568"/>
        <w:gridCol w:w="2123"/>
        <w:gridCol w:w="2687"/>
        <w:gridCol w:w="4476"/>
        <w:gridCol w:w="3187"/>
      </w:tblGrid>
      <w:tr w14:paraId="73055FB0">
        <w:tblPrEx>
          <w:tblCellMar>
            <w:top w:w="0" w:type="dxa"/>
            <w:left w:w="28" w:type="dxa"/>
            <w:bottom w:w="0" w:type="dxa"/>
            <w:right w:w="28" w:type="dxa"/>
          </w:tblCellMar>
        </w:tblPrEx>
        <w:trPr>
          <w:wBefore w:w="0" w:type="dxa"/>
          <w:wAfter w:w="0" w:type="dxa"/>
          <w:cantSplit/>
          <w:trHeight w:val="454"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35953816">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序号</w:t>
            </w:r>
          </w:p>
        </w:tc>
        <w:tc>
          <w:tcPr>
            <w:tcW w:w="2123" w:type="dxa"/>
            <w:tcBorders>
              <w:top w:val="single" w:color="auto" w:sz="4" w:space="0"/>
              <w:left w:val="nil"/>
              <w:bottom w:val="single" w:color="auto" w:sz="4" w:space="0"/>
              <w:right w:val="single" w:color="auto" w:sz="4" w:space="0"/>
            </w:tcBorders>
            <w:noWrap w:val="0"/>
            <w:vAlign w:val="center"/>
          </w:tcPr>
          <w:p w14:paraId="4635A1AF">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检查内容</w:t>
            </w:r>
          </w:p>
        </w:tc>
        <w:tc>
          <w:tcPr>
            <w:tcW w:w="2687" w:type="dxa"/>
            <w:tcBorders>
              <w:top w:val="single" w:color="auto" w:sz="4" w:space="0"/>
              <w:left w:val="nil"/>
              <w:bottom w:val="single" w:color="auto" w:sz="4" w:space="0"/>
              <w:right w:val="single" w:color="auto" w:sz="4" w:space="0"/>
            </w:tcBorders>
            <w:noWrap w:val="0"/>
            <w:vAlign w:val="center"/>
          </w:tcPr>
          <w:p w14:paraId="0DC67632">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检查方法</w:t>
            </w:r>
          </w:p>
        </w:tc>
        <w:tc>
          <w:tcPr>
            <w:tcW w:w="4476" w:type="dxa"/>
            <w:tcBorders>
              <w:top w:val="single" w:color="auto" w:sz="4" w:space="0"/>
              <w:left w:val="nil"/>
              <w:bottom w:val="single" w:color="auto" w:sz="4" w:space="0"/>
              <w:right w:val="single" w:color="auto" w:sz="4" w:space="0"/>
            </w:tcBorders>
            <w:noWrap w:val="0"/>
            <w:vAlign w:val="center"/>
          </w:tcPr>
          <w:p w14:paraId="75F6FC41">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检查依据</w:t>
            </w:r>
          </w:p>
        </w:tc>
        <w:tc>
          <w:tcPr>
            <w:tcW w:w="3187" w:type="dxa"/>
            <w:tcBorders>
              <w:top w:val="single" w:color="auto" w:sz="4" w:space="0"/>
              <w:left w:val="nil"/>
              <w:bottom w:val="single" w:color="auto" w:sz="4" w:space="0"/>
              <w:right w:val="single" w:color="auto" w:sz="4" w:space="0"/>
            </w:tcBorders>
            <w:noWrap w:val="0"/>
            <w:vAlign w:val="center"/>
          </w:tcPr>
          <w:p w14:paraId="2B5DC37A">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常见问题示例</w:t>
            </w:r>
          </w:p>
        </w:tc>
      </w:tr>
      <w:tr w14:paraId="37221F5E">
        <w:tblPrEx>
          <w:tblCellMar>
            <w:top w:w="0" w:type="dxa"/>
            <w:left w:w="28" w:type="dxa"/>
            <w:bottom w:w="0" w:type="dxa"/>
            <w:right w:w="28" w:type="dxa"/>
          </w:tblCellMar>
        </w:tblPrEx>
        <w:trPr>
          <w:wBefore w:w="0" w:type="dxa"/>
          <w:wAfter w:w="0" w:type="dxa"/>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5AAE7089">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p>
        </w:tc>
        <w:tc>
          <w:tcPr>
            <w:tcW w:w="2123" w:type="dxa"/>
            <w:tcBorders>
              <w:top w:val="nil"/>
              <w:left w:val="nil"/>
              <w:bottom w:val="single" w:color="auto" w:sz="4" w:space="0"/>
              <w:right w:val="single" w:color="auto" w:sz="4" w:space="0"/>
            </w:tcBorders>
            <w:noWrap w:val="0"/>
            <w:vAlign w:val="center"/>
          </w:tcPr>
          <w:p w14:paraId="329D3917">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地震应急预案备案制定以及备案情况</w:t>
            </w:r>
          </w:p>
        </w:tc>
        <w:tc>
          <w:tcPr>
            <w:tcW w:w="2687" w:type="dxa"/>
            <w:tcBorders>
              <w:top w:val="nil"/>
              <w:left w:val="nil"/>
              <w:bottom w:val="single" w:color="auto" w:sz="4" w:space="0"/>
              <w:right w:val="single" w:color="auto" w:sz="4" w:space="0"/>
            </w:tcBorders>
            <w:noWrap w:val="0"/>
            <w:vAlign w:val="center"/>
          </w:tcPr>
          <w:p w14:paraId="1D65B40C">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文件审查：省市县应急管理部门根据权责查阅企业地震应急预案文本、备案材料</w:t>
            </w:r>
          </w:p>
        </w:tc>
        <w:tc>
          <w:tcPr>
            <w:tcW w:w="4476" w:type="dxa"/>
            <w:tcBorders>
              <w:top w:val="nil"/>
              <w:left w:val="nil"/>
              <w:bottom w:val="single" w:color="auto" w:sz="4" w:space="0"/>
              <w:right w:val="single" w:color="auto" w:sz="4" w:space="0"/>
            </w:tcBorders>
            <w:noWrap w:val="0"/>
            <w:vAlign w:val="center"/>
          </w:tcPr>
          <w:p w14:paraId="60392297">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中华人民共和国防震减灾法》第四十六条规定交通、铁路、电力、通信等基础设施和学校、医院等人员密集场所的经营管理单位，以及可能发生次生灾害的核电、矿山、危险物品等生产经营单位，应当制定应急预案。并报所在地的县级人民政府负责管理地震工作的部门或者机构备案。</w:t>
            </w:r>
          </w:p>
        </w:tc>
        <w:tc>
          <w:tcPr>
            <w:tcW w:w="3187" w:type="dxa"/>
            <w:tcBorders>
              <w:top w:val="nil"/>
              <w:left w:val="nil"/>
              <w:bottom w:val="single" w:color="auto" w:sz="4" w:space="0"/>
              <w:right w:val="single" w:color="auto" w:sz="4" w:space="0"/>
            </w:tcBorders>
            <w:noWrap w:val="0"/>
            <w:vAlign w:val="center"/>
          </w:tcPr>
          <w:p w14:paraId="1E9A07DE">
            <w:pPr>
              <w:widowControl/>
              <w:spacing w:line="3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lang w:val="en-US" w:eastAsia="zh-CN"/>
              </w:rPr>
              <w:t>未</w:t>
            </w:r>
            <w:r>
              <w:rPr>
                <w:rFonts w:ascii="Times New Roman" w:hAnsi="Times New Roman" w:eastAsia="仿宋_GB2312"/>
                <w:color w:val="000000"/>
                <w:kern w:val="0"/>
                <w:sz w:val="24"/>
                <w:szCs w:val="24"/>
              </w:rPr>
              <w:t>依法制定地震应急预案</w:t>
            </w:r>
            <w:r>
              <w:rPr>
                <w:rFonts w:hint="eastAsia" w:ascii="Times New Roman" w:hAnsi="Times New Roman" w:eastAsia="仿宋_GB2312"/>
                <w:color w:val="000000"/>
                <w:kern w:val="0"/>
                <w:sz w:val="24"/>
                <w:szCs w:val="24"/>
                <w:lang w:val="en-US" w:eastAsia="zh-CN"/>
              </w:rPr>
              <w:t>或</w:t>
            </w:r>
            <w:r>
              <w:rPr>
                <w:rFonts w:ascii="Times New Roman" w:hAnsi="Times New Roman" w:eastAsia="仿宋_GB2312"/>
                <w:color w:val="000000"/>
                <w:kern w:val="0"/>
                <w:sz w:val="24"/>
                <w:szCs w:val="24"/>
              </w:rPr>
              <w:t>预案内容</w:t>
            </w:r>
            <w:r>
              <w:rPr>
                <w:rFonts w:hint="eastAsia" w:ascii="Times New Roman" w:hAnsi="Times New Roman" w:eastAsia="仿宋_GB2312"/>
                <w:color w:val="000000"/>
                <w:kern w:val="0"/>
                <w:sz w:val="24"/>
                <w:szCs w:val="24"/>
                <w:lang w:val="en-US" w:eastAsia="zh-CN"/>
              </w:rPr>
              <w:t>不</w:t>
            </w:r>
            <w:r>
              <w:rPr>
                <w:rFonts w:ascii="Times New Roman" w:hAnsi="Times New Roman" w:eastAsia="仿宋_GB2312"/>
                <w:color w:val="000000"/>
                <w:kern w:val="0"/>
                <w:sz w:val="24"/>
                <w:szCs w:val="24"/>
              </w:rPr>
              <w:t>完整。</w:t>
            </w:r>
          </w:p>
        </w:tc>
      </w:tr>
      <w:tr w14:paraId="146A49F5">
        <w:tblPrEx>
          <w:tblCellMar>
            <w:top w:w="0" w:type="dxa"/>
            <w:left w:w="28" w:type="dxa"/>
            <w:bottom w:w="0" w:type="dxa"/>
            <w:right w:w="28" w:type="dxa"/>
          </w:tblCellMar>
        </w:tblPrEx>
        <w:trPr>
          <w:wBefore w:w="0" w:type="dxa"/>
          <w:wAfter w:w="0" w:type="dxa"/>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53D26D43">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p>
        </w:tc>
        <w:tc>
          <w:tcPr>
            <w:tcW w:w="2123" w:type="dxa"/>
            <w:tcBorders>
              <w:top w:val="nil"/>
              <w:left w:val="nil"/>
              <w:bottom w:val="single" w:color="auto" w:sz="4" w:space="0"/>
              <w:right w:val="single" w:color="auto" w:sz="4" w:space="0"/>
            </w:tcBorders>
            <w:noWrap w:val="0"/>
            <w:vAlign w:val="center"/>
          </w:tcPr>
          <w:p w14:paraId="6C4F2263">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地震应急预案的可操作性</w:t>
            </w:r>
          </w:p>
        </w:tc>
        <w:tc>
          <w:tcPr>
            <w:tcW w:w="2687" w:type="dxa"/>
            <w:tcBorders>
              <w:top w:val="nil"/>
              <w:left w:val="nil"/>
              <w:bottom w:val="single" w:color="auto" w:sz="4" w:space="0"/>
              <w:right w:val="single" w:color="auto" w:sz="4" w:space="0"/>
            </w:tcBorders>
            <w:noWrap w:val="0"/>
            <w:vAlign w:val="center"/>
          </w:tcPr>
          <w:p w14:paraId="6AC25284">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现场询问：省市县应急管理部门根据权责与企业相关负责人沟通，了解预案的制定、演练及实施情况</w:t>
            </w:r>
          </w:p>
        </w:tc>
        <w:tc>
          <w:tcPr>
            <w:tcW w:w="4476" w:type="dxa"/>
            <w:tcBorders>
              <w:top w:val="nil"/>
              <w:left w:val="nil"/>
              <w:bottom w:val="single" w:color="auto" w:sz="4" w:space="0"/>
              <w:right w:val="single" w:color="auto" w:sz="4" w:space="0"/>
            </w:tcBorders>
            <w:noWrap w:val="0"/>
            <w:vAlign w:val="center"/>
          </w:tcPr>
          <w:p w14:paraId="3E1D1B28">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地震应急预案管理办法》第七条规定企事业单位应当定期组织地震应急演练，检验和完善预案。《中华人民共和国突发事件应对法》第二十二条规定企事业单位应当制定具体的应急预案，并定期组织应急演练。第二十三条规定应急预案应该根据实际情况及时修订。</w:t>
            </w:r>
          </w:p>
        </w:tc>
        <w:tc>
          <w:tcPr>
            <w:tcW w:w="3187" w:type="dxa"/>
            <w:tcBorders>
              <w:top w:val="nil"/>
              <w:left w:val="nil"/>
              <w:bottom w:val="single" w:color="auto" w:sz="4" w:space="0"/>
              <w:right w:val="single" w:color="auto" w:sz="4" w:space="0"/>
            </w:tcBorders>
            <w:noWrap w:val="0"/>
            <w:vAlign w:val="center"/>
          </w:tcPr>
          <w:p w14:paraId="040F340C">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预案</w:t>
            </w:r>
            <w:r>
              <w:rPr>
                <w:rFonts w:hint="eastAsia" w:ascii="Times New Roman" w:hAnsi="Times New Roman" w:eastAsia="仿宋_GB2312"/>
                <w:color w:val="000000"/>
                <w:kern w:val="0"/>
                <w:sz w:val="24"/>
                <w:szCs w:val="24"/>
                <w:lang w:val="en-US" w:eastAsia="zh-CN"/>
              </w:rPr>
              <w:t>未</w:t>
            </w:r>
            <w:r>
              <w:rPr>
                <w:rFonts w:ascii="Times New Roman" w:hAnsi="Times New Roman" w:eastAsia="仿宋_GB2312"/>
                <w:color w:val="000000"/>
                <w:kern w:val="0"/>
                <w:sz w:val="24"/>
                <w:szCs w:val="24"/>
              </w:rPr>
              <w:t>按规定向有关部门备案</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备案材料</w:t>
            </w:r>
            <w:r>
              <w:rPr>
                <w:rFonts w:hint="eastAsia" w:ascii="Times New Roman" w:hAnsi="Times New Roman" w:eastAsia="仿宋_GB2312"/>
                <w:color w:val="000000"/>
                <w:kern w:val="0"/>
                <w:sz w:val="24"/>
                <w:szCs w:val="24"/>
                <w:lang w:val="en-US" w:eastAsia="zh-CN"/>
              </w:rPr>
              <w:t>不</w:t>
            </w:r>
            <w:r>
              <w:rPr>
                <w:rFonts w:ascii="Times New Roman" w:hAnsi="Times New Roman" w:eastAsia="仿宋_GB2312"/>
                <w:color w:val="000000"/>
                <w:kern w:val="0"/>
                <w:sz w:val="24"/>
                <w:szCs w:val="24"/>
              </w:rPr>
              <w:t>齐全、</w:t>
            </w:r>
            <w:r>
              <w:rPr>
                <w:rFonts w:hint="eastAsia" w:ascii="Times New Roman" w:hAnsi="Times New Roman" w:eastAsia="仿宋_GB2312"/>
                <w:color w:val="000000"/>
                <w:kern w:val="0"/>
                <w:sz w:val="24"/>
                <w:szCs w:val="24"/>
                <w:lang w:val="en-US" w:eastAsia="zh-CN"/>
              </w:rPr>
              <w:t>不</w:t>
            </w:r>
            <w:r>
              <w:rPr>
                <w:rFonts w:ascii="Times New Roman" w:hAnsi="Times New Roman" w:eastAsia="仿宋_GB2312"/>
                <w:color w:val="000000"/>
                <w:kern w:val="0"/>
                <w:sz w:val="24"/>
                <w:szCs w:val="24"/>
              </w:rPr>
              <w:t>符合企业实际情况、</w:t>
            </w:r>
            <w:r>
              <w:rPr>
                <w:rFonts w:hint="eastAsia" w:ascii="Times New Roman" w:hAnsi="Times New Roman" w:eastAsia="仿宋_GB2312"/>
                <w:color w:val="000000"/>
                <w:kern w:val="0"/>
                <w:sz w:val="24"/>
                <w:szCs w:val="24"/>
                <w:lang w:val="en-US" w:eastAsia="zh-CN"/>
              </w:rPr>
              <w:t>不</w:t>
            </w:r>
            <w:r>
              <w:rPr>
                <w:rFonts w:ascii="Times New Roman" w:hAnsi="Times New Roman" w:eastAsia="仿宋_GB2312"/>
                <w:color w:val="000000"/>
                <w:kern w:val="0"/>
                <w:sz w:val="24"/>
                <w:szCs w:val="24"/>
              </w:rPr>
              <w:t>否具备可操作性。</w:t>
            </w:r>
          </w:p>
        </w:tc>
      </w:tr>
      <w:tr w14:paraId="3E368F05">
        <w:tblPrEx>
          <w:tblCellMar>
            <w:top w:w="0" w:type="dxa"/>
            <w:left w:w="28" w:type="dxa"/>
            <w:bottom w:w="0" w:type="dxa"/>
            <w:right w:w="28" w:type="dxa"/>
          </w:tblCellMar>
        </w:tblPrEx>
        <w:trPr>
          <w:wBefore w:w="0" w:type="dxa"/>
          <w:wAfter w:w="0" w:type="dxa"/>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22A0C893">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p>
        </w:tc>
        <w:tc>
          <w:tcPr>
            <w:tcW w:w="2123" w:type="dxa"/>
            <w:tcBorders>
              <w:top w:val="nil"/>
              <w:left w:val="nil"/>
              <w:bottom w:val="single" w:color="auto" w:sz="4" w:space="0"/>
              <w:right w:val="single" w:color="auto" w:sz="4" w:space="0"/>
            </w:tcBorders>
            <w:noWrap w:val="0"/>
            <w:vAlign w:val="center"/>
          </w:tcPr>
          <w:p w14:paraId="61AA9B2C">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应急救援设备和物资</w:t>
            </w:r>
          </w:p>
        </w:tc>
        <w:tc>
          <w:tcPr>
            <w:tcW w:w="2687" w:type="dxa"/>
            <w:tcBorders>
              <w:top w:val="nil"/>
              <w:left w:val="nil"/>
              <w:bottom w:val="single" w:color="auto" w:sz="4" w:space="0"/>
              <w:right w:val="single" w:color="auto" w:sz="4" w:space="0"/>
            </w:tcBorders>
            <w:noWrap w:val="0"/>
            <w:vAlign w:val="center"/>
          </w:tcPr>
          <w:p w14:paraId="0EFB294B">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实地查看：省市县应急管理部门根据权责查看应急救援设备和物资的储备和管理情况</w:t>
            </w:r>
          </w:p>
        </w:tc>
        <w:tc>
          <w:tcPr>
            <w:tcW w:w="4476" w:type="dxa"/>
            <w:tcBorders>
              <w:top w:val="nil"/>
              <w:left w:val="nil"/>
              <w:bottom w:val="single" w:color="auto" w:sz="4" w:space="0"/>
              <w:right w:val="single" w:color="auto" w:sz="4" w:space="0"/>
            </w:tcBorders>
            <w:noWrap w:val="0"/>
            <w:vAlign w:val="center"/>
          </w:tcPr>
          <w:p w14:paraId="37EC46D8">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《中华人民共和国防震减灾法》第四十七条规定地震应急预案应当包括应急组织体系、职责分工、预警机制、应急响应程序、保障措施等内容。</w:t>
            </w:r>
          </w:p>
        </w:tc>
        <w:tc>
          <w:tcPr>
            <w:tcW w:w="3187" w:type="dxa"/>
            <w:tcBorders>
              <w:top w:val="nil"/>
              <w:left w:val="nil"/>
              <w:bottom w:val="single" w:color="auto" w:sz="4" w:space="0"/>
              <w:right w:val="single" w:color="auto" w:sz="4" w:space="0"/>
            </w:tcBorders>
            <w:noWrap w:val="0"/>
            <w:vAlign w:val="center"/>
          </w:tcPr>
          <w:p w14:paraId="5FB85800">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应急救援设备和物资</w:t>
            </w:r>
            <w:r>
              <w:rPr>
                <w:rFonts w:hint="eastAsia" w:ascii="Times New Roman" w:hAnsi="Times New Roman" w:eastAsia="仿宋_GB2312"/>
                <w:color w:val="000000"/>
                <w:kern w:val="0"/>
                <w:sz w:val="24"/>
                <w:szCs w:val="24"/>
                <w:lang w:val="en-US" w:eastAsia="zh-CN"/>
              </w:rPr>
              <w:t>不</w:t>
            </w:r>
            <w:r>
              <w:rPr>
                <w:rFonts w:ascii="Times New Roman" w:hAnsi="Times New Roman" w:eastAsia="仿宋_GB2312"/>
                <w:color w:val="000000"/>
                <w:kern w:val="0"/>
                <w:sz w:val="24"/>
                <w:szCs w:val="24"/>
              </w:rPr>
              <w:t>齐全、</w:t>
            </w:r>
            <w:r>
              <w:rPr>
                <w:rFonts w:hint="eastAsia" w:ascii="Times New Roman" w:hAnsi="Times New Roman" w:eastAsia="仿宋_GB2312"/>
                <w:color w:val="000000"/>
                <w:kern w:val="0"/>
                <w:sz w:val="24"/>
                <w:szCs w:val="24"/>
                <w:lang w:val="en-US" w:eastAsia="zh-CN"/>
              </w:rPr>
              <w:t>不</w:t>
            </w:r>
            <w:r>
              <w:rPr>
                <w:rFonts w:ascii="Times New Roman" w:hAnsi="Times New Roman" w:eastAsia="仿宋_GB2312"/>
                <w:color w:val="000000"/>
                <w:kern w:val="0"/>
                <w:sz w:val="24"/>
                <w:szCs w:val="24"/>
              </w:rPr>
              <w:t>符合预案要求，设备和物资</w:t>
            </w:r>
            <w:r>
              <w:rPr>
                <w:rFonts w:hint="eastAsia" w:ascii="Times New Roman" w:hAnsi="Times New Roman" w:eastAsia="仿宋_GB2312"/>
                <w:color w:val="000000"/>
                <w:kern w:val="0"/>
                <w:sz w:val="24"/>
                <w:szCs w:val="24"/>
                <w:lang w:val="en-US" w:eastAsia="zh-CN"/>
              </w:rPr>
              <w:t>未</w:t>
            </w:r>
            <w:r>
              <w:rPr>
                <w:rFonts w:ascii="Times New Roman" w:hAnsi="Times New Roman" w:eastAsia="仿宋_GB2312"/>
                <w:color w:val="000000"/>
                <w:kern w:val="0"/>
                <w:sz w:val="24"/>
                <w:szCs w:val="24"/>
              </w:rPr>
              <w:t>定期检查维护。</w:t>
            </w:r>
          </w:p>
        </w:tc>
      </w:tr>
    </w:tbl>
    <w:p w14:paraId="339505DF">
      <w:pPr>
        <w:spacing w:line="360" w:lineRule="exact"/>
        <w:rPr>
          <w:rFonts w:ascii="Times New Roman" w:hAnsi="Times New Roman" w:eastAsia="仿宋_GB2312"/>
          <w:sz w:val="24"/>
          <w:szCs w:val="24"/>
        </w:rPr>
      </w:pPr>
    </w:p>
    <w:sectPr>
      <w:footerReference r:id="rId3" w:type="default"/>
      <w:pgSz w:w="16838" w:h="11906" w:orient="landscape"/>
      <w:pgMar w:top="1418" w:right="1985"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81B6E7-06BF-42FB-8DAD-BB06B5F3C8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小标宋简体"/>
    <w:panose1 w:val="02000000000000000000"/>
    <w:charset w:val="86"/>
    <w:family w:val="script"/>
    <w:pitch w:val="default"/>
    <w:sig w:usb0="00000001" w:usb1="08000000" w:usb2="00000000" w:usb3="00000000" w:csb0="00040000" w:csb1="00000000"/>
    <w:embedRegular r:id="rId2" w:fontKey="{24CB7384-B2BC-4E8A-9E82-FC8EED1C68E7}"/>
  </w:font>
  <w:font w:name="仿宋_GB2312">
    <w:altName w:val="仿宋"/>
    <w:panose1 w:val="02010609030101010101"/>
    <w:charset w:val="86"/>
    <w:family w:val="modern"/>
    <w:pitch w:val="default"/>
    <w:sig w:usb0="00000001" w:usb1="080E0000" w:usb2="00000000" w:usb3="00000000" w:csb0="00040000" w:csb1="00000000"/>
    <w:embedRegular r:id="rId3" w:fontKey="{427D5D03-C28D-4801-BDB8-8D37C7EA735B}"/>
  </w:font>
  <w:font w:name="WPSEMBED8">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F2E7">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2"/>
    <w:rsid w:val="00004AA9"/>
    <w:rsid w:val="00082DE2"/>
    <w:rsid w:val="00306B42"/>
    <w:rsid w:val="00334F6A"/>
    <w:rsid w:val="003454BB"/>
    <w:rsid w:val="003E3BB9"/>
    <w:rsid w:val="003E3ED5"/>
    <w:rsid w:val="003F2B44"/>
    <w:rsid w:val="0041127E"/>
    <w:rsid w:val="004E3071"/>
    <w:rsid w:val="00566776"/>
    <w:rsid w:val="0059566F"/>
    <w:rsid w:val="00760BEE"/>
    <w:rsid w:val="008B375E"/>
    <w:rsid w:val="00936373"/>
    <w:rsid w:val="009604E7"/>
    <w:rsid w:val="009900FA"/>
    <w:rsid w:val="00A9215D"/>
    <w:rsid w:val="00BD02A3"/>
    <w:rsid w:val="00C14032"/>
    <w:rsid w:val="00C2013B"/>
    <w:rsid w:val="00C66748"/>
    <w:rsid w:val="00D05A1C"/>
    <w:rsid w:val="00DF0388"/>
    <w:rsid w:val="00E165BA"/>
    <w:rsid w:val="00EF6F95"/>
    <w:rsid w:val="00F1572D"/>
    <w:rsid w:val="00F312BC"/>
    <w:rsid w:val="00FA7FA0"/>
    <w:rsid w:val="3442364E"/>
    <w:rsid w:val="673131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800080"/>
      <w:u w:val="single"/>
    </w:rPr>
  </w:style>
  <w:style w:type="character" w:styleId="7">
    <w:name w:val="Hyperlink"/>
    <w:unhideWhenUsed/>
    <w:uiPriority w:val="99"/>
    <w:rPr>
      <w:color w:val="0000FF"/>
      <w:u w:val="single"/>
    </w:rPr>
  </w:style>
  <w:style w:type="character" w:customStyle="1" w:styleId="8">
    <w:name w:val="页脚 Char"/>
    <w:link w:val="2"/>
    <w:uiPriority w:val="99"/>
    <w:rPr>
      <w:kern w:val="2"/>
      <w:sz w:val="18"/>
      <w:szCs w:val="18"/>
    </w:rPr>
  </w:style>
  <w:style w:type="character" w:customStyle="1" w:styleId="9">
    <w:name w:val="页眉 Char"/>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597</Words>
  <Characters>597</Characters>
  <Lines>4</Lines>
  <Paragraphs>1</Paragraphs>
  <TotalTime>0</TotalTime>
  <ScaleCrop>false</ScaleCrop>
  <LinksUpToDate>false</LinksUpToDate>
  <CharactersWithSpaces>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2025-02-28T08:02:00Z</dcterms:created>
  <dc:creator>China</dc:creator>
  <cp:lastModifiedBy>光</cp:lastModifiedBy>
  <dcterms:modified xsi:type="dcterms:W3CDTF">2026-04-27T03:09:24Z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eyJoZGlkIjoiMjFiZGRkMmRmNDM5ZWU0NmMwMmJkNWViNTJlMGM1OTkiLCJ1c2VySWQiOiIzNTQ5MzQ3NDMifQ==</vt:lpwstr>
  </property>
  <property fmtid="{D5CDD505-2E9C-101B-9397-08002B2CF9AE}" pid="3" name="KSOProductBuildVer">
    <vt:lpwstr>2052-12.1.0.25225</vt:lpwstr>
  </property>
  <property fmtid="{D5CDD505-2E9C-101B-9397-08002B2CF9AE}" pid="4" name="ICV">
    <vt:lpwstr>9F3CB0137A294133A299686281F24F9D_13</vt:lpwstr>
  </property>
</Properties>
</file>