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78C87">
      <w:pPr>
        <w:spacing w:line="592" w:lineRule="exact"/>
        <w:jc w:val="center"/>
        <w:rPr>
          <w:rFonts w:ascii="Times New Roman" w:hAnsi="Times New Roman" w:eastAsia="仿宋_GB2312"/>
          <w:sz w:val="24"/>
          <w:szCs w:val="24"/>
        </w:rPr>
      </w:pPr>
      <w:r>
        <w:rPr>
          <w:rFonts w:ascii="Times New Roman" w:hAnsi="Times New Roman" w:eastAsia="方正小标宋简体"/>
          <w:sz w:val="44"/>
          <w:szCs w:val="44"/>
        </w:rPr>
        <w:t>“</w:t>
      </w:r>
      <w:bookmarkStart w:id="0" w:name="_GoBack"/>
      <w:r>
        <w:rPr>
          <w:rFonts w:ascii="Times New Roman" w:hAnsi="Times New Roman" w:eastAsia="方正小标宋简体"/>
          <w:sz w:val="44"/>
          <w:szCs w:val="44"/>
        </w:rPr>
        <w:t>对承保安责险保险机构的行政检查”的检查标准</w:t>
      </w:r>
      <w:bookmarkEnd w:id="0"/>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7"/>
        <w:gridCol w:w="850"/>
        <w:gridCol w:w="1134"/>
        <w:gridCol w:w="8222"/>
        <w:gridCol w:w="2408"/>
      </w:tblGrid>
      <w:tr w14:paraId="4E13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blHeader/>
          <w:jc w:val="center"/>
        </w:trPr>
        <w:tc>
          <w:tcPr>
            <w:tcW w:w="427" w:type="dxa"/>
            <w:noWrap w:val="0"/>
            <w:vAlign w:val="center"/>
          </w:tcPr>
          <w:p w14:paraId="2501178A">
            <w:pPr>
              <w:widowControl/>
              <w:spacing w:line="36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序 号</w:t>
            </w:r>
          </w:p>
        </w:tc>
        <w:tc>
          <w:tcPr>
            <w:tcW w:w="850" w:type="dxa"/>
            <w:noWrap w:val="0"/>
            <w:vAlign w:val="center"/>
          </w:tcPr>
          <w:p w14:paraId="4F16EDB6">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检查</w:t>
            </w:r>
          </w:p>
          <w:p w14:paraId="182ABEA2">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内容</w:t>
            </w:r>
          </w:p>
        </w:tc>
        <w:tc>
          <w:tcPr>
            <w:tcW w:w="1134" w:type="dxa"/>
            <w:noWrap w:val="0"/>
            <w:vAlign w:val="center"/>
          </w:tcPr>
          <w:p w14:paraId="5DB486A5">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检查方法</w:t>
            </w:r>
          </w:p>
        </w:tc>
        <w:tc>
          <w:tcPr>
            <w:tcW w:w="8222" w:type="dxa"/>
            <w:noWrap w:val="0"/>
            <w:vAlign w:val="center"/>
          </w:tcPr>
          <w:p w14:paraId="2EBC7177">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检查依据</w:t>
            </w:r>
          </w:p>
        </w:tc>
        <w:tc>
          <w:tcPr>
            <w:tcW w:w="2408" w:type="dxa"/>
            <w:noWrap w:val="0"/>
            <w:vAlign w:val="center"/>
          </w:tcPr>
          <w:p w14:paraId="752AE383">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常见问题示例</w:t>
            </w:r>
          </w:p>
        </w:tc>
      </w:tr>
      <w:tr w14:paraId="7510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427" w:type="dxa"/>
            <w:noWrap w:val="0"/>
            <w:vAlign w:val="center"/>
          </w:tcPr>
          <w:p w14:paraId="36784309">
            <w:pPr>
              <w:widowControl/>
              <w:spacing w:line="3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850" w:type="dxa"/>
            <w:noWrap w:val="0"/>
            <w:vAlign w:val="center"/>
          </w:tcPr>
          <w:p w14:paraId="47DC5764">
            <w:pPr>
              <w:widowControl/>
              <w:spacing w:line="360" w:lineRule="exact"/>
              <w:rPr>
                <w:rFonts w:ascii="Times New Roman" w:hAnsi="Times New Roman" w:eastAsia="仿宋_GB2312"/>
                <w:kern w:val="0"/>
                <w:sz w:val="24"/>
                <w:szCs w:val="24"/>
              </w:rPr>
            </w:pPr>
            <w:r>
              <w:rPr>
                <w:rFonts w:ascii="Times New Roman" w:hAnsi="Times New Roman" w:eastAsia="仿宋_GB2312"/>
                <w:kern w:val="0"/>
                <w:sz w:val="24"/>
                <w:szCs w:val="24"/>
              </w:rPr>
              <w:t>是否开展事故预防服务</w:t>
            </w:r>
          </w:p>
        </w:tc>
        <w:tc>
          <w:tcPr>
            <w:tcW w:w="1134" w:type="dxa"/>
            <w:noWrap w:val="0"/>
            <w:vAlign w:val="center"/>
          </w:tcPr>
          <w:p w14:paraId="5B27009D">
            <w:pPr>
              <w:widowControl/>
              <w:spacing w:line="3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现场检查</w:t>
            </w:r>
          </w:p>
        </w:tc>
        <w:tc>
          <w:tcPr>
            <w:tcW w:w="8222" w:type="dxa"/>
            <w:noWrap w:val="0"/>
            <w:vAlign w:val="center"/>
          </w:tcPr>
          <w:p w14:paraId="56CC04E4">
            <w:pPr>
              <w:widowControl/>
              <w:spacing w:line="360" w:lineRule="exact"/>
              <w:rPr>
                <w:rFonts w:ascii="Times New Roman" w:hAnsi="Times New Roman" w:eastAsia="仿宋_GB2312"/>
                <w:kern w:val="0"/>
                <w:sz w:val="24"/>
                <w:szCs w:val="24"/>
              </w:rPr>
            </w:pPr>
            <w:r>
              <w:rPr>
                <w:rFonts w:ascii="Times New Roman" w:hAnsi="Times New Roman" w:eastAsia="仿宋_GB2312"/>
                <w:kern w:val="0"/>
                <w:sz w:val="24"/>
                <w:szCs w:val="24"/>
              </w:rPr>
              <w:t>1、《河北省安全生产条例》第三十九条：矿山、金属冶炼、建筑施工、交通运输、危险化学品、烟花爆竹、民用爆炸物品、渔业生产等高危行业、领域的生产经营单位应当投保安全生产责任保险；鼓励和推动其他生产经营单位投保安全生产责任保险。</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承保安全生产责任保险的保险机构应当建立并落实生产安全事故预防服务制度，按照规定为投保的生产经营单位提供安全生产教育培训、安全风险辨识评估、安全生产标准化建设、事故隐患排查、应急预案编制和应急救援演练等方面事故预防服务，并向负有安全生产监督管理职责的部门报告情况。</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保险机构开展事故预防服务时，投保的生产经营单位应当主动配合，并依据保险机构提出的意见，积极规范整改，提升安全生产保障能力。</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省人民政府负有安全生产监督管理职责的部门应当会同同级保险监督管理机构制定本行业、领域安全生产责任保险事故预防技术服务规范，指导保险机构开展生产安全事故预防服务。</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生产经营单位必须依法参加工伤保险，为从业人员缴纳保险费，全面落实工伤预防主体责任。负有安全生产监督管理职责的部门应当加强工伤预防监督管理。鼓励生产经营单位为从业人员投保其他涉及安全生产的商业保险。</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第九十二条　承保安全生产责任保险的保险机构未按照本条例规定建立并落实生产安全事故预防服务制度或者未按照规定提供事故预防服务的，责令限期改正，处一万元以上十万元以下的罚款。</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2.《安全生产责任保险事故预防服务技术服务规范》（AQ9010-2019）</w:t>
            </w:r>
          </w:p>
        </w:tc>
        <w:tc>
          <w:tcPr>
            <w:tcW w:w="2408" w:type="dxa"/>
            <w:noWrap w:val="0"/>
            <w:vAlign w:val="center"/>
          </w:tcPr>
          <w:p w14:paraId="6D2397A7">
            <w:pPr>
              <w:widowControl/>
              <w:spacing w:line="360" w:lineRule="exact"/>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未</w:t>
            </w:r>
            <w:r>
              <w:rPr>
                <w:rFonts w:ascii="Times New Roman" w:hAnsi="Times New Roman" w:eastAsia="仿宋_GB2312"/>
                <w:kern w:val="0"/>
                <w:sz w:val="24"/>
                <w:szCs w:val="24"/>
              </w:rPr>
              <w:t>建立事故预防服务相关制度；选择</w:t>
            </w:r>
            <w:r>
              <w:rPr>
                <w:rFonts w:hint="eastAsia" w:ascii="Times New Roman" w:hAnsi="Times New Roman" w:eastAsia="仿宋_GB2312"/>
                <w:kern w:val="0"/>
                <w:sz w:val="24"/>
                <w:szCs w:val="24"/>
                <w:lang w:val="en-US" w:eastAsia="zh-CN"/>
              </w:rPr>
              <w:t>的</w:t>
            </w:r>
            <w:r>
              <w:rPr>
                <w:rFonts w:ascii="Times New Roman" w:hAnsi="Times New Roman" w:eastAsia="仿宋_GB2312"/>
                <w:kern w:val="0"/>
                <w:sz w:val="24"/>
                <w:szCs w:val="24"/>
              </w:rPr>
              <w:t>安全生产专业技术人员和安全生产技术服务机构</w:t>
            </w:r>
            <w:r>
              <w:rPr>
                <w:rFonts w:hint="eastAsia" w:ascii="Times New Roman" w:hAnsi="Times New Roman" w:eastAsia="仿宋_GB2312"/>
                <w:kern w:val="0"/>
                <w:sz w:val="24"/>
                <w:szCs w:val="24"/>
                <w:lang w:val="en-US" w:eastAsia="zh-CN"/>
              </w:rPr>
              <w:t>不</w:t>
            </w:r>
            <w:r>
              <w:rPr>
                <w:rFonts w:ascii="Times New Roman" w:hAnsi="Times New Roman" w:eastAsia="仿宋_GB2312"/>
                <w:kern w:val="0"/>
                <w:sz w:val="24"/>
                <w:szCs w:val="24"/>
              </w:rPr>
              <w:t>具备与所从事服务项目相符合</w:t>
            </w:r>
            <w:r>
              <w:rPr>
                <w:rFonts w:hint="eastAsia" w:ascii="Times New Roman" w:hAnsi="Times New Roman" w:eastAsia="仿宋_GB2312"/>
                <w:kern w:val="0"/>
                <w:sz w:val="24"/>
                <w:szCs w:val="24"/>
                <w:lang w:eastAsia="zh-CN"/>
              </w:rPr>
              <w:t>的</w:t>
            </w:r>
            <w:r>
              <w:rPr>
                <w:rFonts w:ascii="Times New Roman" w:hAnsi="Times New Roman" w:eastAsia="仿宋_GB2312"/>
                <w:kern w:val="0"/>
                <w:sz w:val="24"/>
                <w:szCs w:val="24"/>
              </w:rPr>
              <w:t>专业能力或资质；</w:t>
            </w:r>
            <w:r>
              <w:rPr>
                <w:rFonts w:hint="eastAsia" w:ascii="Times New Roman" w:hAnsi="Times New Roman" w:eastAsia="仿宋_GB2312"/>
                <w:kern w:val="0"/>
                <w:sz w:val="24"/>
                <w:szCs w:val="24"/>
                <w:lang w:val="en-US" w:eastAsia="zh-CN"/>
              </w:rPr>
              <w:t>未</w:t>
            </w:r>
            <w:r>
              <w:rPr>
                <w:rFonts w:ascii="Times New Roman" w:hAnsi="Times New Roman" w:eastAsia="仿宋_GB2312"/>
                <w:kern w:val="0"/>
                <w:sz w:val="24"/>
                <w:szCs w:val="24"/>
              </w:rPr>
              <w:t>制订事故预防技术服务方案；</w:t>
            </w:r>
            <w:r>
              <w:rPr>
                <w:rFonts w:hint="eastAsia" w:ascii="Times New Roman" w:hAnsi="Times New Roman" w:eastAsia="仿宋_GB2312"/>
                <w:kern w:val="0"/>
                <w:sz w:val="24"/>
                <w:szCs w:val="24"/>
                <w:lang w:val="en-US" w:eastAsia="zh-CN"/>
              </w:rPr>
              <w:t>未</w:t>
            </w:r>
            <w:r>
              <w:rPr>
                <w:rFonts w:ascii="Times New Roman" w:hAnsi="Times New Roman" w:eastAsia="仿宋_GB2312"/>
                <w:kern w:val="0"/>
                <w:sz w:val="24"/>
                <w:szCs w:val="24"/>
              </w:rPr>
              <w:t>按照约定开展服务；对服务过程中发现的生产安全事故隐患，</w:t>
            </w:r>
            <w:r>
              <w:rPr>
                <w:rFonts w:hint="eastAsia" w:ascii="Times New Roman" w:hAnsi="Times New Roman" w:eastAsia="仿宋_GB2312"/>
                <w:kern w:val="0"/>
                <w:sz w:val="24"/>
                <w:szCs w:val="24"/>
                <w:lang w:val="en-US" w:eastAsia="zh-CN"/>
              </w:rPr>
              <w:t>未</w:t>
            </w:r>
            <w:r>
              <w:rPr>
                <w:rFonts w:ascii="Times New Roman" w:hAnsi="Times New Roman" w:eastAsia="仿宋_GB2312"/>
                <w:kern w:val="0"/>
                <w:sz w:val="24"/>
                <w:szCs w:val="24"/>
              </w:rPr>
              <w:t>及时书面告知投保单位并指导及时整改；</w:t>
            </w:r>
            <w:r>
              <w:rPr>
                <w:rFonts w:hint="eastAsia" w:ascii="Times New Roman" w:hAnsi="Times New Roman" w:eastAsia="仿宋_GB2312"/>
                <w:kern w:val="0"/>
                <w:sz w:val="24"/>
                <w:szCs w:val="24"/>
                <w:lang w:val="en-US" w:eastAsia="zh-CN"/>
              </w:rPr>
              <w:t>未</w:t>
            </w:r>
            <w:r>
              <w:rPr>
                <w:rFonts w:ascii="Times New Roman" w:hAnsi="Times New Roman" w:eastAsia="仿宋_GB2312"/>
                <w:kern w:val="0"/>
                <w:sz w:val="24"/>
                <w:szCs w:val="24"/>
              </w:rPr>
              <w:t>建立服务费用台账，据实列支事故预防技术服务费用；</w:t>
            </w:r>
            <w:r>
              <w:rPr>
                <w:rFonts w:hint="eastAsia" w:ascii="Times New Roman" w:hAnsi="Times New Roman" w:eastAsia="仿宋_GB2312"/>
                <w:kern w:val="0"/>
                <w:sz w:val="24"/>
                <w:szCs w:val="24"/>
                <w:lang w:val="en-US" w:eastAsia="zh-CN"/>
              </w:rPr>
              <w:t>未</w:t>
            </w:r>
            <w:r>
              <w:rPr>
                <w:rFonts w:ascii="Times New Roman" w:hAnsi="Times New Roman" w:eastAsia="仿宋_GB2312"/>
                <w:kern w:val="0"/>
                <w:sz w:val="24"/>
                <w:szCs w:val="24"/>
              </w:rPr>
              <w:t>建立投保单位服务档案。</w:t>
            </w:r>
          </w:p>
        </w:tc>
      </w:tr>
    </w:tbl>
    <w:p w14:paraId="5E35FF3A">
      <w:pPr>
        <w:spacing w:line="360" w:lineRule="exact"/>
        <w:rPr>
          <w:rFonts w:ascii="Times New Roman" w:hAnsi="Times New Roman" w:eastAsia="仿宋_GB2312"/>
          <w:sz w:val="24"/>
          <w:szCs w:val="24"/>
        </w:rPr>
      </w:pPr>
    </w:p>
    <w:sectPr>
      <w:footerReference r:id="rId3" w:type="default"/>
      <w:pgSz w:w="16838" w:h="11906" w:orient="landscape"/>
      <w:pgMar w:top="1418" w:right="1985" w:bottom="1418"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96026E-4DC5-49E9-9B60-02103182B6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小标宋简体"/>
    <w:panose1 w:val="03000509000000000000"/>
    <w:charset w:val="86"/>
    <w:family w:val="script"/>
    <w:pitch w:val="default"/>
    <w:sig w:usb0="00000001" w:usb1="080E0000" w:usb2="00000000" w:usb3="00000000" w:csb0="00040000" w:csb1="00000000"/>
    <w:embedRegular r:id="rId2" w:fontKey="{F861D6CF-363D-41F9-858C-23C71D505CA4}"/>
  </w:font>
  <w:font w:name="仿宋_GB2312">
    <w:altName w:val="仿宋"/>
    <w:panose1 w:val="02010609030101010101"/>
    <w:charset w:val="86"/>
    <w:family w:val="modern"/>
    <w:pitch w:val="default"/>
    <w:sig w:usb0="00000001" w:usb1="080E0000" w:usb2="00000000" w:usb3="00000000" w:csb0="00040000" w:csb1="00000000"/>
    <w:embedRegular r:id="rId3" w:fontKey="{3E0295D8-5D64-4373-B42E-031E747DB435}"/>
  </w:font>
  <w:font w:name="WPSEMBED8">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E8436">
    <w:pPr>
      <w:pStyle w:val="2"/>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42"/>
    <w:rsid w:val="00082DE2"/>
    <w:rsid w:val="00306B42"/>
    <w:rsid w:val="003454BB"/>
    <w:rsid w:val="003F2B44"/>
    <w:rsid w:val="0041127E"/>
    <w:rsid w:val="00605C70"/>
    <w:rsid w:val="008B375E"/>
    <w:rsid w:val="009604E7"/>
    <w:rsid w:val="009900FA"/>
    <w:rsid w:val="00A9215D"/>
    <w:rsid w:val="00BD02A3"/>
    <w:rsid w:val="00E165BA"/>
    <w:rsid w:val="00EF6F95"/>
    <w:rsid w:val="00FA7FA0"/>
    <w:rsid w:val="011171E5"/>
    <w:rsid w:val="073728BB"/>
    <w:rsid w:val="12BA08EB"/>
    <w:rsid w:val="1EA95C81"/>
    <w:rsid w:val="4C9B15A7"/>
    <w:rsid w:val="68F360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uiPriority w:val="99"/>
    <w:rPr>
      <w:color w:val="800080"/>
      <w:u w:val="single"/>
    </w:rPr>
  </w:style>
  <w:style w:type="character" w:styleId="7">
    <w:name w:val="Hyperlink"/>
    <w:unhideWhenUsed/>
    <w:uiPriority w:val="99"/>
    <w:rPr>
      <w:color w:val="0000FF"/>
      <w:u w:val="single"/>
    </w:rPr>
  </w:style>
  <w:style w:type="character" w:customStyle="1" w:styleId="8">
    <w:name w:val="页脚 Char"/>
    <w:link w:val="2"/>
    <w:uiPriority w:val="99"/>
    <w:rPr>
      <w:kern w:val="2"/>
      <w:sz w:val="18"/>
      <w:szCs w:val="18"/>
    </w:rPr>
  </w:style>
  <w:style w:type="character" w:customStyle="1" w:styleId="9">
    <w:name w:val="页眉 Char"/>
    <w:link w:val="3"/>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807</Words>
  <Characters>818</Characters>
  <Lines>9</Lines>
  <Paragraphs>2</Paragraphs>
  <TotalTime>0</TotalTime>
  <ScaleCrop>false</ScaleCrop>
  <LinksUpToDate>false</LinksUpToDate>
  <CharactersWithSpaces>820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2025-02-28T07:33:00Z</dcterms:created>
  <dc:creator>China</dc:creator>
  <cp:lastModifiedBy>光</cp:lastModifiedBy>
  <dcterms:modified xsi:type="dcterms:W3CDTF">2026-04-27T03:06:59Z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eyJoZGlkIjoiYmYxZGQ2MzMxMTk1YzEyOTM2ODgwY2RkNTJiZmY4ZTEiLCJ1c2VySWQiOiIxMTMzNjY4NDA4In0=</vt:lpwstr>
  </property>
  <property fmtid="{D5CDD505-2E9C-101B-9397-08002B2CF9AE}" pid="3" name="KSOProductBuildVer">
    <vt:lpwstr>2052-12.1.0.25225</vt:lpwstr>
  </property>
  <property fmtid="{D5CDD505-2E9C-101B-9397-08002B2CF9AE}" pid="4" name="ICV">
    <vt:lpwstr>E215DB3276574D47A5193E6819271085_13</vt:lpwstr>
  </property>
</Properties>
</file>