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sz w:val="24"/>
          <w:szCs w:val="24"/>
          <w:highlight w:val="none"/>
        </w:rPr>
      </w:pPr>
    </w:p>
    <w:p>
      <w:pPr>
        <w:rPr>
          <w:rFonts w:ascii="宋体" w:hAnsi="宋体"/>
          <w:sz w:val="36"/>
          <w:szCs w:val="36"/>
          <w:highlight w:val="none"/>
        </w:rPr>
      </w:pPr>
    </w:p>
    <w:p>
      <w:pPr>
        <w:jc w:val="center"/>
        <w:rPr>
          <w:rFonts w:ascii="宋体" w:hAnsi="宋体"/>
          <w:szCs w:val="21"/>
          <w:highlight w:val="none"/>
        </w:rPr>
      </w:pPr>
    </w:p>
    <w:p>
      <w:pPr>
        <w:pStyle w:val="2"/>
        <w:jc w:val="center"/>
        <w:rPr>
          <w:rFonts w:hint="eastAsia" w:ascii="宋体" w:hAnsi="宋体" w:cs="宋体"/>
          <w:b/>
          <w:bCs w:val="0"/>
          <w:sz w:val="44"/>
          <w:szCs w:val="44"/>
          <w:highlight w:val="none"/>
          <w:lang w:val="en-US" w:eastAsia="zh-CN"/>
        </w:rPr>
      </w:pPr>
      <w:r>
        <w:rPr>
          <w:rFonts w:hint="eastAsia" w:ascii="宋体" w:hAnsi="宋体" w:cs="宋体"/>
          <w:b/>
          <w:bCs w:val="0"/>
          <w:sz w:val="44"/>
          <w:szCs w:val="44"/>
          <w:highlight w:val="none"/>
          <w:lang w:val="en-US" w:eastAsia="zh-CN"/>
        </w:rPr>
        <w:t>曲阳县2022年度财政衔接推进乡村振兴</w:t>
      </w:r>
    </w:p>
    <w:p>
      <w:pPr>
        <w:pStyle w:val="2"/>
        <w:jc w:val="center"/>
        <w:rPr>
          <w:rFonts w:hint="eastAsia" w:ascii="宋体" w:hAnsi="宋体" w:eastAsia="宋体" w:cs="宋体"/>
          <w:b/>
          <w:bCs w:val="0"/>
          <w:sz w:val="44"/>
          <w:szCs w:val="44"/>
          <w:highlight w:val="none"/>
          <w:lang w:val="en-US" w:eastAsia="zh-CN"/>
        </w:rPr>
      </w:pPr>
      <w:r>
        <w:rPr>
          <w:rFonts w:hint="eastAsia" w:ascii="宋体" w:hAnsi="宋体" w:cs="宋体"/>
          <w:b/>
          <w:bCs w:val="0"/>
          <w:sz w:val="44"/>
          <w:szCs w:val="44"/>
          <w:highlight w:val="none"/>
          <w:lang w:val="en-US" w:eastAsia="zh-CN"/>
        </w:rPr>
        <w:t>补助资金</w:t>
      </w:r>
      <w:r>
        <w:rPr>
          <w:rFonts w:hint="eastAsia" w:ascii="宋体" w:hAnsi="宋体" w:eastAsia="宋体" w:cs="宋体"/>
          <w:b/>
          <w:bCs w:val="0"/>
          <w:sz w:val="44"/>
          <w:szCs w:val="44"/>
          <w:highlight w:val="none"/>
          <w:lang w:val="en-US" w:eastAsia="zh-CN"/>
        </w:rPr>
        <w:t>绩效评价报告</w:t>
      </w:r>
    </w:p>
    <w:p>
      <w:pPr>
        <w:pStyle w:val="2"/>
        <w:ind w:left="0" w:leftChars="0" w:firstLine="0" w:firstLineChars="0"/>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2"/>
        <w:rPr>
          <w:highlight w:val="none"/>
        </w:rPr>
      </w:pPr>
    </w:p>
    <w:p>
      <w:pPr>
        <w:rPr>
          <w:highlight w:val="none"/>
        </w:rPr>
      </w:pPr>
    </w:p>
    <w:p>
      <w:pPr>
        <w:pStyle w:val="2"/>
      </w:pPr>
    </w:p>
    <w:p>
      <w:pPr>
        <w:rPr>
          <w:highlight w:val="none"/>
        </w:rPr>
      </w:pPr>
    </w:p>
    <w:p>
      <w:pPr>
        <w:spacing w:line="900" w:lineRule="exact"/>
        <w:jc w:val="left"/>
        <w:rPr>
          <w:rFonts w:hint="eastAsia" w:ascii="仿宋" w:hAnsi="仿宋" w:eastAsia="仿宋" w:cs="仿宋"/>
          <w:sz w:val="32"/>
          <w:szCs w:val="32"/>
          <w:highlight w:val="none"/>
        </w:rPr>
      </w:pPr>
    </w:p>
    <w:p>
      <w:pPr>
        <w:spacing w:line="900" w:lineRule="exact"/>
        <w:jc w:val="left"/>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900" w:lineRule="exact"/>
        <w:ind w:firstLine="1280" w:firstLineChars="4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评价机构：</w:t>
      </w:r>
      <w:r>
        <w:rPr>
          <w:rFonts w:hint="eastAsia" w:ascii="仿宋" w:hAnsi="仿宋" w:eastAsia="仿宋" w:cs="仿宋"/>
          <w:sz w:val="32"/>
          <w:szCs w:val="32"/>
          <w:highlight w:val="none"/>
          <w:lang w:eastAsia="zh-CN"/>
        </w:rPr>
        <w:t>曲阳县财政局、</w:t>
      </w:r>
      <w:r>
        <w:rPr>
          <w:rFonts w:hint="eastAsia" w:ascii="仿宋" w:hAnsi="仿宋" w:eastAsia="仿宋" w:cs="仿宋"/>
          <w:sz w:val="32"/>
          <w:szCs w:val="32"/>
          <w:highlight w:val="none"/>
        </w:rPr>
        <w:t>河北中盛信达会计师事务所有限公司</w:t>
      </w:r>
    </w:p>
    <w:p>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        评价内容</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曲阳县2022年财政衔接推进乡村振兴补助资金</w:t>
      </w:r>
    </w:p>
    <w:p>
      <w:pPr>
        <w:keepNext w:val="0"/>
        <w:keepLines w:val="0"/>
        <w:pageBreakBefore w:val="0"/>
        <w:widowControl w:val="0"/>
        <w:kinsoku/>
        <w:wordWrap/>
        <w:overflowPunct/>
        <w:topLinePunct w:val="0"/>
        <w:autoSpaceDE/>
        <w:autoSpaceDN/>
        <w:bidi w:val="0"/>
        <w:adjustRightInd/>
        <w:snapToGrid/>
        <w:spacing w:line="900" w:lineRule="exact"/>
        <w:ind w:firstLine="1280" w:firstLineChars="4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报 告 日 期：</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lang w:eastAsia="zh-CN"/>
        </w:rPr>
        <w:t>日</w:t>
      </w:r>
    </w:p>
    <w:p>
      <w:pPr>
        <w:spacing w:before="0" w:beforeLines="0" w:after="0" w:afterLines="0" w:line="240" w:lineRule="auto"/>
        <w:ind w:left="0" w:leftChars="0" w:right="0" w:rightChars="0" w:firstLine="0" w:firstLineChars="0"/>
        <w:jc w:val="both"/>
        <w:rPr>
          <w:rFonts w:hint="eastAsia" w:ascii="仿宋" w:hAnsi="仿宋" w:eastAsia="仿宋" w:cs="仿宋"/>
          <w:sz w:val="30"/>
          <w:szCs w:val="30"/>
          <w:highlight w:val="none"/>
        </w:rPr>
      </w:pPr>
    </w:p>
    <w:p>
      <w:pPr>
        <w:pStyle w:val="2"/>
        <w:rPr>
          <w:rFonts w:hint="eastAsia"/>
          <w:highlight w:val="none"/>
        </w:rPr>
      </w:pPr>
    </w:p>
    <w:p>
      <w:pPr>
        <w:pStyle w:val="2"/>
        <w:rPr>
          <w:highlight w:val="none"/>
        </w:rPr>
      </w:pPr>
    </w:p>
    <w:p>
      <w:pPr>
        <w:spacing w:line="560" w:lineRule="exact"/>
        <w:jc w:val="both"/>
        <w:outlineLvl w:val="0"/>
        <w:rPr>
          <w:rFonts w:hint="eastAsia" w:ascii="仿宋" w:hAnsi="仿宋" w:eastAsia="仿宋" w:cs="仿宋"/>
          <w:b/>
          <w:bCs w:val="0"/>
          <w:sz w:val="36"/>
          <w:szCs w:val="36"/>
          <w:highlight w:val="none"/>
          <w:lang w:eastAsia="zh-CN"/>
        </w:rPr>
      </w:pPr>
    </w:p>
    <w:p>
      <w:pPr>
        <w:spacing w:line="560" w:lineRule="exact"/>
        <w:jc w:val="center"/>
        <w:outlineLvl w:val="0"/>
        <w:rPr>
          <w:rFonts w:hint="eastAsia" w:ascii="仿宋" w:hAnsi="仿宋" w:eastAsia="仿宋" w:cs="仿宋"/>
          <w:b/>
          <w:bCs w:val="0"/>
          <w:sz w:val="36"/>
          <w:szCs w:val="36"/>
          <w:highlight w:val="none"/>
          <w:lang w:eastAsia="zh-CN"/>
        </w:rPr>
      </w:pPr>
    </w:p>
    <w:p>
      <w:pPr>
        <w:spacing w:line="560" w:lineRule="exact"/>
        <w:jc w:val="center"/>
        <w:outlineLvl w:val="0"/>
        <w:rPr>
          <w:rFonts w:hint="eastAsia" w:ascii="仿宋" w:hAnsi="仿宋" w:eastAsia="仿宋" w:cs="仿宋"/>
          <w:b/>
          <w:bCs w:val="0"/>
          <w:sz w:val="36"/>
          <w:szCs w:val="36"/>
          <w:highlight w:val="none"/>
          <w:lang w:eastAsia="zh-CN"/>
        </w:rPr>
      </w:pPr>
      <w:r>
        <w:rPr>
          <w:rFonts w:hint="eastAsia" w:ascii="仿宋" w:hAnsi="仿宋" w:eastAsia="仿宋" w:cs="仿宋"/>
          <w:b/>
          <w:bCs w:val="0"/>
          <w:sz w:val="36"/>
          <w:szCs w:val="36"/>
          <w:highlight w:val="none"/>
          <w:lang w:eastAsia="zh-CN"/>
        </w:rPr>
        <w:t>曲阳县2022年度财政衔接推进乡村振兴补助资金</w:t>
      </w:r>
    </w:p>
    <w:p>
      <w:pPr>
        <w:spacing w:after="156" w:line="560" w:lineRule="exact"/>
        <w:ind w:left="-359" w:leftChars="-171"/>
        <w:jc w:val="center"/>
        <w:outlineLvl w:val="0"/>
        <w:rPr>
          <w:rFonts w:hint="eastAsia" w:ascii="仿宋" w:hAnsi="仿宋" w:eastAsia="仿宋" w:cs="仿宋"/>
          <w:sz w:val="24"/>
          <w:szCs w:val="24"/>
          <w:highlight w:val="none"/>
        </w:rPr>
      </w:pPr>
      <w:bookmarkStart w:id="0" w:name="_Toc2651"/>
      <w:bookmarkStart w:id="1" w:name="_Toc12514"/>
      <w:r>
        <w:rPr>
          <w:rFonts w:hint="eastAsia" w:ascii="仿宋" w:hAnsi="仿宋" w:eastAsia="仿宋" w:cs="仿宋"/>
          <w:b/>
          <w:bCs w:val="0"/>
          <w:sz w:val="36"/>
          <w:szCs w:val="36"/>
          <w:highlight w:val="none"/>
        </w:rPr>
        <w:t>绩效评价报告</w:t>
      </w:r>
      <w:bookmarkEnd w:id="0"/>
      <w:bookmarkEnd w:id="1"/>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ascii="仿宋" w:hAnsi="仿宋" w:eastAsia="仿宋" w:cs="仿宋"/>
          <w:sz w:val="24"/>
          <w:szCs w:val="24"/>
          <w:highlight w:val="none"/>
        </w:rPr>
        <w:t xml:space="preserve"> </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lang w:eastAsia="zh-CN"/>
        </w:rPr>
        <w:t>根据《曲阳县财政局关于印发</w:t>
      </w:r>
      <w:r>
        <w:rPr>
          <w:rFonts w:hint="eastAsia" w:ascii="仿宋" w:hAnsi="仿宋" w:eastAsia="仿宋" w:cs="仿宋"/>
          <w:sz w:val="30"/>
          <w:szCs w:val="30"/>
          <w:lang w:val="en-US" w:eastAsia="zh-CN"/>
        </w:rPr>
        <w:t>2022年县级财政重点绩效评价计划的通知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曲财</w:t>
      </w:r>
      <w:r>
        <w:rPr>
          <w:rFonts w:hint="eastAsia" w:ascii="仿宋" w:hAnsi="仿宋" w:eastAsia="仿宋" w:cs="仿宋"/>
          <w:sz w:val="30"/>
          <w:szCs w:val="30"/>
          <w:lang w:val="en-US" w:eastAsia="zh-CN"/>
        </w:rPr>
        <w:t>[2022] 54号)，</w:t>
      </w:r>
      <w:r>
        <w:rPr>
          <w:rFonts w:hint="eastAsia" w:ascii="仿宋" w:hAnsi="仿宋" w:eastAsia="仿宋" w:cs="仿宋"/>
          <w:sz w:val="30"/>
          <w:szCs w:val="30"/>
          <w:highlight w:val="none"/>
        </w:rPr>
        <w:t>对</w:t>
      </w:r>
      <w:r>
        <w:rPr>
          <w:rFonts w:hint="eastAsia" w:ascii="仿宋" w:hAnsi="仿宋" w:eastAsia="仿宋" w:cs="仿宋"/>
          <w:sz w:val="30"/>
          <w:szCs w:val="30"/>
          <w:highlight w:val="none"/>
          <w:lang w:eastAsia="zh-CN"/>
        </w:rPr>
        <w:t>曲阳县2022年度财政衔接推进乡村振兴补助资金（</w:t>
      </w:r>
      <w:r>
        <w:rPr>
          <w:rFonts w:hint="eastAsia" w:ascii="仿宋" w:hAnsi="仿宋" w:eastAsia="仿宋" w:cs="仿宋"/>
          <w:sz w:val="30"/>
          <w:szCs w:val="30"/>
          <w:highlight w:val="none"/>
          <w:lang w:val="en-US" w:eastAsia="zh-CN"/>
        </w:rPr>
        <w:t>以下简称“衔接资金”</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进行了绩效评价。</w:t>
      </w:r>
      <w:r>
        <w:rPr>
          <w:rFonts w:hint="eastAsia" w:ascii="仿宋" w:hAnsi="仿宋" w:eastAsia="仿宋" w:cs="仿宋"/>
          <w:sz w:val="30"/>
          <w:szCs w:val="30"/>
          <w:highlight w:val="none"/>
          <w:lang w:val="en-US" w:eastAsia="zh-CN"/>
        </w:rPr>
        <w:t>资金主管股室和衔接资金使用的</w:t>
      </w:r>
      <w:r>
        <w:rPr>
          <w:rFonts w:hint="eastAsia" w:ascii="仿宋" w:hAnsi="仿宋" w:eastAsia="仿宋" w:cs="仿宋"/>
          <w:sz w:val="30"/>
          <w:szCs w:val="30"/>
          <w:highlight w:val="none"/>
        </w:rPr>
        <w:t>相关单位提供与绩效评价有关</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rPr>
        <w:t>资料</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并对其真实性、完整性、合法性负责</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我们的责任是根据相关资料</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对</w:t>
      </w:r>
      <w:r>
        <w:rPr>
          <w:rFonts w:hint="eastAsia" w:ascii="仿宋" w:hAnsi="仿宋" w:eastAsia="仿宋" w:cs="仿宋"/>
          <w:sz w:val="30"/>
          <w:szCs w:val="30"/>
          <w:highlight w:val="none"/>
          <w:lang w:val="en-US" w:eastAsia="zh-CN"/>
        </w:rPr>
        <w:t>衔接资金的</w:t>
      </w:r>
      <w:r>
        <w:rPr>
          <w:rFonts w:hint="eastAsia" w:ascii="仿宋" w:hAnsi="仿宋" w:eastAsia="仿宋" w:cs="仿宋"/>
          <w:sz w:val="30"/>
          <w:szCs w:val="30"/>
          <w:highlight w:val="none"/>
          <w:lang w:eastAsia="zh-CN"/>
        </w:rPr>
        <w:t>资金保障、项目管理和使用成效</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rPr>
        <w:t>个方面和执行国家法律、法规的情况发表评价意见。</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000000"/>
          <w:sz w:val="30"/>
          <w:szCs w:val="30"/>
          <w:highlight w:val="none"/>
        </w:rPr>
      </w:pPr>
      <w:r>
        <w:rPr>
          <w:rFonts w:hint="eastAsia" w:ascii="仿宋" w:hAnsi="仿宋" w:eastAsia="仿宋" w:cs="仿宋"/>
          <w:sz w:val="30"/>
          <w:szCs w:val="30"/>
          <w:highlight w:val="none"/>
        </w:rPr>
        <w:t>在评价工作中</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我们结合该项目的实际情况制定了绩效评价指标体系</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实施了包括资料查看、</w:t>
      </w:r>
      <w:r>
        <w:rPr>
          <w:rFonts w:hint="eastAsia" w:ascii="仿宋" w:hAnsi="仿宋" w:eastAsia="仿宋" w:cs="仿宋"/>
          <w:sz w:val="30"/>
          <w:szCs w:val="30"/>
          <w:highlight w:val="none"/>
          <w:lang w:eastAsia="zh-CN"/>
        </w:rPr>
        <w:t>问询、</w:t>
      </w:r>
      <w:r>
        <w:rPr>
          <w:rFonts w:hint="eastAsia" w:ascii="仿宋" w:hAnsi="仿宋" w:eastAsia="仿宋" w:cs="仿宋"/>
          <w:sz w:val="30"/>
          <w:szCs w:val="30"/>
          <w:highlight w:val="none"/>
        </w:rPr>
        <w:t>现场检查等我们认为必要的评价手段。绩效评价工作现已完成</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具体</w:t>
      </w:r>
      <w:r>
        <w:rPr>
          <w:rFonts w:hint="eastAsia" w:ascii="仿宋" w:hAnsi="仿宋" w:eastAsia="仿宋" w:cs="仿宋"/>
          <w:color w:val="000000"/>
          <w:sz w:val="30"/>
          <w:szCs w:val="30"/>
          <w:highlight w:val="none"/>
        </w:rPr>
        <w:t>评价情况汇总如下：</w:t>
      </w:r>
    </w:p>
    <w:p>
      <w:pPr>
        <w:pageBreakBefore w:val="0"/>
        <w:kinsoku/>
        <w:wordWrap/>
        <w:overflowPunct/>
        <w:topLinePunct w:val="0"/>
        <w:autoSpaceDE/>
        <w:autoSpaceDN/>
        <w:bidi w:val="0"/>
        <w:adjustRightInd/>
        <w:snapToGrid/>
        <w:spacing w:line="560" w:lineRule="exact"/>
        <w:ind w:firstLine="643" w:firstLineChars="200"/>
        <w:outlineLvl w:val="0"/>
        <w:rPr>
          <w:rFonts w:hint="eastAsia" w:ascii="仿宋" w:hAnsi="仿宋" w:eastAsia="仿宋" w:cs="仿宋"/>
          <w:b/>
          <w:bCs/>
          <w:sz w:val="32"/>
          <w:szCs w:val="32"/>
          <w:highlight w:val="none"/>
          <w:lang w:eastAsia="zh-CN"/>
        </w:rPr>
      </w:pPr>
      <w:bookmarkStart w:id="2" w:name="_Toc8967"/>
      <w:bookmarkStart w:id="3" w:name="_Toc83630317"/>
      <w:bookmarkStart w:id="4" w:name="_Toc30480"/>
      <w:bookmarkStart w:id="5" w:name="_Toc83631027"/>
      <w:r>
        <w:rPr>
          <w:rFonts w:hint="eastAsia" w:ascii="仿宋" w:hAnsi="仿宋" w:eastAsia="仿宋" w:cs="仿宋"/>
          <w:b/>
          <w:bCs/>
          <w:sz w:val="32"/>
          <w:szCs w:val="32"/>
          <w:highlight w:val="none"/>
          <w:lang w:val="en-US" w:eastAsia="zh-CN"/>
        </w:rPr>
        <w:t>一、</w:t>
      </w:r>
      <w:bookmarkEnd w:id="2"/>
      <w:bookmarkEnd w:id="3"/>
      <w:bookmarkEnd w:id="4"/>
      <w:bookmarkEnd w:id="5"/>
      <w:r>
        <w:rPr>
          <w:rFonts w:hint="eastAsia" w:ascii="仿宋" w:hAnsi="仿宋" w:eastAsia="仿宋" w:cs="仿宋"/>
          <w:b/>
          <w:bCs/>
          <w:sz w:val="32"/>
          <w:szCs w:val="32"/>
          <w:highlight w:val="none"/>
          <w:lang w:eastAsia="zh-CN"/>
        </w:rPr>
        <w:t>基本情况</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bookmarkStart w:id="6" w:name="_Toc83631028"/>
      <w:bookmarkStart w:id="7" w:name="_Toc22961"/>
      <w:bookmarkStart w:id="8" w:name="_Toc22022"/>
      <w:bookmarkStart w:id="9" w:name="_Toc19822"/>
      <w:bookmarkStart w:id="10" w:name="_Toc25381"/>
      <w:bookmarkStart w:id="11" w:name="_Toc83630318"/>
      <w:r>
        <w:rPr>
          <w:rFonts w:hint="eastAsia" w:ascii="仿宋" w:hAnsi="仿宋" w:eastAsia="仿宋" w:cs="仿宋"/>
          <w:sz w:val="30"/>
          <w:szCs w:val="30"/>
          <w:highlight w:val="none"/>
          <w:lang w:val="en-US" w:eastAsia="zh-CN"/>
        </w:rPr>
        <w:t>财政衔接推进乡村振兴补助资金，是指各级财政通过一般公共预算安排用于主要用于巩固拓展脱贫攻坚成果、衔接推进乡村振兴的资金。</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（一）衔接资金应当统筹安排使用，形成合力，主要用于支持以下三个方面：</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1、支持巩固拓展脱贫攻坚成果。</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“十三五”易地扶贫搬迁后续扶持。支持实施带动搬迁群众发展的项目，对集中安置区聘用搬迁群众的公共服务岗位、“一站式"社区综合服务设施建设等费用予以适当补助。偿还易地扶贫搬迁债务利息。</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支持脱贫劳动力(含监测帮扶对象)稳定就业。衔接资金可对发生交通费用的跨省、跨市、跨县务工脱贫劳动力适当安排一次性交通补助。可采取扶贫车间、以工代赈、生产奖补、劳务补助、技能培训、小额信贷贴息等方式，促进返乡在乡脱贫劳动力发展产业和就业增收。继续向符合条件的脱贫家庭(含监测帮扶对象家庭)安排“雨露计划”补助。对吸纳脱贫劳动力就业的经营主体给予适当生产补贴、稳岗补贴等。</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2、支持衔接推进乡村振兴。</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培育和壮大特色优势产业并逐年提高资金占比。支持农业品种培优、品质提升、品牌打造，包括种植、养殖、手工业、农产品加工等县域特色产业发展；仓储保鲜、冷链物流等产业链建设；引进优良品种、先进技术等补助；申请认证绿色食品、有机农产品、地理标志农产品等费用补助；现代农业产业园、科技园、产业融合发展示范园，优势特色产业集群，农业产业强镇等建设。推动产销对接和消费帮扶，解决农产品“卖难”问题，包括开展产销对接活动的费用补助，农产品流通企业、电商、批发市场与区域特色产业精准对接补助等。支持必要的产业配套基础设施建设。支持发展壮大村级集体经济。</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补齐必要的农村人居环境整治和小型公益性基础设施建设短板。主要包括水、电、路、网等农业生产配套设施；村街道路(含通村路)建设、路灯、村容村貌等生活环境治理提升；垃圾清运、污水处理等小型公益性生活设施建设维护。对村庄内废弃房屋拆除费、清运费等给予一次性补助(不含建筑物等补偿)。 教育、卫生、养老服务、文化等农村基本公共服务通过原资金渠道支持。</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3、巩固拓展脱贫攻坚成果同乡村振兴有效衔接的其他相关支出。</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（二）衔接资金不得用于与巩固拓展脱贫攻坚成果和推进欠发达地区乡村振兴无关的支出。</w:t>
      </w:r>
    </w:p>
    <w:p>
      <w:pPr>
        <w:pageBreakBefore w:val="0"/>
        <w:kinsoku/>
        <w:wordWrap/>
        <w:overflowPunct/>
        <w:topLinePunct w:val="0"/>
        <w:autoSpaceDE/>
        <w:autoSpaceDN/>
        <w:bidi w:val="0"/>
        <w:adjustRightInd/>
        <w:snapToGrid/>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包括：单位基本支出、交通工具及通讯设备、修建楼堂馆所、各种奖金津贴和福利补助、偿还债务和垫资等。</w:t>
      </w:r>
    </w:p>
    <w:p>
      <w:pPr>
        <w:pageBreakBefore w:val="0"/>
        <w:kinsoku/>
        <w:wordWrap/>
        <w:overflowPunct/>
        <w:topLinePunct w:val="0"/>
        <w:autoSpaceDE/>
        <w:autoSpaceDN/>
        <w:bidi w:val="0"/>
        <w:adjustRightInd/>
        <w:snapToGrid/>
        <w:spacing w:line="560" w:lineRule="exact"/>
        <w:ind w:firstLine="643" w:firstLineChars="200"/>
        <w:outlineLvl w:val="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 衔接资金使用管理情况</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(一)衔接资金的安排及使用情况。</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2022年度曲阳县财政衔接推进乡村振兴补助资金总投入18616.939773 万元，其中：中央下达资金6753.00万元、省级下达资金8459.00万元，市级下达资金879.00万元，县级配套资金2525.939773万元。共拨付资金18616.939773 万元，结余资金0.00万元。</w:t>
      </w:r>
    </w:p>
    <w:p>
      <w:pPr>
        <w:pageBreakBefore w:val="0"/>
        <w:kinsoku/>
        <w:wordWrap/>
        <w:overflowPunct/>
        <w:topLinePunct w:val="0"/>
        <w:autoSpaceDE/>
        <w:autoSpaceDN/>
        <w:bidi w:val="0"/>
        <w:adjustRightInd/>
        <w:snapToGrid/>
        <w:spacing w:line="560" w:lineRule="exact"/>
        <w:ind w:firstLine="600" w:firstLineChars="200"/>
        <w:rPr>
          <w:rFonts w:hint="eastAsia"/>
          <w:lang w:val="en-US" w:eastAsia="zh-CN"/>
        </w:rPr>
      </w:pPr>
      <w:r>
        <w:rPr>
          <w:rFonts w:hint="eastAsia" w:ascii="仿宋" w:hAnsi="仿宋" w:eastAsia="仿宋" w:cs="仿宋"/>
          <w:sz w:val="30"/>
          <w:szCs w:val="30"/>
          <w:highlight w:val="none"/>
          <w:lang w:val="en-US" w:eastAsia="zh-CN"/>
        </w:rPr>
        <w:t>2022年度曲阳县财政衔接推进乡村振兴补助资金编制项目中，产业项目资金12708.69977万元，用于曲阳县农业农村局资产收益项目、田间道路新/续建项目、产业配套项目、产业路建设项目和农田水利建设项目;曲阳县发改局帮扶车间、碳中和小镇建设项目、农业产业开发配套项目；曲阳县住房和城乡建设局荣臻渠修缮工程；曲阳县水利局抗旱节水灌溉工程、水利配套项目、河道治理项目；曲阳县金融中心贷款贴息项目。基础设施项目资金4681.24万元，用于曲阳县交通运输局农村道路建设项目、桥梁建设项目；曲阳县水利局安全饮水、桥梁建设项目。曲阳县乡村振兴局雨露计划项目资金7.00万元。驻村工作队经费1192.00万元。项目管理费28.00万元。</w:t>
      </w:r>
    </w:p>
    <w:p>
      <w:pPr>
        <w:pageBreakBefore w:val="0"/>
        <w:numPr>
          <w:ilvl w:val="0"/>
          <w:numId w:val="1"/>
        </w:numPr>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项目资金管理情况。</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为加强财政资金管理，提高资金使用效益，依据《中华人民共和国预算法》、《河北省财政衔接推进乡村振兴补助资金管理办法》 （冀财农〔2021〕26号）、《保定市财政衔接推 进乡村振兴补助资金管理办法》（保财农〔2021)18号）和国家有关衔接推进乡村振兴相关方针政策，结合曲阳县的实际情况，曲阳县财政局、曲阳县扶贫开发办公室、曲阳县农业农村局联合印发了《曲阳县财政衔接推进乡村振兴补助资金管理办法》的通知(曲财农〔2021〕1号)。</w:t>
      </w:r>
    </w:p>
    <w:p>
      <w:pPr>
        <w:pageBreakBefore w:val="0"/>
        <w:kinsoku/>
        <w:wordWrap/>
        <w:overflowPunct/>
        <w:topLinePunct w:val="0"/>
        <w:autoSpaceDE/>
        <w:autoSpaceDN/>
        <w:bidi w:val="0"/>
        <w:adjustRightInd/>
        <w:snapToGrid/>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明确了衔接资金的使用方向，按照“资金跟着项目走、项目跟着规划走、规划跟着目标走、目标跟着乡村振兴目标走" 的原则，将统筹整合的各级财政资金全部用于乡村振兴；规范了衔接资金的支出范围，严格按照财政衔接资金和统筹整合涉农资金有关规定，安排使用资金，不得超范围使用资金。规范了资金使用方式，衔接资金的支付管理，按照财政国库管理有关规定执行。属于政府采购、招投标管理范围的，执行相关法律、法规及制度规定。村级微小型项目可按照村民民主议事方式直接委托村级组织自建自营。</w:t>
      </w:r>
    </w:p>
    <w:bookmarkEnd w:id="6"/>
    <w:bookmarkEnd w:id="7"/>
    <w:bookmarkEnd w:id="8"/>
    <w:bookmarkEnd w:id="9"/>
    <w:bookmarkEnd w:id="10"/>
    <w:bookmarkEnd w:id="11"/>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562" w:leftChars="0"/>
        <w:jc w:val="left"/>
        <w:textAlignment w:val="auto"/>
        <w:rPr>
          <w:rFonts w:hint="eastAsia" w:ascii="仿宋" w:hAnsi="仿宋" w:eastAsia="仿宋" w:cs="仿宋"/>
          <w:b/>
          <w:bCs/>
          <w:sz w:val="30"/>
          <w:szCs w:val="30"/>
          <w:highlight w:val="none"/>
          <w:lang w:val="en-US" w:eastAsia="zh-CN"/>
        </w:rPr>
      </w:pPr>
      <w:bookmarkStart w:id="12" w:name="_Toc83630320"/>
      <w:bookmarkStart w:id="13" w:name="_Toc21403"/>
      <w:bookmarkStart w:id="14" w:name="_Toc21592"/>
      <w:bookmarkStart w:id="15" w:name="_Toc83631030"/>
      <w:bookmarkStart w:id="16" w:name="_Toc14351"/>
      <w:bookmarkStart w:id="17" w:name="_Toc18734"/>
      <w:r>
        <w:rPr>
          <w:rFonts w:hint="eastAsia" w:ascii="仿宋" w:hAnsi="仿宋" w:eastAsia="仿宋" w:cs="仿宋"/>
          <w:b/>
          <w:bCs/>
          <w:sz w:val="30"/>
          <w:szCs w:val="30"/>
          <w:highlight w:val="none"/>
          <w:lang w:val="en-US" w:eastAsia="zh-CN"/>
        </w:rPr>
        <w:t>三、绩效评价工作开展情况</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（一）绩效评价目的</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为规范和加强衔接推进乡村振兴补助资金管理，提高资金使用效益，支持巩固拓展脱贫攻坚成果、全面推进乡村振兴，进一步强化部门支出责任，提高部门绩效意识，优化资源配置，控制节约成本，切实提高资金管理水平和使用效益，及时掌握项目在执行过程中产生的效果和存在的不足，特别是在资金使用方面，将评价结果与当年预算安排挂钩，作为预算合法有效执行的重要保障，并作为完善政策、分配资金、改善管理的重要依据。</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（二）绩效评价设计过程</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本次绩效评价通过查看防返贫监测信息系统数据、查看项目库以及抽查曲阳县2022年度衔接资金安排项目的项目资料和财务资料的方式进行。绩效评价工作小组在相关单位提供资料的基础上，工作组实施了资料查阅、账务核实、询问、分析计算、实地查看等工作程序。</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.收集资料</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工作组在项目实施单位收集、整理被评价项目基础资料及相关信息，对项目情况进行初步了解。</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eastAsia="zh-CN"/>
        </w:rPr>
        <w:t>.绩效评价具体实施</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我们通过查看项目相关政策文件，项目</w:t>
      </w:r>
      <w:r>
        <w:rPr>
          <w:rFonts w:hint="eastAsia" w:ascii="仿宋" w:hAnsi="仿宋" w:eastAsia="仿宋" w:cs="仿宋"/>
          <w:sz w:val="30"/>
          <w:szCs w:val="30"/>
          <w:highlight w:val="none"/>
          <w:lang w:val="en-US" w:eastAsia="zh-CN"/>
        </w:rPr>
        <w:t>的相关管理制度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档案资料、</w:t>
      </w:r>
      <w:r>
        <w:rPr>
          <w:rFonts w:hint="eastAsia" w:ascii="仿宋" w:hAnsi="仿宋" w:eastAsia="仿宋" w:cs="仿宋"/>
          <w:sz w:val="30"/>
          <w:szCs w:val="30"/>
          <w:highlight w:val="none"/>
          <w:lang w:eastAsia="zh-CN"/>
        </w:rPr>
        <w:t>资金</w:t>
      </w:r>
      <w:r>
        <w:rPr>
          <w:rFonts w:hint="eastAsia" w:ascii="仿宋" w:hAnsi="仿宋" w:eastAsia="仿宋" w:cs="仿宋"/>
          <w:sz w:val="30"/>
          <w:szCs w:val="30"/>
          <w:highlight w:val="none"/>
          <w:lang w:val="en-US" w:eastAsia="zh-CN"/>
        </w:rPr>
        <w:t>收付明细账</w:t>
      </w:r>
      <w:r>
        <w:rPr>
          <w:rFonts w:hint="eastAsia" w:ascii="仿宋" w:hAnsi="仿宋" w:eastAsia="仿宋" w:cs="仿宋"/>
          <w:sz w:val="30"/>
          <w:szCs w:val="30"/>
          <w:highlight w:val="none"/>
          <w:lang w:eastAsia="zh-CN"/>
        </w:rPr>
        <w:t>等相关资料，并实地走访项目现场，评价项目实施的效果，并按照评价指标体系对相应事项进行分数评定。</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3.撰写绩效报告</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工作组根据现场核实、数据分析情况，撰写绩效</w:t>
      </w:r>
      <w:r>
        <w:rPr>
          <w:rFonts w:hint="eastAsia" w:ascii="仿宋" w:hAnsi="仿宋" w:eastAsia="仿宋" w:cs="仿宋"/>
          <w:sz w:val="30"/>
          <w:szCs w:val="30"/>
          <w:highlight w:val="none"/>
          <w:lang w:val="en-US" w:eastAsia="zh-CN"/>
        </w:rPr>
        <w:t>评价报告，</w:t>
      </w:r>
      <w:r>
        <w:rPr>
          <w:rFonts w:hint="eastAsia" w:ascii="仿宋" w:hAnsi="仿宋" w:eastAsia="仿宋" w:cs="仿宋"/>
          <w:sz w:val="30"/>
          <w:szCs w:val="30"/>
          <w:highlight w:val="none"/>
          <w:lang w:eastAsia="zh-CN"/>
        </w:rPr>
        <w:t>经过内部讨论、与项目实施单位交换沟通，形成绩效评价项目报告初稿。</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（三）绩效评价框架</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1.绩效评价原则</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（1）价值导向原则：财政支出绩效评价体系应能够反映财政支出的经济性、效益性、有效性原则，体现财政部门和项目主管部门的价值导向。</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（2）重要性原则：根据指标在整个指标体系的地位和作用进行筛选，选择最具代表性、最能反映评价要求的指标。</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（3）可比性原则：在相似项目之间有共同的指标，不同项目之间的衡量结果可以相互比较。</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（4）综合性原则：将定性指标和定量指标相结合，定性分析是定量分析的基础，定量分析是定性分析的深化，两者相结合系统反映财政支出所产生的社会效益。</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（5）经济性原则：指标的选取要考虑现实条件及可操作性，数据的获得应符合成本效益原则，在合理成本的基础上收集信息。</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2.绩效评价的评价方法</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本次评价采取定量和定性评价相结合、综合评价相结合的方式，运用审查法和现场查勘法开展绩效评价工作。</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（1）审查法：通过审查被评价单位的项目档案、项目</w:t>
      </w:r>
      <w:r>
        <w:rPr>
          <w:rFonts w:hint="eastAsia" w:ascii="仿宋" w:hAnsi="仿宋" w:eastAsia="仿宋" w:cs="仿宋"/>
          <w:sz w:val="30"/>
          <w:szCs w:val="30"/>
          <w:highlight w:val="none"/>
          <w:lang w:val="en-US" w:eastAsia="zh-CN"/>
        </w:rPr>
        <w:t>管理制度</w:t>
      </w:r>
      <w:r>
        <w:rPr>
          <w:rFonts w:hint="eastAsia" w:ascii="仿宋" w:hAnsi="仿宋" w:eastAsia="仿宋" w:cs="仿宋"/>
          <w:sz w:val="30"/>
          <w:szCs w:val="30"/>
          <w:highlight w:val="none"/>
          <w:lang w:eastAsia="zh-CN"/>
        </w:rPr>
        <w:t>、资金</w:t>
      </w:r>
      <w:r>
        <w:rPr>
          <w:rFonts w:hint="eastAsia" w:ascii="仿宋" w:hAnsi="仿宋" w:eastAsia="仿宋" w:cs="仿宋"/>
          <w:sz w:val="30"/>
          <w:szCs w:val="30"/>
          <w:highlight w:val="none"/>
          <w:lang w:val="en-US" w:eastAsia="zh-CN"/>
        </w:rPr>
        <w:t>支付凭证</w:t>
      </w:r>
      <w:r>
        <w:rPr>
          <w:rFonts w:hint="eastAsia" w:ascii="仿宋" w:hAnsi="仿宋" w:eastAsia="仿宋" w:cs="仿宋"/>
          <w:sz w:val="30"/>
          <w:szCs w:val="30"/>
          <w:highlight w:val="none"/>
          <w:lang w:eastAsia="zh-CN"/>
        </w:rPr>
        <w:t>、资金支付</w:t>
      </w:r>
      <w:r>
        <w:rPr>
          <w:rFonts w:hint="eastAsia" w:ascii="仿宋" w:hAnsi="仿宋" w:eastAsia="仿宋" w:cs="仿宋"/>
          <w:sz w:val="30"/>
          <w:szCs w:val="30"/>
          <w:highlight w:val="none"/>
          <w:lang w:val="en-US" w:eastAsia="zh-CN"/>
        </w:rPr>
        <w:t>明细账</w:t>
      </w:r>
      <w:r>
        <w:rPr>
          <w:rFonts w:hint="eastAsia" w:ascii="仿宋" w:hAnsi="仿宋" w:eastAsia="仿宋" w:cs="仿宋"/>
          <w:sz w:val="30"/>
          <w:szCs w:val="30"/>
          <w:highlight w:val="none"/>
          <w:lang w:eastAsia="zh-CN"/>
        </w:rPr>
        <w:t>等项目资料，分析资金支出的合理性和合规性。</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（2）现场查勘法：通过对项目的现场查勘，了解目标的实施情况，进而评价项目绩效目标的完成情况。</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3.绩效评价标准</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绩效评价标准：是指衡量财政支出绩效目标完成程度的尺度，绩效评价标准。具体包括：</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（1）计划标准：是指以预先制定的目标、计划、预算、标准等数据作为评价的标准。</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（2）行业标准：是指参照国家权威部门公布的行业指标数据制定的评价标准。</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（3）历史标准：是指参照同类指标的历史数据制定的评价标准。</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（4）其他标准：其他有参考价值的标准。</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4.绩效评价依据</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bookmarkStart w:id="18" w:name="_Toc12911"/>
      <w:bookmarkStart w:id="19" w:name="_Toc16243"/>
      <w:bookmarkStart w:id="20" w:name="_Toc5980"/>
      <w:r>
        <w:rPr>
          <w:rFonts w:hint="eastAsia" w:ascii="仿宋" w:hAnsi="仿宋" w:eastAsia="仿宋" w:cs="仿宋"/>
          <w:sz w:val="30"/>
          <w:szCs w:val="30"/>
          <w:highlight w:val="none"/>
          <w:lang w:eastAsia="zh-CN"/>
        </w:rPr>
        <w:t>（1）《中华人民共和国预算法》(主席令第21号)；</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（2）</w:t>
      </w:r>
      <w:r>
        <w:rPr>
          <w:rFonts w:hint="eastAsia" w:ascii="仿宋" w:hAnsi="仿宋" w:eastAsia="仿宋" w:cs="仿宋"/>
          <w:sz w:val="30"/>
          <w:szCs w:val="30"/>
          <w:highlight w:val="none"/>
          <w:lang w:val="en-US" w:eastAsia="zh-CN"/>
        </w:rPr>
        <w:t xml:space="preserve">《中共中央国务院关于全面实施预算绩效管理的意见》； </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）《河北省财政支出绩效评价管理办法》（冀财预〔2011〕68号）；</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lang w:eastAsia="zh-CN"/>
        </w:rPr>
        <w:t>）《关于印发〈财政支出绩效评价管理暂行办法〉的通知》（财预〔2011〕285号）；</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《衔接推进乡村振兴补助资金绩效评价及考核办法》（财农〔2021〕122号；</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lang w:eastAsia="zh-CN"/>
        </w:rPr>
        <w:t>）《河北省财政衔接推进乡村振兴补助资金管理办法》(冀财农〔2021〕26号)；</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lang w:eastAsia="zh-CN"/>
        </w:rPr>
        <w:t>）《保定市财政衔接推进乡村振兴补助资金管理办法》(保财农〔2021)18号〕；</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（8）曲阳县财政局等三部门关于印发《曲阳县财政衔接推进乡村振兴补助资金管理办法》的通知(曲财农〔2021〕1号)；</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lang w:eastAsia="zh-CN"/>
        </w:rPr>
        <w:t>）国家有关衔接推进乡村振兴相关方针政策</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lang w:eastAsia="zh-CN"/>
        </w:rPr>
        <w:t>绩效评价指标体系</w:t>
      </w:r>
      <w:bookmarkEnd w:id="18"/>
      <w:bookmarkEnd w:id="19"/>
      <w:bookmarkEnd w:id="20"/>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）指标设定</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绩效指标指用于测量公共支出效果的指数或指数体系。绩效指标可以是某一独立指标，也可以是由多项指标组成的体系。科学的绩效指标是实现公共管理科学化的前提。</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评价指标体系是根据财政支出项目进行评价的目的、财政支出项目的绩效内容，以及财政支出指标体系的设计原则，采用适当的方法，确定财政支出项目的绩效评价指标，然后，运用适当的方法，确定各个指标相对于项目总体绩效的重要性，并用数量化的方法表示出来，即赋予每个指标一定的权重；确定各个评价指标的参照标准，即明确指标的标准值。</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eastAsia="zh-CN"/>
        </w:rPr>
        <w:t>）指标权重设定</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资金保障指标占全部权重的</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lang w:eastAsia="zh-CN"/>
        </w:rPr>
        <w:t>%；项目管理指标占全部权重的</w:t>
      </w: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lang w:eastAsia="zh-CN"/>
        </w:rPr>
        <w:t>%；使用成效指标占全部权重的</w:t>
      </w: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 xml:space="preserve"> </w:t>
      </w:r>
      <w:bookmarkStart w:id="21" w:name="_Toc22342"/>
      <w:bookmarkStart w:id="22" w:name="_Toc27907"/>
      <w:bookmarkStart w:id="23" w:name="_Toc6963"/>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lang w:eastAsia="zh-CN"/>
        </w:rPr>
        <w:t>评分方法和评分等级</w:t>
      </w:r>
      <w:bookmarkEnd w:id="21"/>
      <w:bookmarkEnd w:id="22"/>
      <w:bookmarkEnd w:id="23"/>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）评分方法</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①按照《财政支出绩效评价管理暂行办法》的相关要求和国务院、省、市、县出台的</w:t>
      </w:r>
      <w:bookmarkStart w:id="81" w:name="_GoBack"/>
      <w:bookmarkEnd w:id="81"/>
      <w:r>
        <w:rPr>
          <w:rFonts w:hint="eastAsia" w:ascii="仿宋" w:hAnsi="仿宋" w:eastAsia="仿宋" w:cs="仿宋"/>
          <w:sz w:val="30"/>
          <w:szCs w:val="30"/>
          <w:highlight w:val="none"/>
          <w:lang w:eastAsia="zh-CN"/>
        </w:rPr>
        <w:t>相关规定作为评价标准，采取定量和定性评价相结合的方法，对项目资料进行审核、分析。</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②评价中做到重点突出</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在评价工作中，评价人员紧紧抓住评价工作的重点环节，严格按照相关文件和评价方案的要求，实事求是、客观公正地进行绩效评价工作，取得了详实、客观的评价资料。</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③客观分析</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首先，根据评价内容的实际情况与指标体系进行分析、比对，各项指标根据预期绩效目标值，评判实际达到的绩效目标，并给出适当得分。主要关注以下几方面：衔接资金的使用成效，过程监督管理情况以及资金管理使用的安全性、规范性和有效性情况。然后，根据项目评价综合得分得出综合绩效评价等级，依据各项评价结果，综合各方面因素，填写项目绩效评价综合意见。</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eastAsia="zh-CN"/>
        </w:rPr>
        <w:t>）评价等级</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指标体系设定满分为100分，绩效评价分值≥9</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lang w:eastAsia="zh-CN"/>
        </w:rPr>
        <w:t>为优；80≤分值&lt;9</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lang w:eastAsia="zh-CN"/>
        </w:rPr>
        <w:t>为良；60≤分值&lt;80为合格；60分以下为不合格。按照绩效评价指标对评价结果进行逐级、逐项分析，形成综合评价得分及等级。</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bookmarkStart w:id="24" w:name="_Toc501368350"/>
      <w:bookmarkStart w:id="25" w:name="_Toc5968"/>
      <w:bookmarkStart w:id="26" w:name="_Toc31732"/>
      <w:bookmarkStart w:id="27" w:name="_Toc12583"/>
      <w:r>
        <w:rPr>
          <w:rFonts w:hint="eastAsia" w:ascii="仿宋" w:hAnsi="仿宋" w:eastAsia="仿宋" w:cs="仿宋"/>
          <w:sz w:val="30"/>
          <w:szCs w:val="30"/>
          <w:highlight w:val="none"/>
          <w:lang w:val="en-US" w:eastAsia="zh-CN"/>
        </w:rPr>
        <w:t>（四）</w:t>
      </w:r>
      <w:bookmarkEnd w:id="24"/>
      <w:bookmarkEnd w:id="25"/>
      <w:bookmarkEnd w:id="26"/>
      <w:bookmarkEnd w:id="27"/>
      <w:r>
        <w:rPr>
          <w:rFonts w:hint="eastAsia" w:ascii="仿宋" w:hAnsi="仿宋" w:eastAsia="仿宋" w:cs="仿宋"/>
          <w:sz w:val="30"/>
          <w:szCs w:val="30"/>
          <w:highlight w:val="none"/>
          <w:lang w:val="en-US" w:eastAsia="zh-CN"/>
        </w:rPr>
        <w:t>证据收集方法</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评价小组对项目资料进行收集、整理</w:t>
      </w:r>
      <w:r>
        <w:rPr>
          <w:rFonts w:hint="eastAsia" w:ascii="仿宋" w:hAnsi="仿宋" w:eastAsia="仿宋" w:cs="仿宋"/>
          <w:sz w:val="30"/>
          <w:szCs w:val="30"/>
          <w:highlight w:val="none"/>
          <w:lang w:eastAsia="zh-CN"/>
        </w:rPr>
        <w:t>，并进行分析，然后将获取的资料与从现场勘查中获得的资料汇集起来，对同一指标在不同文件资料中的证据进行对比、印证、核实和补充，经过验证和确定后得到了准确、可靠和有效的证据。最后，评价小组对证据进行了判断分析，形成评价依据。</w:t>
      </w:r>
    </w:p>
    <w:p>
      <w:pPr>
        <w:pageBreakBefore w:val="0"/>
        <w:kinsoku/>
        <w:wordWrap/>
        <w:overflowPunct/>
        <w:topLinePunct w:val="0"/>
        <w:autoSpaceDE/>
        <w:autoSpaceDN/>
        <w:bidi w:val="0"/>
        <w:adjustRightInd/>
        <w:snapToGrid/>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（五）抽查项目情况</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本次绩效评价通过查看</w:t>
      </w:r>
      <w:r>
        <w:rPr>
          <w:rFonts w:hint="eastAsia" w:ascii="仿宋" w:hAnsi="仿宋" w:eastAsia="仿宋" w:cs="仿宋"/>
          <w:sz w:val="30"/>
          <w:szCs w:val="30"/>
          <w:highlight w:val="none"/>
          <w:lang w:val="en-US" w:eastAsia="zh-CN"/>
        </w:rPr>
        <w:t>曲阳县农业农村局资产收益项目、田间道路-新建；曲阳县交通运输局农村道路建设项目的</w:t>
      </w:r>
      <w:r>
        <w:rPr>
          <w:rFonts w:hint="default" w:ascii="仿宋" w:hAnsi="仿宋" w:eastAsia="仿宋" w:cs="仿宋"/>
          <w:sz w:val="30"/>
          <w:szCs w:val="30"/>
          <w:highlight w:val="none"/>
          <w:lang w:val="en-US" w:eastAsia="zh-CN"/>
        </w:rPr>
        <w:t>项目</w:t>
      </w:r>
      <w:r>
        <w:rPr>
          <w:rFonts w:hint="eastAsia" w:ascii="仿宋" w:hAnsi="仿宋" w:eastAsia="仿宋" w:cs="仿宋"/>
          <w:sz w:val="30"/>
          <w:szCs w:val="30"/>
          <w:highlight w:val="none"/>
          <w:lang w:val="en-US" w:eastAsia="zh-CN"/>
        </w:rPr>
        <w:t>档案、</w:t>
      </w:r>
      <w:r>
        <w:rPr>
          <w:rFonts w:hint="default" w:ascii="仿宋" w:hAnsi="仿宋" w:eastAsia="仿宋" w:cs="仿宋"/>
          <w:sz w:val="30"/>
          <w:szCs w:val="30"/>
          <w:highlight w:val="none"/>
          <w:lang w:val="en-US" w:eastAsia="zh-CN"/>
        </w:rPr>
        <w:t>财务资料</w:t>
      </w:r>
      <w:r>
        <w:rPr>
          <w:rFonts w:hint="eastAsia" w:ascii="仿宋" w:hAnsi="仿宋" w:eastAsia="仿宋" w:cs="仿宋"/>
          <w:sz w:val="30"/>
          <w:szCs w:val="30"/>
          <w:highlight w:val="none"/>
          <w:lang w:val="en-US" w:eastAsia="zh-CN"/>
        </w:rPr>
        <w:t>及现场情况</w:t>
      </w:r>
      <w:r>
        <w:rPr>
          <w:rFonts w:hint="default" w:ascii="仿宋" w:hAnsi="仿宋" w:eastAsia="仿宋" w:cs="仿宋"/>
          <w:sz w:val="30"/>
          <w:szCs w:val="30"/>
          <w:highlight w:val="none"/>
          <w:lang w:val="en-US" w:eastAsia="zh-CN"/>
        </w:rPr>
        <w:t>，对</w:t>
      </w:r>
      <w:r>
        <w:rPr>
          <w:rFonts w:hint="eastAsia" w:ascii="仿宋" w:hAnsi="仿宋" w:eastAsia="仿宋" w:cs="仿宋"/>
          <w:sz w:val="30"/>
          <w:szCs w:val="30"/>
          <w:highlight w:val="none"/>
          <w:lang w:val="en-US" w:eastAsia="zh-CN"/>
        </w:rPr>
        <w:t>2022年度曲阳县财政衔接推进乡村振兴补助资金</w:t>
      </w:r>
      <w:r>
        <w:rPr>
          <w:rFonts w:hint="default" w:ascii="仿宋" w:hAnsi="仿宋" w:eastAsia="仿宋" w:cs="仿宋"/>
          <w:sz w:val="30"/>
          <w:szCs w:val="30"/>
          <w:highlight w:val="none"/>
          <w:lang w:val="en-US" w:eastAsia="zh-CN"/>
        </w:rPr>
        <w:t>进行了评价。</w:t>
      </w:r>
      <w:r>
        <w:rPr>
          <w:rFonts w:hint="eastAsia" w:ascii="仿宋" w:hAnsi="仿宋" w:eastAsia="仿宋" w:cs="仿宋"/>
          <w:sz w:val="30"/>
          <w:szCs w:val="30"/>
          <w:highlight w:val="none"/>
          <w:lang w:val="en-US" w:eastAsia="zh-CN"/>
        </w:rPr>
        <w:t>被抽查项目的情况如下：</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农业农村局资产收益项目，2022年度安排衔接资金1726.91万元，资金来源冀财农[2021]143号，全部为省级资金，用于新建蔬菜大棚84栋，涉及4个乡镇10个村。合同显示的计划工期为2022年8月24日至2022年12月22日，截至评价日，部分大棚未建设完成。</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农业农村局资产收益项目，2022年度安排衔接资金402.636078万元，资金来源冀财农[2021]126号，全部为中央资金，在庄窠乡东泉头村建设蛋鸡养殖大棚2栋，建筑面积2000平方米，购置蛋鸡养殖设备2套，育雏设备1套。合同显示的计划工期为2022年8月30日至2022年12月31日，截至评价日项目尚未完工</w:t>
      </w:r>
      <w:bookmarkEnd w:id="12"/>
      <w:bookmarkEnd w:id="13"/>
      <w:bookmarkEnd w:id="14"/>
      <w:bookmarkEnd w:id="15"/>
      <w:bookmarkEnd w:id="16"/>
      <w:bookmarkEnd w:id="17"/>
      <w:bookmarkStart w:id="28" w:name="_Toc32473"/>
      <w:bookmarkStart w:id="29" w:name="_Toc501368358"/>
      <w:bookmarkStart w:id="30" w:name="_Toc8822"/>
      <w:bookmarkStart w:id="31" w:name="_Toc28493"/>
      <w:bookmarkStart w:id="32" w:name="_Toc83631040"/>
      <w:bookmarkStart w:id="33" w:name="_Toc501368359"/>
      <w:bookmarkStart w:id="34" w:name="_Toc12058"/>
      <w:bookmarkStart w:id="35" w:name="_Toc12908"/>
      <w:bookmarkStart w:id="36" w:name="_Toc32445"/>
      <w:bookmarkStart w:id="37" w:name="_Toc83630330"/>
      <w:r>
        <w:rPr>
          <w:rFonts w:hint="eastAsia" w:ascii="仿宋" w:hAnsi="仿宋" w:eastAsia="仿宋" w:cs="仿宋"/>
          <w:sz w:val="30"/>
          <w:szCs w:val="30"/>
          <w:highlight w:val="none"/>
          <w:lang w:val="en-US" w:eastAsia="zh-CN"/>
        </w:rPr>
        <w:t>。</w:t>
      </w:r>
    </w:p>
    <w:p>
      <w:pPr>
        <w:pageBreakBefore w:val="0"/>
        <w:kinsoku/>
        <w:wordWrap/>
        <w:overflowPunct/>
        <w:topLinePunct w:val="0"/>
        <w:autoSpaceDE/>
        <w:autoSpaceDN/>
        <w:bidi w:val="0"/>
        <w:adjustRightInd/>
        <w:snapToGrid/>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交通局农村道路建设-曲阳县河龙线至宿家庄等6条农村道路建设项目（一标段），2022年度安排衔接资金294.371万元，资金来源冀财农[2021]143号，全部为省级资金。资金用于通村路建设，包含宿家庄通村路、灵山村通村路、洼子至燕南沟连村路、孟王化通村路、东燕川至南家庄连村路。合同计划工期6个月，实际工期2022年7月25日至2022年10月29日，截至评价日正在组织项目验收工作。</w:t>
      </w:r>
    </w:p>
    <w:p>
      <w:pPr>
        <w:pageBreakBefore w:val="0"/>
        <w:kinsoku/>
        <w:wordWrap/>
        <w:overflowPunct/>
        <w:topLinePunct w:val="0"/>
        <w:autoSpaceDE/>
        <w:autoSpaceDN/>
        <w:bidi w:val="0"/>
        <w:adjustRightInd/>
        <w:snapToGrid/>
        <w:spacing w:line="560" w:lineRule="exact"/>
        <w:ind w:firstLine="602" w:firstLineChars="200"/>
        <w:rPr>
          <w:rFonts w:hint="eastAsia" w:ascii="仿宋" w:hAnsi="仿宋" w:eastAsia="仿宋" w:cs="仿宋"/>
          <w:b w:val="0"/>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四、项目执行及绩效实现情况</w:t>
      </w:r>
      <w:bookmarkEnd w:id="28"/>
      <w:bookmarkEnd w:id="29"/>
      <w:bookmarkEnd w:id="30"/>
      <w:bookmarkEnd w:id="31"/>
    </w:p>
    <w:p>
      <w:pPr>
        <w:pStyle w:val="4"/>
        <w:pageBreakBefore w:val="0"/>
        <w:kinsoku/>
        <w:wordWrap/>
        <w:overflowPunct/>
        <w:topLinePunct w:val="0"/>
        <w:autoSpaceDE/>
        <w:autoSpaceDN/>
        <w:bidi w:val="0"/>
        <w:adjustRightInd/>
        <w:snapToGrid/>
        <w:spacing w:before="0" w:after="0" w:line="560" w:lineRule="exact"/>
        <w:ind w:firstLine="600" w:firstLineChars="200"/>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b w:val="0"/>
          <w:bCs w:val="0"/>
          <w:kern w:val="2"/>
          <w:sz w:val="30"/>
          <w:szCs w:val="30"/>
          <w:highlight w:val="none"/>
          <w:lang w:val="en-US" w:eastAsia="zh-CN" w:bidi="ar-SA"/>
        </w:rPr>
        <w:t>（一）资金保障（20分）</w:t>
      </w:r>
      <w:bookmarkEnd w:id="32"/>
      <w:bookmarkEnd w:id="33"/>
      <w:bookmarkEnd w:id="34"/>
      <w:bookmarkEnd w:id="35"/>
      <w:bookmarkEnd w:id="36"/>
      <w:bookmarkEnd w:id="37"/>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b w:val="0"/>
          <w:bCs w:val="0"/>
          <w:kern w:val="2"/>
          <w:sz w:val="30"/>
          <w:szCs w:val="30"/>
          <w:highlight w:val="none"/>
          <w:lang w:val="en-US" w:eastAsia="zh-CN" w:bidi="ar-SA"/>
        </w:rPr>
        <w:t>该一级指标主要反映衔接资金下达情况：</w:t>
      </w:r>
    </w:p>
    <w:tbl>
      <w:tblPr>
        <w:tblStyle w:val="17"/>
        <w:tblW w:w="4992" w:type="pct"/>
        <w:jc w:val="center"/>
        <w:tblLayout w:type="autofit"/>
        <w:tblCellMar>
          <w:top w:w="15" w:type="dxa"/>
          <w:left w:w="15" w:type="dxa"/>
          <w:bottom w:w="15" w:type="dxa"/>
          <w:right w:w="15" w:type="dxa"/>
        </w:tblCellMar>
      </w:tblPr>
      <w:tblGrid>
        <w:gridCol w:w="2200"/>
        <w:gridCol w:w="2221"/>
        <w:gridCol w:w="2582"/>
        <w:gridCol w:w="1317"/>
        <w:gridCol w:w="1333"/>
      </w:tblGrid>
      <w:tr>
        <w:tblPrEx>
          <w:tblCellMar>
            <w:top w:w="15" w:type="dxa"/>
            <w:left w:w="15" w:type="dxa"/>
            <w:bottom w:w="15" w:type="dxa"/>
            <w:right w:w="15" w:type="dxa"/>
          </w:tblCellMar>
        </w:tblPrEx>
        <w:trPr>
          <w:trHeight w:val="482" w:hRule="exac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一级指标</w:t>
            </w:r>
          </w:p>
        </w:tc>
        <w:tc>
          <w:tcPr>
            <w:tcW w:w="115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二级指标</w:t>
            </w:r>
          </w:p>
        </w:tc>
        <w:tc>
          <w:tcPr>
            <w:tcW w:w="133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三级指标</w:t>
            </w:r>
          </w:p>
        </w:tc>
        <w:tc>
          <w:tcPr>
            <w:tcW w:w="682"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分数权重</w:t>
            </w:r>
          </w:p>
        </w:tc>
        <w:tc>
          <w:tcPr>
            <w:tcW w:w="6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得分</w:t>
            </w:r>
          </w:p>
        </w:tc>
      </w:tr>
      <w:tr>
        <w:tblPrEx>
          <w:tblCellMar>
            <w:top w:w="15" w:type="dxa"/>
            <w:left w:w="15" w:type="dxa"/>
            <w:bottom w:w="15" w:type="dxa"/>
            <w:right w:w="15" w:type="dxa"/>
          </w:tblCellMar>
        </w:tblPrEx>
        <w:trPr>
          <w:trHeight w:val="529" w:hRule="exact"/>
          <w:jc w:val="center"/>
        </w:trPr>
        <w:tc>
          <w:tcPr>
            <w:tcW w:w="1139"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rPr>
              <w:t>资金保障</w:t>
            </w:r>
          </w:p>
        </w:tc>
        <w:tc>
          <w:tcPr>
            <w:tcW w:w="115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rPr>
              <w:t>衔接资金下达</w:t>
            </w:r>
          </w:p>
        </w:tc>
        <w:tc>
          <w:tcPr>
            <w:tcW w:w="133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rPr>
              <w:t>各级衔接资金下达情况</w:t>
            </w:r>
          </w:p>
        </w:tc>
        <w:tc>
          <w:tcPr>
            <w:tcW w:w="682"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6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20</w:t>
            </w:r>
          </w:p>
        </w:tc>
      </w:tr>
      <w:tr>
        <w:tblPrEx>
          <w:tblCellMar>
            <w:top w:w="15" w:type="dxa"/>
            <w:left w:w="15" w:type="dxa"/>
            <w:bottom w:w="15" w:type="dxa"/>
            <w:right w:w="15" w:type="dxa"/>
          </w:tblCellMar>
        </w:tblPrEx>
        <w:trPr>
          <w:trHeight w:val="492" w:hRule="exact"/>
          <w:jc w:val="center"/>
        </w:trPr>
        <w:tc>
          <w:tcPr>
            <w:tcW w:w="3626" w:type="pct"/>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  计</w:t>
            </w:r>
          </w:p>
        </w:tc>
        <w:tc>
          <w:tcPr>
            <w:tcW w:w="131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33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r>
    </w:tbl>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1.衔接资金下达（20分）</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该指标包含1个三级指标，主要评价各级衔接资金下达情况。</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bookmarkStart w:id="38" w:name="_Toc21059"/>
      <w:bookmarkStart w:id="39" w:name="_Toc25534"/>
      <w:bookmarkStart w:id="40" w:name="_Toc83630427"/>
      <w:bookmarkStart w:id="41" w:name="_Toc83631041"/>
      <w:bookmarkStart w:id="42" w:name="_Toc83630331"/>
      <w:r>
        <w:rPr>
          <w:rFonts w:hint="eastAsia" w:ascii="仿宋" w:hAnsi="仿宋" w:eastAsia="仿宋" w:cs="仿宋"/>
          <w:sz w:val="30"/>
          <w:szCs w:val="30"/>
          <w:highlight w:val="none"/>
          <w:lang w:val="en-US" w:eastAsia="zh-CN"/>
        </w:rPr>
        <w:t>经检查，2022年度曲阳县共安排财政衔接推进乡村振兴补助资金18616.939773 万元，其中：中央资金6753.00万元、省级资金8459.00万元，市级资金879.00万元，县级配套资金2525.939773万元，均已实际到位。</w:t>
      </w:r>
    </w:p>
    <w:bookmarkEnd w:id="38"/>
    <w:bookmarkEnd w:id="39"/>
    <w:bookmarkEnd w:id="40"/>
    <w:bookmarkEnd w:id="41"/>
    <w:bookmarkEnd w:id="42"/>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我们认为各级衔接资金均已实际到位，资金保障情况较好。</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该指标实际得分20分。</w:t>
      </w:r>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bookmarkStart w:id="43" w:name="_Toc21302"/>
      <w:bookmarkStart w:id="44" w:name="_Toc83631044"/>
      <w:bookmarkStart w:id="45" w:name="_Toc27328"/>
      <w:bookmarkStart w:id="46" w:name="_Toc83630334"/>
      <w:bookmarkStart w:id="47" w:name="_Toc8907"/>
      <w:r>
        <w:rPr>
          <w:rFonts w:hint="eastAsia" w:ascii="仿宋" w:hAnsi="仿宋" w:eastAsia="仿宋" w:cs="仿宋"/>
          <w:sz w:val="30"/>
          <w:szCs w:val="30"/>
          <w:highlight w:val="none"/>
          <w:lang w:val="en-US" w:eastAsia="zh-CN"/>
        </w:rPr>
        <w:t>（二）项目管理（40分）</w:t>
      </w:r>
      <w:bookmarkEnd w:id="43"/>
      <w:bookmarkEnd w:id="44"/>
      <w:bookmarkEnd w:id="45"/>
      <w:bookmarkEnd w:id="46"/>
      <w:bookmarkEnd w:id="47"/>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该一级指标包含1个二级指标3个三级指标，主要考核项目库建设管理情况、项目绩效管理情况、信息公开和公告公示制度落实情况等。</w:t>
      </w:r>
    </w:p>
    <w:tbl>
      <w:tblPr>
        <w:tblStyle w:val="17"/>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02"/>
        <w:gridCol w:w="1400"/>
        <w:gridCol w:w="3962"/>
        <w:gridCol w:w="15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exact"/>
          <w:jc w:val="center"/>
        </w:trPr>
        <w:tc>
          <w:tcPr>
            <w:tcW w:w="726" w:type="pc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一级指标</w:t>
            </w:r>
          </w:p>
        </w:tc>
        <w:tc>
          <w:tcPr>
            <w:tcW w:w="725" w:type="pc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二级指标</w:t>
            </w:r>
          </w:p>
        </w:tc>
        <w:tc>
          <w:tcPr>
            <w:tcW w:w="2052" w:type="pc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三级指标</w:t>
            </w:r>
          </w:p>
        </w:tc>
        <w:tc>
          <w:tcPr>
            <w:tcW w:w="782" w:type="pc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分数权重</w:t>
            </w:r>
          </w:p>
        </w:tc>
        <w:tc>
          <w:tcPr>
            <w:tcW w:w="714" w:type="pc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exact"/>
          <w:jc w:val="center"/>
        </w:trPr>
        <w:tc>
          <w:tcPr>
            <w:tcW w:w="726" w:type="pct"/>
            <w:vMerge w:val="restar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项目管理</w:t>
            </w:r>
          </w:p>
        </w:tc>
        <w:tc>
          <w:tcPr>
            <w:tcW w:w="725" w:type="pct"/>
            <w:vMerge w:val="restar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项目管理</w:t>
            </w:r>
          </w:p>
        </w:tc>
        <w:tc>
          <w:tcPr>
            <w:tcW w:w="2052" w:type="pc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项目库建设管理情况</w:t>
            </w:r>
          </w:p>
        </w:tc>
        <w:tc>
          <w:tcPr>
            <w:tcW w:w="1510"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15</w:t>
            </w:r>
          </w:p>
        </w:tc>
        <w:tc>
          <w:tcPr>
            <w:tcW w:w="1379"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exact"/>
          <w:jc w:val="center"/>
        </w:trPr>
        <w:tc>
          <w:tcPr>
            <w:tcW w:w="726" w:type="pct"/>
            <w:vMerge w:val="continue"/>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p>
        </w:tc>
        <w:tc>
          <w:tcPr>
            <w:tcW w:w="725" w:type="pct"/>
            <w:vMerge w:val="continue"/>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p>
        </w:tc>
        <w:tc>
          <w:tcPr>
            <w:tcW w:w="2052" w:type="pc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项目绩效管理情况</w:t>
            </w:r>
          </w:p>
        </w:tc>
        <w:tc>
          <w:tcPr>
            <w:tcW w:w="1510"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15</w:t>
            </w:r>
          </w:p>
        </w:tc>
        <w:tc>
          <w:tcPr>
            <w:tcW w:w="1379"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exact"/>
          <w:jc w:val="center"/>
        </w:trPr>
        <w:tc>
          <w:tcPr>
            <w:tcW w:w="726" w:type="pct"/>
            <w:vMerge w:val="continue"/>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sz w:val="24"/>
                <w:szCs w:val="24"/>
                <w:highlight w:val="none"/>
              </w:rPr>
            </w:pPr>
          </w:p>
        </w:tc>
        <w:tc>
          <w:tcPr>
            <w:tcW w:w="725" w:type="pct"/>
            <w:vMerge w:val="continue"/>
            <w:vAlign w:val="center"/>
          </w:tcPr>
          <w:p>
            <w:pPr>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sz w:val="24"/>
                <w:szCs w:val="24"/>
                <w:highlight w:val="none"/>
              </w:rPr>
            </w:pPr>
          </w:p>
        </w:tc>
        <w:tc>
          <w:tcPr>
            <w:tcW w:w="2052" w:type="pct"/>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信息公开和公告公示制度落实情况</w:t>
            </w:r>
          </w:p>
        </w:tc>
        <w:tc>
          <w:tcPr>
            <w:tcW w:w="1510"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1379"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exact"/>
          <w:jc w:val="center"/>
        </w:trPr>
        <w:tc>
          <w:tcPr>
            <w:tcW w:w="3503" w:type="pct"/>
            <w:gridSpan w:val="3"/>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  计</w:t>
            </w:r>
          </w:p>
        </w:tc>
        <w:tc>
          <w:tcPr>
            <w:tcW w:w="1510"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40</w:t>
            </w:r>
          </w:p>
        </w:tc>
        <w:tc>
          <w:tcPr>
            <w:tcW w:w="1379"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w:t>
            </w:r>
          </w:p>
        </w:tc>
      </w:tr>
    </w:tbl>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1.项目管理（</w:t>
      </w: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rPr>
        <w:t>分）</w:t>
      </w:r>
    </w:p>
    <w:p>
      <w:pPr>
        <w:pageBreakBefore w:val="0"/>
        <w:kinsoku/>
        <w:wordWrap/>
        <w:overflowPunct/>
        <w:topLinePunct w:val="0"/>
        <w:autoSpaceDE/>
        <w:autoSpaceDN/>
        <w:bidi w:val="0"/>
        <w:adjustRightInd/>
        <w:snapToGrid/>
        <w:spacing w:line="560" w:lineRule="exact"/>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（1）</w:t>
      </w:r>
      <w:r>
        <w:rPr>
          <w:rFonts w:hint="eastAsia" w:ascii="仿宋" w:hAnsi="仿宋" w:eastAsia="仿宋" w:cs="仿宋"/>
          <w:sz w:val="30"/>
          <w:szCs w:val="30"/>
          <w:highlight w:val="none"/>
          <w:lang w:eastAsia="zh-CN"/>
        </w:rPr>
        <w:t>项目库建设管理情况</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分）</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该指标主要评价项目入库是否及时充分、程序是否规范、内容是否完整，以及衔接资金是否用于项目库之外的项目等。</w:t>
      </w:r>
    </w:p>
    <w:p>
      <w:pPr>
        <w:pageBreakBefore w:val="0"/>
        <w:kinsoku/>
        <w:wordWrap/>
        <w:overflowPunct/>
        <w:topLinePunct w:val="0"/>
        <w:autoSpaceDE/>
        <w:autoSpaceDN/>
        <w:bidi w:val="0"/>
        <w:adjustRightInd/>
        <w:snapToGrid/>
        <w:spacing w:line="560" w:lineRule="exact"/>
        <w:ind w:firstLine="600" w:firstLineChars="200"/>
        <w:jc w:val="left"/>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经检查，曲阳县2022年度项目入库及时，程序较为规范，内容较为完整，衔接资金支持项目为项目库已入库项目。</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该项指标实际得分</w:t>
      </w:r>
      <w:r>
        <w:rPr>
          <w:rFonts w:hint="eastAsia" w:ascii="仿宋" w:hAnsi="仿宋" w:eastAsia="仿宋" w:cs="仿宋"/>
          <w:sz w:val="30"/>
          <w:szCs w:val="30"/>
          <w:highlight w:val="none"/>
          <w:lang w:val="en-US" w:eastAsia="zh-CN"/>
        </w:rPr>
        <w:t>15分</w:t>
      </w:r>
      <w:r>
        <w:rPr>
          <w:rFonts w:hint="eastAsia" w:ascii="仿宋" w:hAnsi="仿宋" w:eastAsia="仿宋" w:cs="仿宋"/>
          <w:sz w:val="30"/>
          <w:szCs w:val="30"/>
          <w:highlight w:val="none"/>
        </w:rPr>
        <w:t>。</w:t>
      </w:r>
    </w:p>
    <w:p>
      <w:pPr>
        <w:pageBreakBefore w:val="0"/>
        <w:kinsoku/>
        <w:wordWrap/>
        <w:overflowPunct/>
        <w:topLinePunct w:val="0"/>
        <w:autoSpaceDE/>
        <w:autoSpaceDN/>
        <w:bidi w:val="0"/>
        <w:adjustRightInd/>
        <w:snapToGrid/>
        <w:spacing w:line="560" w:lineRule="exact"/>
        <w:ind w:firstLine="300" w:firstLineChars="1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项目绩效管理情况</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15分</w:t>
      </w:r>
      <w:r>
        <w:rPr>
          <w:rFonts w:hint="eastAsia" w:ascii="仿宋" w:hAnsi="仿宋" w:eastAsia="仿宋" w:cs="仿宋"/>
          <w:sz w:val="30"/>
          <w:szCs w:val="30"/>
          <w:highlight w:val="none"/>
        </w:rPr>
        <w:t>）</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该指标主要评价衔接资金安排项目的绩效目标制定</w:t>
      </w:r>
      <w:r>
        <w:rPr>
          <w:rFonts w:hint="eastAsia" w:ascii="仿宋" w:hAnsi="仿宋" w:eastAsia="仿宋" w:cs="仿宋"/>
          <w:sz w:val="30"/>
          <w:szCs w:val="30"/>
          <w:highlight w:val="none"/>
          <w:lang w:eastAsia="zh-CN"/>
        </w:rPr>
        <w:t>及</w:t>
      </w:r>
      <w:r>
        <w:rPr>
          <w:rFonts w:hint="eastAsia" w:ascii="仿宋" w:hAnsi="仿宋" w:eastAsia="仿宋" w:cs="仿宋"/>
          <w:sz w:val="30"/>
          <w:szCs w:val="30"/>
          <w:highlight w:val="none"/>
        </w:rPr>
        <w:t>审核情况，中期监控以及事后评价工作开展情况等。</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经</w:t>
      </w:r>
      <w:r>
        <w:rPr>
          <w:rFonts w:hint="eastAsia" w:ascii="仿宋" w:hAnsi="仿宋" w:eastAsia="仿宋" w:cs="仿宋"/>
          <w:sz w:val="30"/>
          <w:szCs w:val="30"/>
          <w:highlight w:val="none"/>
          <w:lang w:eastAsia="zh-CN"/>
        </w:rPr>
        <w:t>抽查，曲阳县</w:t>
      </w:r>
      <w:r>
        <w:rPr>
          <w:rFonts w:hint="eastAsia" w:ascii="仿宋" w:hAnsi="仿宋" w:eastAsia="仿宋" w:cs="仿宋"/>
          <w:sz w:val="30"/>
          <w:szCs w:val="30"/>
          <w:highlight w:val="none"/>
          <w:lang w:val="en-US" w:eastAsia="zh-CN"/>
        </w:rPr>
        <w:t>2022年度衔接资金安排项目已完成绩效目标设定，绩效目标审核、绩效运行监控和事后绩效自评工作</w:t>
      </w:r>
      <w:r>
        <w:rPr>
          <w:rFonts w:hint="eastAsia" w:ascii="仿宋" w:hAnsi="仿宋" w:eastAsia="仿宋" w:cs="仿宋"/>
          <w:sz w:val="30"/>
          <w:szCs w:val="30"/>
          <w:highlight w:val="none"/>
        </w:rPr>
        <w:t>。</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该项指标实际得分</w:t>
      </w:r>
      <w:r>
        <w:rPr>
          <w:rFonts w:hint="eastAsia" w:ascii="仿宋" w:hAnsi="仿宋" w:eastAsia="仿宋" w:cs="仿宋"/>
          <w:sz w:val="30"/>
          <w:szCs w:val="30"/>
          <w:highlight w:val="none"/>
          <w:lang w:val="en-US" w:eastAsia="zh-CN"/>
        </w:rPr>
        <w:t>15分</w:t>
      </w:r>
      <w:r>
        <w:rPr>
          <w:rFonts w:hint="eastAsia" w:ascii="仿宋" w:hAnsi="仿宋" w:eastAsia="仿宋" w:cs="仿宋"/>
          <w:sz w:val="30"/>
          <w:szCs w:val="30"/>
          <w:highlight w:val="none"/>
        </w:rPr>
        <w:t>。</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）信息公开和公告公示制度落实情况（</w:t>
      </w:r>
      <w:r>
        <w:rPr>
          <w:rFonts w:hint="eastAsia" w:ascii="仿宋" w:hAnsi="仿宋" w:eastAsia="仿宋" w:cs="仿宋"/>
          <w:sz w:val="30"/>
          <w:szCs w:val="30"/>
          <w:highlight w:val="none"/>
          <w:lang w:val="en-US" w:eastAsia="zh-CN"/>
        </w:rPr>
        <w:t>10分</w:t>
      </w:r>
      <w:r>
        <w:rPr>
          <w:rFonts w:hint="eastAsia" w:ascii="仿宋" w:hAnsi="仿宋" w:eastAsia="仿宋" w:cs="仿宋"/>
          <w:sz w:val="30"/>
          <w:szCs w:val="30"/>
          <w:highlight w:val="none"/>
        </w:rPr>
        <w:t>）</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该指标主要评价按要求公开资金分配结果、项目库、资金项目计划等的落实情况。</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经检查，按照政府信息公开的有关规定，曲阳县衔接资金主管部门在本级政府网站公示当年审批的年度衔接资金项目实施计划，对</w:t>
      </w:r>
      <w:r>
        <w:rPr>
          <w:rFonts w:hint="eastAsia" w:ascii="仿宋" w:hAnsi="仿宋" w:eastAsia="仿宋" w:cs="仿宋"/>
          <w:sz w:val="30"/>
          <w:szCs w:val="30"/>
          <w:highlight w:val="none"/>
          <w:lang w:val="en-US" w:eastAsia="zh-CN"/>
        </w:rPr>
        <w:fldChar w:fldCharType="begin"/>
      </w:r>
      <w:r>
        <w:rPr>
          <w:rFonts w:hint="eastAsia" w:ascii="仿宋" w:hAnsi="仿宋" w:eastAsia="仿宋" w:cs="仿宋"/>
          <w:sz w:val="30"/>
          <w:szCs w:val="30"/>
          <w:highlight w:val="none"/>
          <w:lang w:val="en-US" w:eastAsia="zh-CN"/>
        </w:rPr>
        <w:instrText xml:space="preserve"> HYPERLINK "https://www.quyang.gov.cn/viewFile.do?type=2&amp;filename=%E6%9B%B2%E9%98%B3%E5%8E%BF2022%E5%B9%B4%E5%BA%A6%E8%B4%A2%E6%94%BF%E6%B6%89%E5%86%9C%E8%B5%84%E9%87%91%E7%BB%9F%E7%AD%B9%E6%95%B4%E5%90%88%E4%BD%BF%E7%94%A8%E5%AE%9E%E6%96%BD%E6%96%B9%E6%A1%88.docx&amp;file=1/202204/220407150047511_11_%E6%9B%B2%E9%98%B3%E5%8E%BF2022%E5%B9%B4%E5%BA%A6%E8%B4%A2%E6%94%BF%E6%B6%89%E5%86%9C%E8%B5%84%E9%87%91%E7%BB%9F%E7%AD%B9%E6%95%B4%E5%90%88%E4%BD%BF%E7%94%A8%E5%AE%9E%E6%96%BD%E6%96%B9%E6%A1%88.docx" \o "曲阳县2022年度财政涉农资金统筹整合使用实施方案.docx" \t "https://www.quyang.gov.cn/_blank" </w:instrText>
      </w:r>
      <w:r>
        <w:rPr>
          <w:rFonts w:hint="eastAsia" w:ascii="仿宋" w:hAnsi="仿宋" w:eastAsia="仿宋" w:cs="仿宋"/>
          <w:sz w:val="30"/>
          <w:szCs w:val="30"/>
          <w:highlight w:val="none"/>
          <w:lang w:val="en-US" w:eastAsia="zh-CN"/>
        </w:rPr>
        <w:fldChar w:fldCharType="separate"/>
      </w:r>
      <w:r>
        <w:rPr>
          <w:rFonts w:hint="eastAsia" w:ascii="仿宋" w:hAnsi="仿宋" w:eastAsia="仿宋" w:cs="仿宋"/>
          <w:sz w:val="30"/>
          <w:szCs w:val="30"/>
          <w:highlight w:val="none"/>
          <w:lang w:val="en-US" w:eastAsia="zh-CN"/>
        </w:rPr>
        <w:t>曲阳县2022年度财政涉农资金统筹整合使用实施方案、调整方案以及项目库进行公</w:t>
      </w:r>
      <w:r>
        <w:rPr>
          <w:rFonts w:hint="eastAsia" w:ascii="仿宋" w:hAnsi="仿宋" w:eastAsia="仿宋" w:cs="仿宋"/>
          <w:sz w:val="30"/>
          <w:szCs w:val="30"/>
          <w:highlight w:val="none"/>
          <w:lang w:val="en-US" w:eastAsia="zh-CN"/>
        </w:rPr>
        <w:fldChar w:fldCharType="end"/>
      </w:r>
      <w:r>
        <w:rPr>
          <w:rFonts w:hint="eastAsia" w:ascii="仿宋" w:hAnsi="仿宋" w:eastAsia="仿宋" w:cs="仿宋"/>
          <w:sz w:val="30"/>
          <w:szCs w:val="30"/>
          <w:highlight w:val="none"/>
          <w:lang w:val="en-US" w:eastAsia="zh-CN"/>
        </w:rPr>
        <w:t>开，</w:t>
      </w:r>
      <w:r>
        <w:rPr>
          <w:rFonts w:hint="eastAsia" w:ascii="仿宋" w:hAnsi="仿宋" w:eastAsia="仿宋" w:cs="仿宋"/>
          <w:sz w:val="30"/>
          <w:szCs w:val="30"/>
          <w:highlight w:val="none"/>
        </w:rPr>
        <w:t>信息公开和公告公示制度落实情况</w:t>
      </w:r>
      <w:r>
        <w:rPr>
          <w:rFonts w:hint="eastAsia" w:ascii="仿宋" w:hAnsi="仿宋" w:eastAsia="仿宋" w:cs="仿宋"/>
          <w:sz w:val="30"/>
          <w:szCs w:val="30"/>
          <w:highlight w:val="none"/>
          <w:lang w:eastAsia="zh-CN"/>
        </w:rPr>
        <w:t>较好</w:t>
      </w:r>
      <w:r>
        <w:rPr>
          <w:rFonts w:hint="eastAsia" w:ascii="仿宋" w:hAnsi="仿宋" w:eastAsia="仿宋" w:cs="仿宋"/>
          <w:sz w:val="30"/>
          <w:szCs w:val="30"/>
          <w:highlight w:val="none"/>
          <w:lang w:val="en-US" w:eastAsia="zh-CN"/>
        </w:rPr>
        <w:t>。</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该指标实际得分</w:t>
      </w:r>
      <w:r>
        <w:rPr>
          <w:rFonts w:hint="eastAsia" w:ascii="仿宋" w:hAnsi="仿宋" w:eastAsia="仿宋" w:cs="仿宋"/>
          <w:sz w:val="30"/>
          <w:szCs w:val="30"/>
          <w:highlight w:val="none"/>
          <w:lang w:val="en-US" w:eastAsia="zh-CN"/>
        </w:rPr>
        <w:t>10分</w:t>
      </w:r>
      <w:r>
        <w:rPr>
          <w:rFonts w:hint="eastAsia" w:ascii="仿宋" w:hAnsi="仿宋" w:eastAsia="仿宋" w:cs="仿宋"/>
          <w:sz w:val="30"/>
          <w:szCs w:val="30"/>
          <w:highlight w:val="none"/>
        </w:rPr>
        <w:t>。</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bookmarkStart w:id="48" w:name="_Toc21112"/>
      <w:bookmarkStart w:id="49" w:name="_Toc83630335"/>
      <w:bookmarkStart w:id="50" w:name="_Toc6507"/>
      <w:bookmarkStart w:id="51" w:name="_Toc30993"/>
      <w:bookmarkStart w:id="52" w:name="_Toc83631045"/>
      <w:r>
        <w:rPr>
          <w:rFonts w:hint="eastAsia" w:ascii="仿宋" w:hAnsi="仿宋" w:eastAsia="仿宋" w:cs="仿宋"/>
          <w:sz w:val="30"/>
          <w:szCs w:val="30"/>
          <w:highlight w:val="none"/>
        </w:rPr>
        <w:t>（三）</w:t>
      </w:r>
      <w:r>
        <w:rPr>
          <w:rFonts w:hint="eastAsia" w:ascii="仿宋" w:hAnsi="仿宋" w:eastAsia="仿宋" w:cs="仿宋"/>
          <w:sz w:val="30"/>
          <w:szCs w:val="30"/>
          <w:highlight w:val="none"/>
          <w:lang w:eastAsia="zh-CN"/>
        </w:rPr>
        <w:t>使用成效</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rPr>
        <w:t>分）</w:t>
      </w:r>
      <w:bookmarkEnd w:id="48"/>
      <w:bookmarkEnd w:id="49"/>
      <w:bookmarkEnd w:id="50"/>
      <w:bookmarkEnd w:id="51"/>
      <w:bookmarkEnd w:id="52"/>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该一级指标包含1个二级指标3个三级指标，主要评价预算执行率、资金使用效益、中央财政衔接资金用于产业的比例。</w:t>
      </w:r>
    </w:p>
    <w:tbl>
      <w:tblPr>
        <w:tblStyle w:val="17"/>
        <w:tblW w:w="4992" w:type="pct"/>
        <w:jc w:val="center"/>
        <w:tblLayout w:type="autofit"/>
        <w:tblCellMar>
          <w:top w:w="15" w:type="dxa"/>
          <w:left w:w="15" w:type="dxa"/>
          <w:bottom w:w="15" w:type="dxa"/>
          <w:right w:w="15" w:type="dxa"/>
        </w:tblCellMar>
      </w:tblPr>
      <w:tblGrid>
        <w:gridCol w:w="1668"/>
        <w:gridCol w:w="1447"/>
        <w:gridCol w:w="3992"/>
        <w:gridCol w:w="1462"/>
        <w:gridCol w:w="1084"/>
      </w:tblGrid>
      <w:tr>
        <w:tblPrEx>
          <w:tblCellMar>
            <w:top w:w="15" w:type="dxa"/>
            <w:left w:w="15" w:type="dxa"/>
            <w:bottom w:w="15" w:type="dxa"/>
            <w:right w:w="15" w:type="dxa"/>
          </w:tblCellMar>
        </w:tblPrEx>
        <w:trPr>
          <w:trHeight w:val="507" w:hRule="exact"/>
          <w:jc w:val="center"/>
        </w:trPr>
        <w:tc>
          <w:tcPr>
            <w:tcW w:w="1668"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一</w:t>
            </w:r>
            <w:r>
              <w:rPr>
                <w:rFonts w:hint="eastAsia" w:ascii="仿宋" w:hAnsi="仿宋" w:eastAsia="仿宋" w:cs="仿宋"/>
                <w:color w:val="000000"/>
                <w:kern w:val="0"/>
                <w:sz w:val="24"/>
                <w:szCs w:val="24"/>
                <w:highlight w:val="none"/>
              </w:rPr>
              <w:t>级指标</w:t>
            </w:r>
          </w:p>
        </w:tc>
        <w:tc>
          <w:tcPr>
            <w:tcW w:w="1447"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二级指标</w:t>
            </w:r>
          </w:p>
        </w:tc>
        <w:tc>
          <w:tcPr>
            <w:tcW w:w="3992"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三级指标</w:t>
            </w:r>
          </w:p>
        </w:tc>
        <w:tc>
          <w:tcPr>
            <w:tcW w:w="1462"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分数权重</w:t>
            </w:r>
          </w:p>
        </w:tc>
        <w:tc>
          <w:tcPr>
            <w:tcW w:w="1084" w:type="dxa"/>
            <w:tcBorders>
              <w:top w:val="single" w:color="000000" w:sz="4" w:space="0"/>
              <w:left w:val="single" w:color="000000" w:sz="4" w:space="0"/>
              <w:bottom w:val="single" w:color="auto"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得分</w:t>
            </w:r>
          </w:p>
        </w:tc>
      </w:tr>
      <w:tr>
        <w:tblPrEx>
          <w:tblCellMar>
            <w:top w:w="15" w:type="dxa"/>
            <w:left w:w="15" w:type="dxa"/>
            <w:bottom w:w="15" w:type="dxa"/>
            <w:right w:w="15" w:type="dxa"/>
          </w:tblCellMar>
        </w:tblPrEx>
        <w:trPr>
          <w:trHeight w:val="641" w:hRule="exact"/>
          <w:jc w:val="center"/>
        </w:trPr>
        <w:tc>
          <w:tcPr>
            <w:tcW w:w="1668"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bidi="ar"/>
              </w:rPr>
              <w:t>使用成效</w:t>
            </w:r>
          </w:p>
        </w:tc>
        <w:tc>
          <w:tcPr>
            <w:tcW w:w="1447"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eastAsia="zh-CN" w:bidi="ar"/>
              </w:rPr>
              <w:t>使用成效</w:t>
            </w:r>
          </w:p>
        </w:tc>
        <w:tc>
          <w:tcPr>
            <w:tcW w:w="39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预算执行率</w:t>
            </w:r>
          </w:p>
        </w:tc>
        <w:tc>
          <w:tcPr>
            <w:tcW w:w="14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10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10</w:t>
            </w:r>
          </w:p>
        </w:tc>
      </w:tr>
      <w:tr>
        <w:tblPrEx>
          <w:tblCellMar>
            <w:top w:w="15" w:type="dxa"/>
            <w:left w:w="15" w:type="dxa"/>
            <w:bottom w:w="15" w:type="dxa"/>
            <w:right w:w="15" w:type="dxa"/>
          </w:tblCellMar>
        </w:tblPrEx>
        <w:trPr>
          <w:trHeight w:val="678" w:hRule="exact"/>
          <w:jc w:val="center"/>
        </w:trPr>
        <w:tc>
          <w:tcPr>
            <w:tcW w:w="1668"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p>
        </w:tc>
        <w:tc>
          <w:tcPr>
            <w:tcW w:w="1447"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highlight w:val="none"/>
                <w:lang w:eastAsia="zh-CN" w:bidi="ar"/>
              </w:rPr>
            </w:pPr>
          </w:p>
        </w:tc>
        <w:tc>
          <w:tcPr>
            <w:tcW w:w="39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资金使用效益</w:t>
            </w:r>
          </w:p>
        </w:tc>
        <w:tc>
          <w:tcPr>
            <w:tcW w:w="14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0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14</w:t>
            </w:r>
          </w:p>
        </w:tc>
      </w:tr>
      <w:tr>
        <w:tblPrEx>
          <w:tblCellMar>
            <w:top w:w="15" w:type="dxa"/>
            <w:left w:w="15" w:type="dxa"/>
            <w:bottom w:w="15" w:type="dxa"/>
            <w:right w:w="15" w:type="dxa"/>
          </w:tblCellMar>
        </w:tblPrEx>
        <w:trPr>
          <w:trHeight w:val="628" w:hRule="exact"/>
          <w:jc w:val="center"/>
        </w:trPr>
        <w:tc>
          <w:tcPr>
            <w:tcW w:w="1668"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rPr>
            </w:pPr>
          </w:p>
        </w:tc>
        <w:tc>
          <w:tcPr>
            <w:tcW w:w="1447"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4"/>
                <w:szCs w:val="24"/>
                <w:highlight w:val="none"/>
                <w:lang w:eastAsia="zh-CN"/>
              </w:rPr>
            </w:pPr>
          </w:p>
        </w:tc>
        <w:tc>
          <w:tcPr>
            <w:tcW w:w="39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中央财政衔接资金用于产业比例</w:t>
            </w:r>
          </w:p>
        </w:tc>
        <w:tc>
          <w:tcPr>
            <w:tcW w:w="14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10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10</w:t>
            </w:r>
          </w:p>
        </w:tc>
      </w:tr>
      <w:tr>
        <w:tblPrEx>
          <w:tblCellMar>
            <w:top w:w="15" w:type="dxa"/>
            <w:left w:w="15" w:type="dxa"/>
            <w:bottom w:w="15" w:type="dxa"/>
            <w:right w:w="15" w:type="dxa"/>
          </w:tblCellMar>
        </w:tblPrEx>
        <w:trPr>
          <w:trHeight w:val="609" w:hRule="exact"/>
          <w:jc w:val="center"/>
        </w:trPr>
        <w:tc>
          <w:tcPr>
            <w:tcW w:w="7107"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  计</w:t>
            </w:r>
          </w:p>
        </w:tc>
        <w:tc>
          <w:tcPr>
            <w:tcW w:w="146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w:t>
            </w:r>
          </w:p>
        </w:tc>
        <w:tc>
          <w:tcPr>
            <w:tcW w:w="108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color w:val="000000"/>
                <w:kern w:val="0"/>
                <w:sz w:val="24"/>
                <w:szCs w:val="24"/>
                <w:highlight w:val="none"/>
                <w:lang w:val="en-US"/>
              </w:rPr>
            </w:pPr>
            <w:r>
              <w:rPr>
                <w:rFonts w:hint="eastAsia" w:ascii="仿宋" w:hAnsi="仿宋" w:eastAsia="仿宋" w:cs="仿宋"/>
                <w:color w:val="000000"/>
                <w:kern w:val="0"/>
                <w:sz w:val="24"/>
                <w:szCs w:val="24"/>
                <w:highlight w:val="none"/>
                <w:lang w:val="en-US" w:eastAsia="zh-CN"/>
              </w:rPr>
              <w:t>34</w:t>
            </w:r>
          </w:p>
        </w:tc>
      </w:tr>
    </w:tbl>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bookmarkStart w:id="53" w:name="_Toc16415"/>
      <w:bookmarkStart w:id="54" w:name="_Toc833"/>
      <w:bookmarkStart w:id="55" w:name="_Toc83630336"/>
      <w:bookmarkStart w:id="56" w:name="_Toc1929"/>
      <w:bookmarkStart w:id="57" w:name="_Toc83631046"/>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1.预算执行率（10分）</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该指标主要评价实际支出金额与实际到位金额的比率，用以反映和考核预算资金的支出进度。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经评价，2022年度曲阳县衔接资金实际到位金额18616.939773 万元，实际支出金额18616.939773 万元，预算执行率100%。</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该项指标实际得分10分。</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2.资金使用效益（20分）</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指标主要评价抽查项目实际完成任务量是否达到绩效目标申报的任务量、衔接资金用途是否突破管理办法。产业类项目是否明确联农带农机制；基础设施类项目质量是否达到相应标准、后续管护是否存在问题等；其他项目是否实现预期目标等。</w:t>
      </w:r>
    </w:p>
    <w:p>
      <w:pPr>
        <w:pageBreakBefore w:val="0"/>
        <w:numPr>
          <w:ilvl w:val="0"/>
          <w:numId w:val="0"/>
        </w:numPr>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抽查发现：</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①</w:t>
      </w:r>
      <w:r>
        <w:rPr>
          <w:rFonts w:hint="eastAsia" w:ascii="仿宋" w:hAnsi="仿宋" w:eastAsia="仿宋" w:cs="仿宋"/>
          <w:sz w:val="30"/>
          <w:szCs w:val="30"/>
          <w:highlight w:val="none"/>
          <w:lang w:eastAsia="zh-CN"/>
        </w:rPr>
        <w:t>曲阳县农业农村局资产收益项目</w:t>
      </w:r>
      <w:r>
        <w:rPr>
          <w:rFonts w:hint="eastAsia" w:ascii="仿宋" w:hAnsi="仿宋" w:eastAsia="仿宋" w:cs="仿宋"/>
          <w:sz w:val="30"/>
          <w:szCs w:val="30"/>
          <w:highlight w:val="none"/>
          <w:lang w:val="en-US" w:eastAsia="zh-CN"/>
        </w:rPr>
        <w:t>-温室大棚项目，2022年度安排衔接资金1726.91万元，合同显示的计划工期2022年8月24日至2022年12月22日，截至评价日部分蔬菜大棚未建设完成，项目进度较为缓慢。经现场走访发现，部分已完工并完成移交的蔬菜大棚尚未产生租赁收益，项目后期管理有待加强。</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②</w:t>
      </w:r>
      <w:r>
        <w:rPr>
          <w:rFonts w:hint="eastAsia" w:ascii="仿宋" w:hAnsi="仿宋" w:eastAsia="仿宋" w:cs="仿宋"/>
          <w:sz w:val="30"/>
          <w:szCs w:val="30"/>
          <w:highlight w:val="none"/>
          <w:lang w:eastAsia="zh-CN"/>
        </w:rPr>
        <w:t>曲阳县农业农村局资产收益项目</w:t>
      </w:r>
      <w:r>
        <w:rPr>
          <w:rFonts w:hint="eastAsia" w:ascii="仿宋" w:hAnsi="仿宋" w:eastAsia="仿宋" w:cs="仿宋"/>
          <w:sz w:val="30"/>
          <w:szCs w:val="30"/>
          <w:highlight w:val="none"/>
          <w:lang w:val="en-US" w:eastAsia="zh-CN"/>
        </w:rPr>
        <w:t>-蛋鸡养殖大棚项目，2022年度安排衔接资金402.636078万元，合同显示的计划工期2022年8月30日至2022年12月31日，截至评价日项目未完工，项目开展进度较为缓慢。</w:t>
      </w:r>
    </w:p>
    <w:p>
      <w:pPr>
        <w:pageBreakBefore w:val="0"/>
        <w:kinsoku/>
        <w:wordWrap/>
        <w:overflowPunct/>
        <w:topLinePunct w:val="0"/>
        <w:autoSpaceDE/>
        <w:autoSpaceDN/>
        <w:bidi w:val="0"/>
        <w:adjustRightInd/>
        <w:snapToGrid/>
        <w:spacing w:line="560" w:lineRule="exact"/>
        <w:ind w:firstLine="600" w:firstLineChars="200"/>
        <w:rPr>
          <w:rFonts w:hint="eastAsia"/>
          <w:highlight w:val="none"/>
          <w:lang w:eastAsia="zh-CN"/>
        </w:rPr>
      </w:pPr>
      <w:r>
        <w:rPr>
          <w:rFonts w:hint="eastAsia" w:ascii="仿宋" w:hAnsi="仿宋" w:eastAsia="仿宋" w:cs="仿宋"/>
          <w:sz w:val="30"/>
          <w:szCs w:val="30"/>
          <w:highlight w:val="none"/>
          <w:lang w:val="en-US" w:eastAsia="zh-CN"/>
        </w:rPr>
        <w:t>③曲阳县交通局农村道路建设项目，2022年度安排衔接资金294.371万元，用于曲阳县河龙线至宿家庄等6条农村道路建设项目（一标段）建设，合同计划工期6个月，实际工期2022年7月25日至2022年10月29日，截至评价日正在组织验收工作。该项目财务资料中支付一标段工程款1028710.00元，后附中期支付证书中第一期财务支付报表上期末完成金额（预付款）金额错误，应为180万，报表显示18万，财务资料审核工作有待加强。</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曲阳2022年度衔接资金使用用途符合相关管理办法规定，产业类项目明确了联农带农机制；部分抽查项目进度较为缓慢，过程控制有待加强，预期绩效目标实现情况无法进行评价，财务资料的审核工作有待进一步加强。扣6分。</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项指标实际得分14分。</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3.中央财政衔接资金用于产业比例（10分）</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该指标主要评价中央财政衔接资金用于产业项目的比例。2022年度，中央财政衔接资金用于产业的比例为≥55%。</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经评价，2022年度中央衔接资金用于产业项目5144.736733万元，占中央衔接资金6753.00万元（包含整合资金6753.00万元，以工代赈资金122.00万元）比例76.18%。</w:t>
      </w:r>
    </w:p>
    <w:p>
      <w:pPr>
        <w:pageBreakBefore w:val="0"/>
        <w:kinsoku/>
        <w:wordWrap/>
        <w:overflowPunct/>
        <w:topLinePunct w:val="0"/>
        <w:autoSpaceDE/>
        <w:autoSpaceDN/>
        <w:bidi w:val="0"/>
        <w:adjustRightInd/>
        <w:snapToGrid/>
        <w:spacing w:line="560" w:lineRule="exact"/>
        <w:ind w:firstLine="600" w:firstLineChars="200"/>
        <w:jc w:val="left"/>
        <w:rPr>
          <w:rFonts w:hint="eastAsia"/>
          <w:lang w:val="en-US" w:eastAsia="zh-CN"/>
        </w:rPr>
      </w:pPr>
      <w:r>
        <w:rPr>
          <w:rFonts w:hint="eastAsia" w:ascii="仿宋" w:hAnsi="仿宋" w:eastAsia="仿宋" w:cs="仿宋"/>
          <w:sz w:val="30"/>
          <w:szCs w:val="30"/>
          <w:highlight w:val="none"/>
          <w:lang w:val="en-US" w:eastAsia="zh-CN"/>
        </w:rPr>
        <w:t>项指标实际得分10分。</w:t>
      </w:r>
    </w:p>
    <w:bookmarkEnd w:id="53"/>
    <w:bookmarkEnd w:id="54"/>
    <w:bookmarkEnd w:id="55"/>
    <w:bookmarkEnd w:id="56"/>
    <w:bookmarkEnd w:id="57"/>
    <w:p>
      <w:pPr>
        <w:pStyle w:val="3"/>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 w:hAnsi="仿宋" w:eastAsia="仿宋" w:cs="仿宋"/>
          <w:sz w:val="32"/>
          <w:szCs w:val="32"/>
          <w:highlight w:val="none"/>
        </w:rPr>
      </w:pPr>
      <w:bookmarkStart w:id="58" w:name="_Toc6602"/>
      <w:bookmarkStart w:id="59" w:name="_Toc501368363"/>
      <w:bookmarkStart w:id="60" w:name="_Toc10985"/>
      <w:bookmarkStart w:id="61" w:name="_Toc24878"/>
      <w:bookmarkStart w:id="62" w:name="_Toc2211"/>
      <w:bookmarkStart w:id="63" w:name="_Toc83631048"/>
      <w:bookmarkStart w:id="64" w:name="_Toc83630434"/>
      <w:bookmarkStart w:id="65" w:name="_Toc12802"/>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、项目综合评价</w:t>
      </w:r>
      <w:bookmarkEnd w:id="58"/>
      <w:bookmarkEnd w:id="59"/>
      <w:r>
        <w:rPr>
          <w:rFonts w:hint="eastAsia" w:ascii="仿宋" w:hAnsi="仿宋" w:eastAsia="仿宋" w:cs="仿宋"/>
          <w:sz w:val="32"/>
          <w:szCs w:val="32"/>
          <w:highlight w:val="none"/>
        </w:rPr>
        <w:t>结论和评价等级</w:t>
      </w:r>
      <w:bookmarkEnd w:id="60"/>
      <w:bookmarkEnd w:id="61"/>
      <w:bookmarkEnd w:id="62"/>
      <w:bookmarkEnd w:id="63"/>
      <w:bookmarkEnd w:id="64"/>
      <w:bookmarkEnd w:id="65"/>
    </w:p>
    <w:p>
      <w:pPr>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highlight w:val="none"/>
          <w:lang w:val="en-US" w:eastAsia="zh-CN"/>
        </w:rPr>
      </w:pPr>
      <w:bookmarkStart w:id="66" w:name="_Toc501368364"/>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确定</w:t>
      </w:r>
      <w:r>
        <w:rPr>
          <w:rFonts w:hint="eastAsia" w:ascii="仿宋" w:hAnsi="仿宋" w:eastAsia="仿宋" w:cs="仿宋"/>
          <w:sz w:val="30"/>
          <w:szCs w:val="30"/>
          <w:highlight w:val="none"/>
        </w:rPr>
        <w:t>评</w:t>
      </w:r>
      <w:bookmarkEnd w:id="66"/>
      <w:r>
        <w:rPr>
          <w:rFonts w:hint="eastAsia" w:ascii="仿宋" w:hAnsi="仿宋" w:eastAsia="仿宋" w:cs="仿宋"/>
          <w:sz w:val="30"/>
          <w:szCs w:val="30"/>
          <w:highlight w:val="none"/>
          <w:lang w:val="en-US" w:eastAsia="zh-CN"/>
        </w:rPr>
        <w:t>价分值：94分</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2.评价等级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优</w:t>
      </w:r>
    </w:p>
    <w:p>
      <w:pPr>
        <w:pageBreakBefore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3.项目综合评价结论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 w:hAnsi="仿宋" w:eastAsia="仿宋" w:cs="仿宋"/>
          <w:sz w:val="30"/>
          <w:szCs w:val="30"/>
          <w:highlight w:val="none"/>
          <w:lang w:val="en-US" w:eastAsia="zh-CN"/>
        </w:rPr>
      </w:pPr>
      <w:bookmarkStart w:id="67" w:name="_Toc25027"/>
      <w:bookmarkStart w:id="68" w:name="_Toc83630435"/>
      <w:bookmarkStart w:id="69" w:name="_Toc83631049"/>
      <w:bookmarkStart w:id="70" w:name="_Toc28969"/>
      <w:r>
        <w:rPr>
          <w:rFonts w:hint="eastAsia" w:ascii="仿宋" w:hAnsi="仿宋" w:eastAsia="仿宋" w:cs="仿宋"/>
          <w:sz w:val="30"/>
          <w:szCs w:val="30"/>
          <w:highlight w:val="none"/>
          <w:lang w:val="en-US" w:eastAsia="zh-CN"/>
        </w:rPr>
        <w:t>2022年度曲阳衔接资金支出方向和使用范围符合曲阳县财政衔接推进乡村振兴补助资金管理办法要求，资金拨付及时，无结余资金；通过财政衔接推进乡村振兴补助资金的实施，帮助了帮扶对象的稳定就业，培育和壮大农业特色优势产业，大力发展产业，激发群众内生动力，稳定增加脱贫人口收入和脱贫村集体经济收入，推行新型经营主体特色产业项目，建立稳定的利益联结机制，加强乡村道路和水利等基础设施建设，不断提升生产生活条件，促进了巩固拓展脱贫攻坚成果同乡村振兴有效衔接的顺利实施。</w:t>
      </w:r>
    </w:p>
    <w:bookmarkEnd w:id="67"/>
    <w:bookmarkEnd w:id="68"/>
    <w:bookmarkEnd w:id="69"/>
    <w:bookmarkEnd w:id="70"/>
    <w:p>
      <w:pPr>
        <w:pStyle w:val="3"/>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 w:hAnsi="仿宋" w:eastAsia="仿宋" w:cs="仿宋"/>
          <w:bCs/>
          <w:sz w:val="32"/>
          <w:szCs w:val="32"/>
          <w:highlight w:val="none"/>
        </w:rPr>
      </w:pPr>
      <w:bookmarkStart w:id="71" w:name="_Toc22941"/>
      <w:bookmarkStart w:id="72" w:name="_Toc30518"/>
      <w:bookmarkStart w:id="73" w:name="_Toc83631050"/>
      <w:bookmarkStart w:id="74" w:name="_Toc83630436"/>
      <w:bookmarkStart w:id="75" w:name="_Toc27278"/>
      <w:bookmarkStart w:id="76" w:name="_Toc7207"/>
      <w:r>
        <w:rPr>
          <w:rFonts w:hint="eastAsia" w:ascii="仿宋" w:hAnsi="仿宋" w:eastAsia="仿宋" w:cs="仿宋"/>
          <w:bCs/>
          <w:sz w:val="32"/>
          <w:szCs w:val="32"/>
          <w:highlight w:val="none"/>
          <w:lang w:eastAsia="zh-CN"/>
        </w:rPr>
        <w:t>六</w:t>
      </w:r>
      <w:r>
        <w:rPr>
          <w:rFonts w:hint="eastAsia" w:ascii="仿宋" w:hAnsi="仿宋" w:eastAsia="仿宋" w:cs="仿宋"/>
          <w:bCs/>
          <w:sz w:val="32"/>
          <w:szCs w:val="32"/>
          <w:highlight w:val="none"/>
        </w:rPr>
        <w:t>、存在的问题</w:t>
      </w:r>
      <w:bookmarkEnd w:id="71"/>
      <w:bookmarkEnd w:id="72"/>
      <w:bookmarkEnd w:id="73"/>
      <w:bookmarkEnd w:id="74"/>
      <w:bookmarkEnd w:id="75"/>
      <w:bookmarkEnd w:id="76"/>
    </w:p>
    <w:p>
      <w:pPr>
        <w:pageBreakBefore w:val="0"/>
        <w:kinsoku/>
        <w:wordWrap/>
        <w:overflowPunct/>
        <w:topLinePunct w:val="0"/>
        <w:autoSpaceDE/>
        <w:autoSpaceDN/>
        <w:bidi w:val="0"/>
        <w:adjustRightInd/>
        <w:snapToGrid/>
        <w:spacing w:line="560" w:lineRule="exact"/>
        <w:ind w:firstLine="645" w:firstLineChars="215"/>
        <w:rPr>
          <w:rFonts w:hint="eastAsia" w:ascii="仿宋" w:hAnsi="仿宋" w:eastAsia="仿宋" w:cs="仿宋"/>
          <w:sz w:val="30"/>
          <w:szCs w:val="30"/>
          <w:highlight w:val="none"/>
        </w:rPr>
      </w:pPr>
      <w:r>
        <w:rPr>
          <w:rFonts w:hint="eastAsia" w:ascii="仿宋" w:hAnsi="仿宋" w:eastAsia="仿宋" w:cs="仿宋"/>
          <w:sz w:val="30"/>
          <w:szCs w:val="30"/>
          <w:highlight w:val="none"/>
        </w:rPr>
        <w:t>该项目取得的成绩是肯定的</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但在实现绩效目标过程中也存在一些不足之处</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具体归纳为：</w:t>
      </w:r>
    </w:p>
    <w:p>
      <w:pPr>
        <w:keepNext w:val="0"/>
        <w:keepLines w:val="0"/>
        <w:pageBreakBefore w:val="0"/>
        <w:numPr>
          <w:ilvl w:val="0"/>
          <w:numId w:val="2"/>
        </w:numPr>
        <w:kinsoku/>
        <w:wordWrap/>
        <w:overflowPunct/>
        <w:topLinePunct w:val="0"/>
        <w:autoSpaceDE/>
        <w:autoSpaceDN/>
        <w:bidi w:val="0"/>
        <w:adjustRightInd/>
        <w:snapToGrid/>
        <w:spacing w:line="560" w:lineRule="atLeast"/>
        <w:ind w:left="562" w:leftChars="0"/>
        <w:jc w:val="left"/>
        <w:textAlignment w:val="auto"/>
        <w:rPr>
          <w:rFonts w:hint="eastAsia" w:ascii="仿宋" w:hAnsi="仿宋" w:eastAsia="仿宋" w:cs="仿宋"/>
          <w:b w:val="0"/>
          <w:bCs w:val="0"/>
          <w:sz w:val="30"/>
          <w:szCs w:val="30"/>
          <w:highlight w:val="none"/>
          <w:lang w:val="en-US" w:eastAsia="zh-CN"/>
        </w:rPr>
      </w:pPr>
      <w:bookmarkStart w:id="77" w:name="_Toc83631051"/>
      <w:bookmarkStart w:id="78" w:name="_Toc6530"/>
      <w:bookmarkStart w:id="79" w:name="_Toc23781"/>
      <w:bookmarkStart w:id="80" w:name="_Toc83630437"/>
      <w:r>
        <w:rPr>
          <w:rFonts w:hint="eastAsia" w:ascii="仿宋" w:hAnsi="仿宋" w:eastAsia="仿宋" w:cs="仿宋"/>
          <w:b w:val="0"/>
          <w:bCs w:val="0"/>
          <w:sz w:val="30"/>
          <w:szCs w:val="30"/>
          <w:highlight w:val="none"/>
          <w:lang w:val="en-US" w:eastAsia="zh-CN"/>
        </w:rPr>
        <w:t>项目实施进度方面</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抽查的部分项目，项目进度较为缓慢，未按计划的施工进度完成项目建设。</w:t>
      </w:r>
    </w:p>
    <w:p>
      <w:pPr>
        <w:pageBreakBefore w:val="0"/>
        <w:kinsoku/>
        <w:wordWrap/>
        <w:overflowPunct/>
        <w:topLinePunct w:val="0"/>
        <w:autoSpaceDE/>
        <w:autoSpaceDN/>
        <w:bidi w:val="0"/>
        <w:adjustRightInd/>
        <w:snapToGrid/>
        <w:spacing w:line="560" w:lineRule="exact"/>
        <w:ind w:firstLine="645" w:firstLineChars="215"/>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（二）项目预期收益实现方面</w:t>
      </w:r>
    </w:p>
    <w:p>
      <w:pPr>
        <w:pageBreakBefore w:val="0"/>
        <w:kinsoku/>
        <w:wordWrap/>
        <w:overflowPunct/>
        <w:topLinePunct w:val="0"/>
        <w:autoSpaceDE/>
        <w:autoSpaceDN/>
        <w:bidi w:val="0"/>
        <w:adjustRightInd/>
        <w:snapToGrid/>
        <w:spacing w:line="560" w:lineRule="exact"/>
        <w:ind w:firstLine="645" w:firstLineChars="215"/>
        <w:rPr>
          <w:rFonts w:hint="eastAsia"/>
          <w:lang w:val="en-US" w:eastAsia="zh-CN"/>
        </w:rPr>
      </w:pPr>
      <w:r>
        <w:rPr>
          <w:rFonts w:hint="eastAsia" w:ascii="仿宋" w:hAnsi="仿宋" w:eastAsia="仿宋" w:cs="仿宋"/>
          <w:kern w:val="2"/>
          <w:sz w:val="30"/>
          <w:szCs w:val="30"/>
          <w:highlight w:val="none"/>
          <w:lang w:val="en-US" w:eastAsia="zh-CN" w:bidi="ar-SA"/>
        </w:rPr>
        <w:t>2022年度衔接资金安排的产业项目明确了联农带农机制，但部分资产收益项目未能及时的产生收益，项目后期管理有待加强。</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（三）财务审核方面</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00" w:firstLineChars="200"/>
        <w:jc w:val="left"/>
        <w:textAlignment w:val="auto"/>
        <w:rPr>
          <w:rFonts w:hint="eastAsia"/>
          <w:lang w:eastAsia="zh-CN"/>
        </w:rPr>
      </w:pPr>
      <w:r>
        <w:rPr>
          <w:rFonts w:hint="eastAsia" w:ascii="仿宋" w:hAnsi="仿宋" w:eastAsia="仿宋" w:cs="仿宋"/>
          <w:sz w:val="30"/>
          <w:szCs w:val="30"/>
          <w:highlight w:val="none"/>
          <w:lang w:eastAsia="zh-CN"/>
        </w:rPr>
        <w:t>抽查项目中部分项目支付凭证后附材料数据有误，</w:t>
      </w:r>
      <w:r>
        <w:rPr>
          <w:rFonts w:hint="eastAsia" w:ascii="仿宋" w:hAnsi="仿宋" w:eastAsia="仿宋" w:cs="仿宋"/>
          <w:sz w:val="30"/>
          <w:szCs w:val="30"/>
          <w:highlight w:val="none"/>
          <w:lang w:val="en-US" w:eastAsia="zh-CN"/>
        </w:rPr>
        <w:t>财务资料的审核工作有待加强。</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七、建议及改进措施</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00" w:firstLineChars="200"/>
        <w:jc w:val="left"/>
        <w:textAlignment w:val="auto"/>
        <w:rPr>
          <w:rFonts w:hint="default"/>
          <w:highlight w:val="none"/>
          <w:lang w:val="en-US" w:eastAsia="zh-CN"/>
        </w:rPr>
      </w:pPr>
      <w:r>
        <w:rPr>
          <w:rFonts w:hint="eastAsia" w:ascii="仿宋" w:hAnsi="仿宋" w:eastAsia="仿宋" w:cs="仿宋"/>
          <w:b w:val="0"/>
          <w:bCs w:val="0"/>
          <w:sz w:val="30"/>
          <w:szCs w:val="30"/>
          <w:highlight w:val="none"/>
          <w:lang w:val="en-US" w:eastAsia="zh-CN"/>
        </w:rPr>
        <w:t>（一）针对项目实施进度较慢问题，建议项目实施单位加快项目实施进度，对实际已完工的项目加快验收和结算审核工作，尽快使衔接资金安排项目产生效益。</w:t>
      </w:r>
    </w:p>
    <w:p>
      <w:pPr>
        <w:spacing w:line="560" w:lineRule="exact"/>
        <w:ind w:firstLine="600" w:firstLineChars="200"/>
        <w:rPr>
          <w:rFonts w:hint="eastAsia" w:ascii="仿宋" w:hAnsi="仿宋" w:eastAsia="仿宋" w:cs="仿宋"/>
          <w:spacing w:val="2"/>
          <w:sz w:val="32"/>
          <w:szCs w:val="32"/>
          <w:lang w:eastAsia="zh-CN"/>
        </w:rPr>
      </w:pPr>
      <w:r>
        <w:rPr>
          <w:rFonts w:hint="eastAsia" w:ascii="仿宋" w:hAnsi="仿宋" w:eastAsia="仿宋" w:cs="仿宋"/>
          <w:b w:val="0"/>
          <w:bCs w:val="0"/>
          <w:kern w:val="2"/>
          <w:sz w:val="30"/>
          <w:szCs w:val="30"/>
          <w:highlight w:val="none"/>
          <w:lang w:val="en-US" w:eastAsia="zh-CN" w:bidi="ar-SA"/>
        </w:rPr>
        <w:t>（二）针对</w:t>
      </w:r>
      <w:r>
        <w:rPr>
          <w:rFonts w:hint="eastAsia" w:ascii="仿宋" w:hAnsi="仿宋" w:eastAsia="仿宋" w:cs="仿宋"/>
          <w:sz w:val="30"/>
          <w:szCs w:val="30"/>
          <w:highlight w:val="none"/>
          <w:lang w:val="en-US" w:eastAsia="zh-CN"/>
        </w:rPr>
        <w:t>项目预期收益实现方面问题，建议项目运营单位加强项目运营管理，尽快实现项目预期收益；对已实现的项目收益相关单位应按规定合理分配，</w:t>
      </w:r>
      <w:r>
        <w:rPr>
          <w:rFonts w:ascii="仿宋" w:hAnsi="仿宋" w:eastAsia="仿宋" w:cs="仿宋"/>
          <w:spacing w:val="2"/>
          <w:sz w:val="32"/>
          <w:szCs w:val="32"/>
        </w:rPr>
        <w:t>提高资金使用效益</w:t>
      </w:r>
      <w:r>
        <w:rPr>
          <w:rFonts w:hint="eastAsia" w:ascii="仿宋" w:hAnsi="仿宋" w:eastAsia="仿宋" w:cs="仿宋"/>
          <w:spacing w:val="2"/>
          <w:sz w:val="32"/>
          <w:szCs w:val="32"/>
          <w:lang w:eastAsia="zh-CN"/>
        </w:rPr>
        <w:t>。</w:t>
      </w:r>
    </w:p>
    <w:p>
      <w:pPr>
        <w:pageBreakBefore w:val="0"/>
        <w:numPr>
          <w:ilvl w:val="0"/>
          <w:numId w:val="0"/>
        </w:numPr>
        <w:kinsoku/>
        <w:wordWrap/>
        <w:overflowPunct/>
        <w:topLinePunct w:val="0"/>
        <w:autoSpaceDE/>
        <w:autoSpaceDN/>
        <w:bidi w:val="0"/>
        <w:adjustRightInd/>
        <w:snapToGrid/>
        <w:spacing w:line="560" w:lineRule="exact"/>
        <w:ind w:firstLine="600" w:firstLineChars="200"/>
        <w:jc w:val="left"/>
        <w:rPr>
          <w:rFonts w:hint="eastAsia" w:ascii="仿宋" w:hAnsi="仿宋" w:eastAsia="仿宋"/>
          <w:sz w:val="28"/>
          <w:szCs w:val="28"/>
          <w:highlight w:val="none"/>
          <w:lang w:eastAsia="zh-CN"/>
        </w:rPr>
      </w:pPr>
      <w:r>
        <w:rPr>
          <w:rFonts w:hint="eastAsia" w:ascii="仿宋" w:hAnsi="仿宋" w:eastAsia="仿宋" w:cs="仿宋"/>
          <w:b w:val="0"/>
          <w:bCs w:val="0"/>
          <w:sz w:val="30"/>
          <w:szCs w:val="30"/>
          <w:highlight w:val="none"/>
          <w:lang w:val="en-US" w:eastAsia="zh-CN"/>
        </w:rPr>
        <w:t>（三）针对</w:t>
      </w:r>
      <w:r>
        <w:rPr>
          <w:rFonts w:hint="eastAsia" w:ascii="仿宋" w:hAnsi="仿宋" w:eastAsia="仿宋" w:cs="仿宋"/>
          <w:sz w:val="30"/>
          <w:szCs w:val="30"/>
          <w:highlight w:val="none"/>
          <w:lang w:eastAsia="zh-CN"/>
        </w:rPr>
        <w:t>财务审核方面</w:t>
      </w:r>
      <w:r>
        <w:rPr>
          <w:rFonts w:hint="eastAsia" w:ascii="仿宋" w:hAnsi="仿宋" w:eastAsia="仿宋" w:cs="仿宋"/>
          <w:b w:val="0"/>
          <w:bCs w:val="0"/>
          <w:sz w:val="30"/>
          <w:szCs w:val="30"/>
          <w:highlight w:val="none"/>
          <w:lang w:val="en-US" w:eastAsia="zh-CN"/>
        </w:rPr>
        <w:t>问题，</w:t>
      </w:r>
      <w:r>
        <w:rPr>
          <w:rFonts w:hint="eastAsia" w:ascii="仿宋" w:hAnsi="仿宋" w:eastAsia="仿宋" w:cs="仿宋"/>
          <w:sz w:val="30"/>
          <w:szCs w:val="30"/>
          <w:highlight w:val="none"/>
        </w:rPr>
        <w:t>建议</w:t>
      </w:r>
      <w:r>
        <w:rPr>
          <w:rFonts w:hint="eastAsia" w:ascii="仿宋" w:hAnsi="仿宋" w:eastAsia="仿宋" w:cs="仿宋"/>
          <w:b w:val="0"/>
          <w:bCs w:val="0"/>
          <w:sz w:val="30"/>
          <w:szCs w:val="30"/>
          <w:highlight w:val="none"/>
          <w:lang w:val="en-US" w:eastAsia="zh-CN"/>
        </w:rPr>
        <w:t>项目实施单位</w:t>
      </w:r>
      <w:r>
        <w:rPr>
          <w:rFonts w:hint="eastAsia" w:ascii="仿宋" w:hAnsi="仿宋" w:eastAsia="仿宋"/>
          <w:sz w:val="28"/>
          <w:szCs w:val="28"/>
          <w:highlight w:val="none"/>
        </w:rPr>
        <w:t>加强</w:t>
      </w:r>
      <w:r>
        <w:rPr>
          <w:rFonts w:hint="eastAsia" w:ascii="仿宋" w:hAnsi="仿宋" w:eastAsia="仿宋"/>
          <w:sz w:val="28"/>
          <w:szCs w:val="28"/>
          <w:highlight w:val="none"/>
          <w:lang w:eastAsia="zh-CN"/>
        </w:rPr>
        <w:t>会计资料审核</w:t>
      </w:r>
      <w:r>
        <w:rPr>
          <w:rFonts w:hint="eastAsia" w:ascii="仿宋" w:hAnsi="仿宋" w:eastAsia="仿宋"/>
          <w:sz w:val="28"/>
          <w:szCs w:val="28"/>
          <w:highlight w:val="none"/>
        </w:rPr>
        <w:t>工作，提高相关人员业务素质，</w:t>
      </w:r>
      <w:r>
        <w:rPr>
          <w:rFonts w:hint="eastAsia" w:ascii="仿宋" w:hAnsi="仿宋" w:eastAsia="仿宋"/>
          <w:sz w:val="28"/>
          <w:szCs w:val="28"/>
          <w:highlight w:val="none"/>
          <w:lang w:eastAsia="zh-CN"/>
        </w:rPr>
        <w:t>完善资金的支付依据。</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八、其他事项说明</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b w:val="0"/>
          <w:bCs w:val="0"/>
          <w:kern w:val="2"/>
          <w:sz w:val="30"/>
          <w:szCs w:val="30"/>
          <w:highlight w:val="none"/>
          <w:lang w:val="en-US" w:eastAsia="zh-CN" w:bidi="ar-SA"/>
        </w:rPr>
        <w:t>本次绩效评价工作是通过抽查项目的方式进行的，绩效评价结果是基于抽查样本情况形成的。</w:t>
      </w:r>
    </w:p>
    <w:p>
      <w:pPr>
        <w:rPr>
          <w:rFonts w:hint="eastAsia"/>
          <w:lang w:eastAsia="zh-CN"/>
        </w:rPr>
      </w:pPr>
    </w:p>
    <w:p>
      <w:pPr>
        <w:pStyle w:val="3"/>
        <w:pageBreakBefore w:val="0"/>
        <w:kinsoku/>
        <w:wordWrap/>
        <w:overflowPunct/>
        <w:topLinePunct w:val="0"/>
        <w:autoSpaceDE/>
        <w:autoSpaceDN/>
        <w:bidi w:val="0"/>
        <w:adjustRightInd/>
        <w:snapToGrid/>
        <w:spacing w:beforeAutospacing="0" w:afterAutospacing="0" w:line="440" w:lineRule="atLeast"/>
        <w:rPr>
          <w:rFonts w:hint="eastAsia" w:ascii="仿宋" w:hAnsi="仿宋" w:eastAsia="仿宋" w:cs="Times New Roman"/>
          <w:b w:val="0"/>
          <w:kern w:val="2"/>
          <w:sz w:val="28"/>
          <w:szCs w:val="28"/>
          <w:highlight w:val="none"/>
          <w:lang w:val="en-US" w:eastAsia="zh-CN" w:bidi="ar-SA"/>
        </w:rPr>
      </w:pPr>
    </w:p>
    <w:p>
      <w:pPr>
        <w:pStyle w:val="3"/>
        <w:pageBreakBefore w:val="0"/>
        <w:kinsoku/>
        <w:wordWrap/>
        <w:overflowPunct/>
        <w:topLinePunct w:val="0"/>
        <w:autoSpaceDE/>
        <w:autoSpaceDN/>
        <w:bidi w:val="0"/>
        <w:adjustRightInd/>
        <w:snapToGrid/>
        <w:spacing w:beforeAutospacing="0" w:afterAutospacing="0" w:line="440" w:lineRule="atLeast"/>
        <w:ind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附件：2022年度曲阳县财政衔接推进乡村振兴补助资金绩效评价指标表</w:t>
      </w:r>
    </w:p>
    <w:p>
      <w:pPr>
        <w:spacing w:line="560" w:lineRule="exact"/>
        <w:ind w:firstLine="420" w:firstLineChars="200"/>
        <w:rPr>
          <w:highlight w:val="none"/>
        </w:rPr>
      </w:pPr>
    </w:p>
    <w:p>
      <w:pPr>
        <w:spacing w:line="560" w:lineRule="exact"/>
        <w:ind w:firstLine="420" w:firstLineChars="200"/>
        <w:rPr>
          <w:highlight w:val="none"/>
        </w:rPr>
      </w:pPr>
    </w:p>
    <w:p>
      <w:pPr>
        <w:spacing w:line="560" w:lineRule="exact"/>
        <w:ind w:firstLine="420" w:firstLineChars="200"/>
        <w:rPr>
          <w:highlight w:val="none"/>
        </w:rPr>
      </w:pPr>
    </w:p>
    <w:bookmarkEnd w:id="77"/>
    <w:bookmarkEnd w:id="78"/>
    <w:bookmarkEnd w:id="79"/>
    <w:bookmarkEnd w:id="80"/>
    <w:p>
      <w:pPr>
        <w:pageBreakBefore w:val="0"/>
        <w:kinsoku/>
        <w:wordWrap/>
        <w:overflowPunct/>
        <w:topLinePunct w:val="0"/>
        <w:autoSpaceDE/>
        <w:autoSpaceDN/>
        <w:bidi w:val="0"/>
        <w:adjustRightInd/>
        <w:snapToGrid/>
        <w:spacing w:line="560" w:lineRule="exact"/>
        <w:rPr>
          <w:rFonts w:hint="eastAsia" w:ascii="仿宋" w:hAnsi="仿宋" w:eastAsia="仿宋" w:cs="仿宋"/>
          <w:sz w:val="30"/>
          <w:szCs w:val="30"/>
          <w:highlight w:val="none"/>
        </w:rPr>
      </w:pPr>
    </w:p>
    <w:p>
      <w:pPr>
        <w:pageBreakBefore w:val="0"/>
        <w:kinsoku/>
        <w:wordWrap/>
        <w:overflowPunct/>
        <w:topLinePunct w:val="0"/>
        <w:autoSpaceDE/>
        <w:autoSpaceDN/>
        <w:bidi w:val="0"/>
        <w:adjustRightInd/>
        <w:snapToGrid/>
        <w:spacing w:line="560" w:lineRule="exact"/>
        <w:ind w:firstLine="6300" w:firstLineChars="21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202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年</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月</w:t>
      </w:r>
      <w:r>
        <w:rPr>
          <w:rFonts w:hint="eastAsia" w:ascii="仿宋" w:hAnsi="仿宋" w:eastAsia="仿宋" w:cs="仿宋"/>
          <w:sz w:val="30"/>
          <w:szCs w:val="30"/>
          <w:highlight w:val="none"/>
          <w:lang w:val="en-US" w:eastAsia="zh-CN"/>
        </w:rPr>
        <w:t>30</w:t>
      </w:r>
      <w:r>
        <w:rPr>
          <w:rFonts w:hint="eastAsia" w:ascii="仿宋" w:hAnsi="仿宋" w:eastAsia="仿宋" w:cs="仿宋"/>
          <w:sz w:val="30"/>
          <w:szCs w:val="30"/>
          <w:highlight w:val="none"/>
          <w:lang w:eastAsia="zh-CN"/>
        </w:rPr>
        <w:t>日</w:t>
      </w:r>
    </w:p>
    <w:sectPr>
      <w:footerReference r:id="rId3" w:type="default"/>
      <w:pgSz w:w="11906" w:h="16838"/>
      <w:pgMar w:top="964" w:right="1134" w:bottom="964" w:left="1134" w:header="1134" w:footer="680"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ascii="宋体" w:hAnsi="宋体"/>
      </w:rPr>
      <w:t xml:space="preserve">               </w:t>
    </w:r>
  </w:p>
  <w:p>
    <w:pPr>
      <w:pStyle w:val="12"/>
      <w:ind w:right="72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B43DD"/>
    <w:multiLevelType w:val="singleLevel"/>
    <w:tmpl w:val="F84B43DD"/>
    <w:lvl w:ilvl="0" w:tentative="0">
      <w:start w:val="2"/>
      <w:numFmt w:val="chineseCounting"/>
      <w:lvlText w:val="(%1)"/>
      <w:lvlJc w:val="left"/>
      <w:pPr>
        <w:tabs>
          <w:tab w:val="left" w:pos="312"/>
        </w:tabs>
      </w:pPr>
      <w:rPr>
        <w:rFonts w:hint="eastAsia"/>
      </w:rPr>
    </w:lvl>
  </w:abstractNum>
  <w:abstractNum w:abstractNumId="1">
    <w:nsid w:val="3DA99173"/>
    <w:multiLevelType w:val="singleLevel"/>
    <w:tmpl w:val="3DA9917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00172A27"/>
    <w:rsid w:val="00001E81"/>
    <w:rsid w:val="00002FE3"/>
    <w:rsid w:val="0001237A"/>
    <w:rsid w:val="00012B1F"/>
    <w:rsid w:val="00013039"/>
    <w:rsid w:val="00016780"/>
    <w:rsid w:val="00016877"/>
    <w:rsid w:val="00022151"/>
    <w:rsid w:val="00025856"/>
    <w:rsid w:val="0002621F"/>
    <w:rsid w:val="00033AA9"/>
    <w:rsid w:val="0003796B"/>
    <w:rsid w:val="00040467"/>
    <w:rsid w:val="00045C4A"/>
    <w:rsid w:val="00051E6A"/>
    <w:rsid w:val="000526B1"/>
    <w:rsid w:val="000545E4"/>
    <w:rsid w:val="00061A9C"/>
    <w:rsid w:val="00061CE6"/>
    <w:rsid w:val="0006219F"/>
    <w:rsid w:val="000708F8"/>
    <w:rsid w:val="0007441F"/>
    <w:rsid w:val="0007465C"/>
    <w:rsid w:val="00074D40"/>
    <w:rsid w:val="000755AD"/>
    <w:rsid w:val="00075E9A"/>
    <w:rsid w:val="00077141"/>
    <w:rsid w:val="00085E3D"/>
    <w:rsid w:val="0009369D"/>
    <w:rsid w:val="0009497A"/>
    <w:rsid w:val="00097090"/>
    <w:rsid w:val="000A0869"/>
    <w:rsid w:val="000A1167"/>
    <w:rsid w:val="000A3E44"/>
    <w:rsid w:val="000A4680"/>
    <w:rsid w:val="000B0D5C"/>
    <w:rsid w:val="000B155D"/>
    <w:rsid w:val="000B1E0C"/>
    <w:rsid w:val="000B20C4"/>
    <w:rsid w:val="000B2F28"/>
    <w:rsid w:val="000C0219"/>
    <w:rsid w:val="000C04B4"/>
    <w:rsid w:val="000D406E"/>
    <w:rsid w:val="000D62DD"/>
    <w:rsid w:val="000D7C44"/>
    <w:rsid w:val="000D7C62"/>
    <w:rsid w:val="000E2FF4"/>
    <w:rsid w:val="000E55B5"/>
    <w:rsid w:val="000E7041"/>
    <w:rsid w:val="000F06E0"/>
    <w:rsid w:val="000F4DB6"/>
    <w:rsid w:val="000F6F4D"/>
    <w:rsid w:val="000F7314"/>
    <w:rsid w:val="00102339"/>
    <w:rsid w:val="00103596"/>
    <w:rsid w:val="0010607C"/>
    <w:rsid w:val="0010686E"/>
    <w:rsid w:val="00107E9D"/>
    <w:rsid w:val="001118A5"/>
    <w:rsid w:val="001129D8"/>
    <w:rsid w:val="00117D1C"/>
    <w:rsid w:val="00123040"/>
    <w:rsid w:val="00123913"/>
    <w:rsid w:val="00127425"/>
    <w:rsid w:val="001337FE"/>
    <w:rsid w:val="00135522"/>
    <w:rsid w:val="0014634C"/>
    <w:rsid w:val="001471EC"/>
    <w:rsid w:val="00151E0E"/>
    <w:rsid w:val="00153236"/>
    <w:rsid w:val="00155639"/>
    <w:rsid w:val="00157B84"/>
    <w:rsid w:val="00161CEF"/>
    <w:rsid w:val="00163C86"/>
    <w:rsid w:val="0016529A"/>
    <w:rsid w:val="0016552F"/>
    <w:rsid w:val="00165B00"/>
    <w:rsid w:val="00167578"/>
    <w:rsid w:val="00172A27"/>
    <w:rsid w:val="001730CC"/>
    <w:rsid w:val="00175C51"/>
    <w:rsid w:val="001775FA"/>
    <w:rsid w:val="00177706"/>
    <w:rsid w:val="00181EDE"/>
    <w:rsid w:val="00196D03"/>
    <w:rsid w:val="001973EC"/>
    <w:rsid w:val="001A0FA2"/>
    <w:rsid w:val="001A47A9"/>
    <w:rsid w:val="001A6DAC"/>
    <w:rsid w:val="001A6DCF"/>
    <w:rsid w:val="001A7692"/>
    <w:rsid w:val="001B348D"/>
    <w:rsid w:val="001B48F3"/>
    <w:rsid w:val="001B5178"/>
    <w:rsid w:val="001B55E7"/>
    <w:rsid w:val="001C05EB"/>
    <w:rsid w:val="001C0981"/>
    <w:rsid w:val="001C0A70"/>
    <w:rsid w:val="001C370C"/>
    <w:rsid w:val="001C5733"/>
    <w:rsid w:val="001C587B"/>
    <w:rsid w:val="001D420F"/>
    <w:rsid w:val="001D7CB3"/>
    <w:rsid w:val="001E3AEC"/>
    <w:rsid w:val="001E5575"/>
    <w:rsid w:val="001E6191"/>
    <w:rsid w:val="001E6D7F"/>
    <w:rsid w:val="001F37F7"/>
    <w:rsid w:val="001F3B46"/>
    <w:rsid w:val="002019BF"/>
    <w:rsid w:val="00204D34"/>
    <w:rsid w:val="00205B2A"/>
    <w:rsid w:val="002061DE"/>
    <w:rsid w:val="00206E4A"/>
    <w:rsid w:val="00211650"/>
    <w:rsid w:val="00212B85"/>
    <w:rsid w:val="00214D2D"/>
    <w:rsid w:val="00217674"/>
    <w:rsid w:val="002238F1"/>
    <w:rsid w:val="0022441E"/>
    <w:rsid w:val="002262ED"/>
    <w:rsid w:val="00227687"/>
    <w:rsid w:val="00231583"/>
    <w:rsid w:val="00231E73"/>
    <w:rsid w:val="00232C0B"/>
    <w:rsid w:val="00236FF9"/>
    <w:rsid w:val="002371BA"/>
    <w:rsid w:val="00241DDA"/>
    <w:rsid w:val="0024577B"/>
    <w:rsid w:val="002477B2"/>
    <w:rsid w:val="002478F4"/>
    <w:rsid w:val="002513BE"/>
    <w:rsid w:val="00256A4B"/>
    <w:rsid w:val="00264E36"/>
    <w:rsid w:val="00266F46"/>
    <w:rsid w:val="002678E2"/>
    <w:rsid w:val="0027048A"/>
    <w:rsid w:val="00270705"/>
    <w:rsid w:val="00271949"/>
    <w:rsid w:val="00274702"/>
    <w:rsid w:val="0027470D"/>
    <w:rsid w:val="002762DA"/>
    <w:rsid w:val="00280437"/>
    <w:rsid w:val="002837BF"/>
    <w:rsid w:val="0028433C"/>
    <w:rsid w:val="00287E1A"/>
    <w:rsid w:val="002938D8"/>
    <w:rsid w:val="00294650"/>
    <w:rsid w:val="00294ED2"/>
    <w:rsid w:val="00297960"/>
    <w:rsid w:val="002A4C4D"/>
    <w:rsid w:val="002A5E76"/>
    <w:rsid w:val="002A68A6"/>
    <w:rsid w:val="002B37B6"/>
    <w:rsid w:val="002B45E5"/>
    <w:rsid w:val="002C1CA4"/>
    <w:rsid w:val="002E02E3"/>
    <w:rsid w:val="002E2613"/>
    <w:rsid w:val="002E2C1A"/>
    <w:rsid w:val="002E45FD"/>
    <w:rsid w:val="002E7CB4"/>
    <w:rsid w:val="002F0A16"/>
    <w:rsid w:val="002F2D01"/>
    <w:rsid w:val="002F72F6"/>
    <w:rsid w:val="00303ADF"/>
    <w:rsid w:val="00306C5A"/>
    <w:rsid w:val="00307390"/>
    <w:rsid w:val="00307D5B"/>
    <w:rsid w:val="00311278"/>
    <w:rsid w:val="00313749"/>
    <w:rsid w:val="00313C79"/>
    <w:rsid w:val="0032011B"/>
    <w:rsid w:val="003225CE"/>
    <w:rsid w:val="00323DE4"/>
    <w:rsid w:val="00325654"/>
    <w:rsid w:val="00327721"/>
    <w:rsid w:val="00330324"/>
    <w:rsid w:val="00330AA2"/>
    <w:rsid w:val="003362FC"/>
    <w:rsid w:val="0033673E"/>
    <w:rsid w:val="00344370"/>
    <w:rsid w:val="00350222"/>
    <w:rsid w:val="00350722"/>
    <w:rsid w:val="00351B3C"/>
    <w:rsid w:val="00354F98"/>
    <w:rsid w:val="00355135"/>
    <w:rsid w:val="003559E9"/>
    <w:rsid w:val="00360C3A"/>
    <w:rsid w:val="00361A21"/>
    <w:rsid w:val="00361C36"/>
    <w:rsid w:val="00371E92"/>
    <w:rsid w:val="003722A1"/>
    <w:rsid w:val="00375B5C"/>
    <w:rsid w:val="003776F3"/>
    <w:rsid w:val="0038027C"/>
    <w:rsid w:val="00382AC7"/>
    <w:rsid w:val="0039160E"/>
    <w:rsid w:val="003918F6"/>
    <w:rsid w:val="003933E7"/>
    <w:rsid w:val="00395AAD"/>
    <w:rsid w:val="0039616C"/>
    <w:rsid w:val="00397291"/>
    <w:rsid w:val="00397784"/>
    <w:rsid w:val="003A468C"/>
    <w:rsid w:val="003A5D20"/>
    <w:rsid w:val="003B0599"/>
    <w:rsid w:val="003B506F"/>
    <w:rsid w:val="003B55FC"/>
    <w:rsid w:val="003C2817"/>
    <w:rsid w:val="003D5A13"/>
    <w:rsid w:val="003E4CEC"/>
    <w:rsid w:val="003E58F6"/>
    <w:rsid w:val="003F5AA4"/>
    <w:rsid w:val="0040171A"/>
    <w:rsid w:val="0040642B"/>
    <w:rsid w:val="00411120"/>
    <w:rsid w:val="00412B46"/>
    <w:rsid w:val="00421AA7"/>
    <w:rsid w:val="004220AA"/>
    <w:rsid w:val="0043069F"/>
    <w:rsid w:val="00431254"/>
    <w:rsid w:val="00432102"/>
    <w:rsid w:val="00435890"/>
    <w:rsid w:val="00437563"/>
    <w:rsid w:val="0045092F"/>
    <w:rsid w:val="0045268D"/>
    <w:rsid w:val="00455858"/>
    <w:rsid w:val="0045663E"/>
    <w:rsid w:val="00460005"/>
    <w:rsid w:val="004603D0"/>
    <w:rsid w:val="00464C8B"/>
    <w:rsid w:val="00464E7C"/>
    <w:rsid w:val="00471474"/>
    <w:rsid w:val="00474E33"/>
    <w:rsid w:val="00476CA9"/>
    <w:rsid w:val="00477A0A"/>
    <w:rsid w:val="004837D1"/>
    <w:rsid w:val="00484031"/>
    <w:rsid w:val="004949BB"/>
    <w:rsid w:val="00494D2C"/>
    <w:rsid w:val="00495D03"/>
    <w:rsid w:val="00496C00"/>
    <w:rsid w:val="004A6E0D"/>
    <w:rsid w:val="004B34D2"/>
    <w:rsid w:val="004B36EF"/>
    <w:rsid w:val="004B60B0"/>
    <w:rsid w:val="004C077B"/>
    <w:rsid w:val="004C16C1"/>
    <w:rsid w:val="004C42FF"/>
    <w:rsid w:val="004D3E55"/>
    <w:rsid w:val="004E1A51"/>
    <w:rsid w:val="004E4D3D"/>
    <w:rsid w:val="004E78EF"/>
    <w:rsid w:val="004F05AB"/>
    <w:rsid w:val="004F1584"/>
    <w:rsid w:val="004F6320"/>
    <w:rsid w:val="005035A0"/>
    <w:rsid w:val="00503F54"/>
    <w:rsid w:val="00504D24"/>
    <w:rsid w:val="00506B53"/>
    <w:rsid w:val="0050755A"/>
    <w:rsid w:val="00525EA6"/>
    <w:rsid w:val="00525F5C"/>
    <w:rsid w:val="005262DE"/>
    <w:rsid w:val="0053461A"/>
    <w:rsid w:val="00535CEF"/>
    <w:rsid w:val="005443B3"/>
    <w:rsid w:val="005511A7"/>
    <w:rsid w:val="0055165F"/>
    <w:rsid w:val="0055189E"/>
    <w:rsid w:val="005605EF"/>
    <w:rsid w:val="0056126D"/>
    <w:rsid w:val="00573D78"/>
    <w:rsid w:val="00577454"/>
    <w:rsid w:val="00580E0D"/>
    <w:rsid w:val="00581141"/>
    <w:rsid w:val="00587B04"/>
    <w:rsid w:val="00587DA6"/>
    <w:rsid w:val="00596FA9"/>
    <w:rsid w:val="005975A7"/>
    <w:rsid w:val="005A0AFA"/>
    <w:rsid w:val="005A1FA5"/>
    <w:rsid w:val="005A2809"/>
    <w:rsid w:val="005A4668"/>
    <w:rsid w:val="005B0ABE"/>
    <w:rsid w:val="005B2098"/>
    <w:rsid w:val="005B5D50"/>
    <w:rsid w:val="005B604D"/>
    <w:rsid w:val="005C6CF3"/>
    <w:rsid w:val="005D4511"/>
    <w:rsid w:val="005D511C"/>
    <w:rsid w:val="005D6237"/>
    <w:rsid w:val="005D6295"/>
    <w:rsid w:val="005E0754"/>
    <w:rsid w:val="005E12F4"/>
    <w:rsid w:val="005E4912"/>
    <w:rsid w:val="005E5A26"/>
    <w:rsid w:val="005E5BF3"/>
    <w:rsid w:val="005F109C"/>
    <w:rsid w:val="005F702A"/>
    <w:rsid w:val="0060053D"/>
    <w:rsid w:val="00601408"/>
    <w:rsid w:val="00606C8F"/>
    <w:rsid w:val="00610D3F"/>
    <w:rsid w:val="006153F8"/>
    <w:rsid w:val="00617B84"/>
    <w:rsid w:val="00620728"/>
    <w:rsid w:val="00626BD6"/>
    <w:rsid w:val="0063198C"/>
    <w:rsid w:val="0063202E"/>
    <w:rsid w:val="006334E7"/>
    <w:rsid w:val="00635205"/>
    <w:rsid w:val="006355C2"/>
    <w:rsid w:val="00637149"/>
    <w:rsid w:val="00640245"/>
    <w:rsid w:val="006474D2"/>
    <w:rsid w:val="006526B7"/>
    <w:rsid w:val="006528E7"/>
    <w:rsid w:val="0066512C"/>
    <w:rsid w:val="0066533C"/>
    <w:rsid w:val="006726C0"/>
    <w:rsid w:val="00677E52"/>
    <w:rsid w:val="0068590D"/>
    <w:rsid w:val="00685CC1"/>
    <w:rsid w:val="00687599"/>
    <w:rsid w:val="0069340F"/>
    <w:rsid w:val="00695DF0"/>
    <w:rsid w:val="006A1A90"/>
    <w:rsid w:val="006B14A2"/>
    <w:rsid w:val="006B6D32"/>
    <w:rsid w:val="006B7630"/>
    <w:rsid w:val="006C4007"/>
    <w:rsid w:val="006C4F4C"/>
    <w:rsid w:val="006C6718"/>
    <w:rsid w:val="006D0B17"/>
    <w:rsid w:val="006D102D"/>
    <w:rsid w:val="006D6EC8"/>
    <w:rsid w:val="006D7836"/>
    <w:rsid w:val="006E16C9"/>
    <w:rsid w:val="006E3BE1"/>
    <w:rsid w:val="006E6313"/>
    <w:rsid w:val="006E6AEF"/>
    <w:rsid w:val="006E7061"/>
    <w:rsid w:val="006F03CB"/>
    <w:rsid w:val="006F3E20"/>
    <w:rsid w:val="006F4C35"/>
    <w:rsid w:val="006F585B"/>
    <w:rsid w:val="00704022"/>
    <w:rsid w:val="00707385"/>
    <w:rsid w:val="007105B6"/>
    <w:rsid w:val="007118CE"/>
    <w:rsid w:val="0071448D"/>
    <w:rsid w:val="00717AF6"/>
    <w:rsid w:val="00725607"/>
    <w:rsid w:val="00726DC9"/>
    <w:rsid w:val="00730116"/>
    <w:rsid w:val="00731011"/>
    <w:rsid w:val="00732D83"/>
    <w:rsid w:val="00734070"/>
    <w:rsid w:val="0073497B"/>
    <w:rsid w:val="00735F2F"/>
    <w:rsid w:val="00743F08"/>
    <w:rsid w:val="00747C52"/>
    <w:rsid w:val="007511E3"/>
    <w:rsid w:val="0076471E"/>
    <w:rsid w:val="007762CE"/>
    <w:rsid w:val="00780B07"/>
    <w:rsid w:val="0078765B"/>
    <w:rsid w:val="00795A90"/>
    <w:rsid w:val="007A3B28"/>
    <w:rsid w:val="007A4F6D"/>
    <w:rsid w:val="007A6F84"/>
    <w:rsid w:val="007B3C17"/>
    <w:rsid w:val="007B7DF5"/>
    <w:rsid w:val="007B7E86"/>
    <w:rsid w:val="007C28A6"/>
    <w:rsid w:val="007C4661"/>
    <w:rsid w:val="007D2F68"/>
    <w:rsid w:val="007D3D44"/>
    <w:rsid w:val="007D560A"/>
    <w:rsid w:val="007D5CC0"/>
    <w:rsid w:val="007D6665"/>
    <w:rsid w:val="007D6692"/>
    <w:rsid w:val="007E2B66"/>
    <w:rsid w:val="007F0132"/>
    <w:rsid w:val="007F02D1"/>
    <w:rsid w:val="007F08E0"/>
    <w:rsid w:val="00803AB6"/>
    <w:rsid w:val="0080468A"/>
    <w:rsid w:val="00806336"/>
    <w:rsid w:val="0081237C"/>
    <w:rsid w:val="0081741F"/>
    <w:rsid w:val="008218D6"/>
    <w:rsid w:val="008252BD"/>
    <w:rsid w:val="008270C5"/>
    <w:rsid w:val="00827186"/>
    <w:rsid w:val="00827902"/>
    <w:rsid w:val="008317D2"/>
    <w:rsid w:val="00831E38"/>
    <w:rsid w:val="00833C82"/>
    <w:rsid w:val="00837564"/>
    <w:rsid w:val="0084040A"/>
    <w:rsid w:val="008418C4"/>
    <w:rsid w:val="0084365C"/>
    <w:rsid w:val="0084490C"/>
    <w:rsid w:val="00845C99"/>
    <w:rsid w:val="0084691A"/>
    <w:rsid w:val="00847274"/>
    <w:rsid w:val="008576D9"/>
    <w:rsid w:val="008626C1"/>
    <w:rsid w:val="00863446"/>
    <w:rsid w:val="00870DE1"/>
    <w:rsid w:val="00882D5B"/>
    <w:rsid w:val="00884402"/>
    <w:rsid w:val="00886A98"/>
    <w:rsid w:val="00890C6C"/>
    <w:rsid w:val="008A1ABB"/>
    <w:rsid w:val="008A2EDD"/>
    <w:rsid w:val="008A5256"/>
    <w:rsid w:val="008B11CB"/>
    <w:rsid w:val="008B2164"/>
    <w:rsid w:val="008B31E9"/>
    <w:rsid w:val="008B43F7"/>
    <w:rsid w:val="008B693D"/>
    <w:rsid w:val="008B6CC8"/>
    <w:rsid w:val="008B7945"/>
    <w:rsid w:val="008B7EA3"/>
    <w:rsid w:val="008C34DF"/>
    <w:rsid w:val="008C4E78"/>
    <w:rsid w:val="008C6BD0"/>
    <w:rsid w:val="008C71D6"/>
    <w:rsid w:val="008D2C8F"/>
    <w:rsid w:val="008D41B3"/>
    <w:rsid w:val="008D70D4"/>
    <w:rsid w:val="008D743B"/>
    <w:rsid w:val="008E0755"/>
    <w:rsid w:val="008F1A99"/>
    <w:rsid w:val="008F1BDB"/>
    <w:rsid w:val="008F2F12"/>
    <w:rsid w:val="00900305"/>
    <w:rsid w:val="0090326A"/>
    <w:rsid w:val="00904477"/>
    <w:rsid w:val="00904A01"/>
    <w:rsid w:val="00912D2E"/>
    <w:rsid w:val="00913359"/>
    <w:rsid w:val="00917252"/>
    <w:rsid w:val="00924661"/>
    <w:rsid w:val="00924F2A"/>
    <w:rsid w:val="00924F8C"/>
    <w:rsid w:val="009250C7"/>
    <w:rsid w:val="0092512C"/>
    <w:rsid w:val="009258A4"/>
    <w:rsid w:val="0093087E"/>
    <w:rsid w:val="00935039"/>
    <w:rsid w:val="00936FCD"/>
    <w:rsid w:val="009444BB"/>
    <w:rsid w:val="0094494F"/>
    <w:rsid w:val="009474C6"/>
    <w:rsid w:val="0095178C"/>
    <w:rsid w:val="00955E76"/>
    <w:rsid w:val="00955FD6"/>
    <w:rsid w:val="009737D8"/>
    <w:rsid w:val="00973C01"/>
    <w:rsid w:val="00977FBC"/>
    <w:rsid w:val="00980669"/>
    <w:rsid w:val="00984C16"/>
    <w:rsid w:val="00984CCE"/>
    <w:rsid w:val="00991A94"/>
    <w:rsid w:val="009944B4"/>
    <w:rsid w:val="0099465A"/>
    <w:rsid w:val="009959AC"/>
    <w:rsid w:val="009A0DF7"/>
    <w:rsid w:val="009A1232"/>
    <w:rsid w:val="009A3761"/>
    <w:rsid w:val="009B33B3"/>
    <w:rsid w:val="009B4723"/>
    <w:rsid w:val="009B53B3"/>
    <w:rsid w:val="009B61CB"/>
    <w:rsid w:val="009D06CE"/>
    <w:rsid w:val="009D4F29"/>
    <w:rsid w:val="009D5BA9"/>
    <w:rsid w:val="009E3A54"/>
    <w:rsid w:val="009E4C36"/>
    <w:rsid w:val="009E74B1"/>
    <w:rsid w:val="009F26D4"/>
    <w:rsid w:val="009F69B1"/>
    <w:rsid w:val="009F69D8"/>
    <w:rsid w:val="00A02D53"/>
    <w:rsid w:val="00A031AB"/>
    <w:rsid w:val="00A03725"/>
    <w:rsid w:val="00A05142"/>
    <w:rsid w:val="00A1354F"/>
    <w:rsid w:val="00A13D82"/>
    <w:rsid w:val="00A15FE0"/>
    <w:rsid w:val="00A216ED"/>
    <w:rsid w:val="00A315AC"/>
    <w:rsid w:val="00A35407"/>
    <w:rsid w:val="00A370C2"/>
    <w:rsid w:val="00A4018F"/>
    <w:rsid w:val="00A436E7"/>
    <w:rsid w:val="00A4517C"/>
    <w:rsid w:val="00A51D4D"/>
    <w:rsid w:val="00A522AD"/>
    <w:rsid w:val="00A54887"/>
    <w:rsid w:val="00A578EB"/>
    <w:rsid w:val="00A57DDD"/>
    <w:rsid w:val="00A6170A"/>
    <w:rsid w:val="00A64359"/>
    <w:rsid w:val="00A67DE5"/>
    <w:rsid w:val="00A72467"/>
    <w:rsid w:val="00A736A2"/>
    <w:rsid w:val="00A77D60"/>
    <w:rsid w:val="00A80257"/>
    <w:rsid w:val="00A820FC"/>
    <w:rsid w:val="00A85BE0"/>
    <w:rsid w:val="00A90F4C"/>
    <w:rsid w:val="00A92B31"/>
    <w:rsid w:val="00A938F4"/>
    <w:rsid w:val="00A94484"/>
    <w:rsid w:val="00A977FD"/>
    <w:rsid w:val="00AA06F9"/>
    <w:rsid w:val="00AA2C06"/>
    <w:rsid w:val="00AA7C05"/>
    <w:rsid w:val="00AB0F07"/>
    <w:rsid w:val="00AC4D96"/>
    <w:rsid w:val="00AC52FA"/>
    <w:rsid w:val="00AD0798"/>
    <w:rsid w:val="00AD50B9"/>
    <w:rsid w:val="00AD6B17"/>
    <w:rsid w:val="00AD7D2F"/>
    <w:rsid w:val="00AE31CD"/>
    <w:rsid w:val="00AE3FED"/>
    <w:rsid w:val="00AE45E0"/>
    <w:rsid w:val="00AE4933"/>
    <w:rsid w:val="00AE6FB4"/>
    <w:rsid w:val="00AF025F"/>
    <w:rsid w:val="00AF7605"/>
    <w:rsid w:val="00B0350D"/>
    <w:rsid w:val="00B06FC2"/>
    <w:rsid w:val="00B175CE"/>
    <w:rsid w:val="00B1766A"/>
    <w:rsid w:val="00B20AC8"/>
    <w:rsid w:val="00B22073"/>
    <w:rsid w:val="00B24854"/>
    <w:rsid w:val="00B27D5F"/>
    <w:rsid w:val="00B357D9"/>
    <w:rsid w:val="00B41697"/>
    <w:rsid w:val="00B452F9"/>
    <w:rsid w:val="00B45D04"/>
    <w:rsid w:val="00B46AAD"/>
    <w:rsid w:val="00B561A3"/>
    <w:rsid w:val="00B60B6A"/>
    <w:rsid w:val="00B6723C"/>
    <w:rsid w:val="00B716AD"/>
    <w:rsid w:val="00B72444"/>
    <w:rsid w:val="00B760E5"/>
    <w:rsid w:val="00B80C9E"/>
    <w:rsid w:val="00B959F2"/>
    <w:rsid w:val="00B95AAB"/>
    <w:rsid w:val="00B96034"/>
    <w:rsid w:val="00B97746"/>
    <w:rsid w:val="00BA1E35"/>
    <w:rsid w:val="00BA356D"/>
    <w:rsid w:val="00BA4A20"/>
    <w:rsid w:val="00BB54BD"/>
    <w:rsid w:val="00BB63F9"/>
    <w:rsid w:val="00BB7272"/>
    <w:rsid w:val="00BC3E03"/>
    <w:rsid w:val="00BC6158"/>
    <w:rsid w:val="00BD2307"/>
    <w:rsid w:val="00BD2901"/>
    <w:rsid w:val="00BD5644"/>
    <w:rsid w:val="00BD589B"/>
    <w:rsid w:val="00BD62CC"/>
    <w:rsid w:val="00BE4093"/>
    <w:rsid w:val="00BE73F7"/>
    <w:rsid w:val="00BF0521"/>
    <w:rsid w:val="00BF6113"/>
    <w:rsid w:val="00C021CE"/>
    <w:rsid w:val="00C05D86"/>
    <w:rsid w:val="00C071B2"/>
    <w:rsid w:val="00C10F97"/>
    <w:rsid w:val="00C1251F"/>
    <w:rsid w:val="00C15E6D"/>
    <w:rsid w:val="00C2633C"/>
    <w:rsid w:val="00C30185"/>
    <w:rsid w:val="00C337E4"/>
    <w:rsid w:val="00C35279"/>
    <w:rsid w:val="00C37115"/>
    <w:rsid w:val="00C37717"/>
    <w:rsid w:val="00C37A13"/>
    <w:rsid w:val="00C402B1"/>
    <w:rsid w:val="00C41B37"/>
    <w:rsid w:val="00C53438"/>
    <w:rsid w:val="00C631CD"/>
    <w:rsid w:val="00C64E13"/>
    <w:rsid w:val="00C657E6"/>
    <w:rsid w:val="00C66572"/>
    <w:rsid w:val="00C6722E"/>
    <w:rsid w:val="00C67735"/>
    <w:rsid w:val="00C76BC8"/>
    <w:rsid w:val="00C808CD"/>
    <w:rsid w:val="00C81737"/>
    <w:rsid w:val="00C847CF"/>
    <w:rsid w:val="00C93435"/>
    <w:rsid w:val="00CA0FF6"/>
    <w:rsid w:val="00CA1456"/>
    <w:rsid w:val="00CA7BF4"/>
    <w:rsid w:val="00CC1421"/>
    <w:rsid w:val="00CC43C2"/>
    <w:rsid w:val="00CC75FA"/>
    <w:rsid w:val="00CD0298"/>
    <w:rsid w:val="00CD18CC"/>
    <w:rsid w:val="00CD2449"/>
    <w:rsid w:val="00CE0C7E"/>
    <w:rsid w:val="00CE1D6A"/>
    <w:rsid w:val="00CE1D8F"/>
    <w:rsid w:val="00CE6077"/>
    <w:rsid w:val="00CE6446"/>
    <w:rsid w:val="00CF0C84"/>
    <w:rsid w:val="00CF45BE"/>
    <w:rsid w:val="00CF5E7C"/>
    <w:rsid w:val="00CF6BF4"/>
    <w:rsid w:val="00D007B7"/>
    <w:rsid w:val="00D04C6B"/>
    <w:rsid w:val="00D13256"/>
    <w:rsid w:val="00D13829"/>
    <w:rsid w:val="00D153CF"/>
    <w:rsid w:val="00D2643F"/>
    <w:rsid w:val="00D27BC5"/>
    <w:rsid w:val="00D34CDD"/>
    <w:rsid w:val="00D36AB4"/>
    <w:rsid w:val="00D36AC2"/>
    <w:rsid w:val="00D45DE3"/>
    <w:rsid w:val="00D46895"/>
    <w:rsid w:val="00D47F71"/>
    <w:rsid w:val="00D53364"/>
    <w:rsid w:val="00D605E4"/>
    <w:rsid w:val="00D615EB"/>
    <w:rsid w:val="00D7205C"/>
    <w:rsid w:val="00D72934"/>
    <w:rsid w:val="00D748CA"/>
    <w:rsid w:val="00D75DE5"/>
    <w:rsid w:val="00D83950"/>
    <w:rsid w:val="00D84226"/>
    <w:rsid w:val="00D862E1"/>
    <w:rsid w:val="00D87E6D"/>
    <w:rsid w:val="00DA4E61"/>
    <w:rsid w:val="00DA5DB0"/>
    <w:rsid w:val="00DA691D"/>
    <w:rsid w:val="00DB0327"/>
    <w:rsid w:val="00DB03B8"/>
    <w:rsid w:val="00DB7DA1"/>
    <w:rsid w:val="00DC07A9"/>
    <w:rsid w:val="00DC2EEA"/>
    <w:rsid w:val="00DC3A4A"/>
    <w:rsid w:val="00DD3585"/>
    <w:rsid w:val="00DE602A"/>
    <w:rsid w:val="00DF3C90"/>
    <w:rsid w:val="00DF44F9"/>
    <w:rsid w:val="00DF5954"/>
    <w:rsid w:val="00DF69EE"/>
    <w:rsid w:val="00E023F5"/>
    <w:rsid w:val="00E06F2F"/>
    <w:rsid w:val="00E07928"/>
    <w:rsid w:val="00E1602F"/>
    <w:rsid w:val="00E1654D"/>
    <w:rsid w:val="00E2611B"/>
    <w:rsid w:val="00E26F1D"/>
    <w:rsid w:val="00E3404B"/>
    <w:rsid w:val="00E36DDE"/>
    <w:rsid w:val="00E40DE1"/>
    <w:rsid w:val="00E4162B"/>
    <w:rsid w:val="00E47B9D"/>
    <w:rsid w:val="00E47D72"/>
    <w:rsid w:val="00E5073B"/>
    <w:rsid w:val="00E5496C"/>
    <w:rsid w:val="00E54A5A"/>
    <w:rsid w:val="00E55442"/>
    <w:rsid w:val="00E55C12"/>
    <w:rsid w:val="00E56181"/>
    <w:rsid w:val="00E67C8B"/>
    <w:rsid w:val="00E74616"/>
    <w:rsid w:val="00E74D9A"/>
    <w:rsid w:val="00E818EA"/>
    <w:rsid w:val="00E87C9B"/>
    <w:rsid w:val="00E87CFA"/>
    <w:rsid w:val="00E93944"/>
    <w:rsid w:val="00E945E6"/>
    <w:rsid w:val="00E9664D"/>
    <w:rsid w:val="00E9720D"/>
    <w:rsid w:val="00EA5CFA"/>
    <w:rsid w:val="00EA76B4"/>
    <w:rsid w:val="00EA7D67"/>
    <w:rsid w:val="00EB1B57"/>
    <w:rsid w:val="00EB38C6"/>
    <w:rsid w:val="00EC5A80"/>
    <w:rsid w:val="00EC62E6"/>
    <w:rsid w:val="00EE706B"/>
    <w:rsid w:val="00EE7F0D"/>
    <w:rsid w:val="00EF1460"/>
    <w:rsid w:val="00EF45F7"/>
    <w:rsid w:val="00EF4D51"/>
    <w:rsid w:val="00F0129C"/>
    <w:rsid w:val="00F01563"/>
    <w:rsid w:val="00F0254F"/>
    <w:rsid w:val="00F04BFE"/>
    <w:rsid w:val="00F071CB"/>
    <w:rsid w:val="00F1167E"/>
    <w:rsid w:val="00F1229F"/>
    <w:rsid w:val="00F124AE"/>
    <w:rsid w:val="00F153DC"/>
    <w:rsid w:val="00F20147"/>
    <w:rsid w:val="00F209EB"/>
    <w:rsid w:val="00F21DBA"/>
    <w:rsid w:val="00F264EF"/>
    <w:rsid w:val="00F27F87"/>
    <w:rsid w:val="00F3212D"/>
    <w:rsid w:val="00F32DC2"/>
    <w:rsid w:val="00F40C25"/>
    <w:rsid w:val="00F43FF0"/>
    <w:rsid w:val="00F44735"/>
    <w:rsid w:val="00F44ADC"/>
    <w:rsid w:val="00F44C8B"/>
    <w:rsid w:val="00F46576"/>
    <w:rsid w:val="00F47A21"/>
    <w:rsid w:val="00F50B74"/>
    <w:rsid w:val="00F525F8"/>
    <w:rsid w:val="00F57BBB"/>
    <w:rsid w:val="00F64C8B"/>
    <w:rsid w:val="00F70989"/>
    <w:rsid w:val="00F747CC"/>
    <w:rsid w:val="00F81AD0"/>
    <w:rsid w:val="00F82BBB"/>
    <w:rsid w:val="00F83AF9"/>
    <w:rsid w:val="00F8434F"/>
    <w:rsid w:val="00F850F0"/>
    <w:rsid w:val="00F855FE"/>
    <w:rsid w:val="00F865F4"/>
    <w:rsid w:val="00F86B76"/>
    <w:rsid w:val="00F92C03"/>
    <w:rsid w:val="00F930C3"/>
    <w:rsid w:val="00F95F3C"/>
    <w:rsid w:val="00F96CD1"/>
    <w:rsid w:val="00FA1D9A"/>
    <w:rsid w:val="00FA275B"/>
    <w:rsid w:val="00FB15C4"/>
    <w:rsid w:val="00FC1747"/>
    <w:rsid w:val="00FC2FCA"/>
    <w:rsid w:val="00FC5532"/>
    <w:rsid w:val="00FC6631"/>
    <w:rsid w:val="00FC7E65"/>
    <w:rsid w:val="00FD3E76"/>
    <w:rsid w:val="00FD6E29"/>
    <w:rsid w:val="00FD6FEF"/>
    <w:rsid w:val="00FE13D4"/>
    <w:rsid w:val="00FE2CF2"/>
    <w:rsid w:val="00FE3BCB"/>
    <w:rsid w:val="00FE7C05"/>
    <w:rsid w:val="00FF14BA"/>
    <w:rsid w:val="00FF253C"/>
    <w:rsid w:val="00FF4832"/>
    <w:rsid w:val="00FF6D34"/>
    <w:rsid w:val="00FF726D"/>
    <w:rsid w:val="01441BB9"/>
    <w:rsid w:val="04141B96"/>
    <w:rsid w:val="04415903"/>
    <w:rsid w:val="098E39B9"/>
    <w:rsid w:val="0ADA152D"/>
    <w:rsid w:val="0D512851"/>
    <w:rsid w:val="0D652B3C"/>
    <w:rsid w:val="0D9E1C0C"/>
    <w:rsid w:val="0DE22AFA"/>
    <w:rsid w:val="0E4B143D"/>
    <w:rsid w:val="0EF02E72"/>
    <w:rsid w:val="0F481A23"/>
    <w:rsid w:val="10814158"/>
    <w:rsid w:val="112F3D99"/>
    <w:rsid w:val="120C308B"/>
    <w:rsid w:val="12844DC1"/>
    <w:rsid w:val="142E56E9"/>
    <w:rsid w:val="14B76401"/>
    <w:rsid w:val="1823357E"/>
    <w:rsid w:val="187036B2"/>
    <w:rsid w:val="1B1A3889"/>
    <w:rsid w:val="1C850D11"/>
    <w:rsid w:val="1DD6413C"/>
    <w:rsid w:val="1F94354A"/>
    <w:rsid w:val="21460153"/>
    <w:rsid w:val="21DA3F9D"/>
    <w:rsid w:val="223D0F22"/>
    <w:rsid w:val="24743B37"/>
    <w:rsid w:val="25470B20"/>
    <w:rsid w:val="25F21CEF"/>
    <w:rsid w:val="29483C47"/>
    <w:rsid w:val="2A8314C1"/>
    <w:rsid w:val="2A8F3BCE"/>
    <w:rsid w:val="2B872E60"/>
    <w:rsid w:val="2BCE0FAE"/>
    <w:rsid w:val="2C6C2C04"/>
    <w:rsid w:val="2CAF4831"/>
    <w:rsid w:val="2DFC5A4D"/>
    <w:rsid w:val="2F1D0509"/>
    <w:rsid w:val="31AA78D1"/>
    <w:rsid w:val="321B7CF6"/>
    <w:rsid w:val="346A7AA2"/>
    <w:rsid w:val="375B3490"/>
    <w:rsid w:val="38963FA8"/>
    <w:rsid w:val="3A186A29"/>
    <w:rsid w:val="3CBB6743"/>
    <w:rsid w:val="3E792B8A"/>
    <w:rsid w:val="436D3360"/>
    <w:rsid w:val="45361007"/>
    <w:rsid w:val="47C30D78"/>
    <w:rsid w:val="48A44F3A"/>
    <w:rsid w:val="494A68AB"/>
    <w:rsid w:val="4B826BE6"/>
    <w:rsid w:val="4CF44556"/>
    <w:rsid w:val="4D03459A"/>
    <w:rsid w:val="4DE2613E"/>
    <w:rsid w:val="4E2540DD"/>
    <w:rsid w:val="4F0928DF"/>
    <w:rsid w:val="53007942"/>
    <w:rsid w:val="53387659"/>
    <w:rsid w:val="55104550"/>
    <w:rsid w:val="57F3068C"/>
    <w:rsid w:val="58D20590"/>
    <w:rsid w:val="5A9F6364"/>
    <w:rsid w:val="5D410D65"/>
    <w:rsid w:val="5DEF1EB3"/>
    <w:rsid w:val="5E5B23C1"/>
    <w:rsid w:val="5E660CC1"/>
    <w:rsid w:val="5E6C52B2"/>
    <w:rsid w:val="5E8C78A8"/>
    <w:rsid w:val="5EAA206B"/>
    <w:rsid w:val="5F461F1A"/>
    <w:rsid w:val="5F6F6A11"/>
    <w:rsid w:val="616B57B0"/>
    <w:rsid w:val="65274E97"/>
    <w:rsid w:val="657965BE"/>
    <w:rsid w:val="658B66F0"/>
    <w:rsid w:val="661D5A78"/>
    <w:rsid w:val="663B1AE6"/>
    <w:rsid w:val="66D02CBE"/>
    <w:rsid w:val="67891D99"/>
    <w:rsid w:val="67B21F12"/>
    <w:rsid w:val="6B300AA0"/>
    <w:rsid w:val="6DCA78FF"/>
    <w:rsid w:val="6E3D39F9"/>
    <w:rsid w:val="6F860363"/>
    <w:rsid w:val="6FA81A09"/>
    <w:rsid w:val="70350492"/>
    <w:rsid w:val="706C20E6"/>
    <w:rsid w:val="71D44901"/>
    <w:rsid w:val="720924FA"/>
    <w:rsid w:val="73007C27"/>
    <w:rsid w:val="74B13A97"/>
    <w:rsid w:val="74DE6D70"/>
    <w:rsid w:val="75435570"/>
    <w:rsid w:val="76171091"/>
    <w:rsid w:val="790C5BF2"/>
    <w:rsid w:val="7A1A6C48"/>
    <w:rsid w:val="7AFE135D"/>
    <w:rsid w:val="7CEF1D89"/>
    <w:rsid w:val="7E494DA3"/>
    <w:rsid w:val="7FC4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5">
    <w:name w:val="Body Text"/>
    <w:basedOn w:val="1"/>
    <w:next w:val="6"/>
    <w:unhideWhenUsed/>
    <w:qFormat/>
    <w:uiPriority w:val="1"/>
    <w:pPr>
      <w:spacing w:before="41"/>
      <w:ind w:left="121"/>
      <w:jc w:val="left"/>
    </w:pPr>
    <w:rPr>
      <w:rFonts w:ascii="仿宋" w:hAnsi="仿宋" w:eastAsia="仿宋"/>
      <w:kern w:val="0"/>
      <w:sz w:val="28"/>
      <w:szCs w:val="28"/>
      <w:lang w:eastAsia="en-US"/>
    </w:rPr>
  </w:style>
  <w:style w:type="paragraph" w:customStyle="1" w:styleId="6">
    <w:name w:val="_Style 2"/>
    <w:basedOn w:val="1"/>
    <w:qFormat/>
    <w:uiPriority w:val="0"/>
    <w:pPr>
      <w:ind w:firstLine="420" w:firstLineChars="200"/>
    </w:pPr>
  </w:style>
  <w:style w:type="paragraph" w:styleId="7">
    <w:name w:val="Body Text Indent"/>
    <w:basedOn w:val="1"/>
    <w:qFormat/>
    <w:uiPriority w:val="0"/>
    <w:pPr>
      <w:spacing w:line="380" w:lineRule="exact"/>
      <w:ind w:firstLine="480" w:firstLineChars="200"/>
    </w:pPr>
    <w:rPr>
      <w:rFonts w:ascii="宋体" w:hAnsi="宋体"/>
      <w:sz w:val="24"/>
    </w:r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ind w:left="100" w:leftChars="2500"/>
    </w:pPr>
    <w:rPr>
      <w:rFonts w:ascii="宋体" w:hAnsi="宋体"/>
      <w:sz w:val="24"/>
    </w:rPr>
  </w:style>
  <w:style w:type="paragraph" w:styleId="11">
    <w:name w:val="Balloon Text"/>
    <w:basedOn w:val="1"/>
    <w:link w:val="26"/>
    <w:qFormat/>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7"/>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footnote text"/>
    <w:basedOn w:val="1"/>
    <w:link w:val="28"/>
    <w:autoRedefine/>
    <w:qFormat/>
    <w:uiPriority w:val="0"/>
    <w:pPr>
      <w:snapToGrid w:val="0"/>
      <w:jc w:val="left"/>
    </w:pPr>
    <w:rPr>
      <w:sz w:val="18"/>
      <w:szCs w:val="18"/>
    </w:rPr>
  </w:style>
  <w:style w:type="paragraph" w:styleId="16">
    <w:name w:val="Normal (Web)"/>
    <w:basedOn w:val="1"/>
    <w:autoRedefine/>
    <w:qFormat/>
    <w:uiPriority w:val="0"/>
    <w:pPr>
      <w:spacing w:beforeAutospacing="1" w:afterAutospacing="1"/>
      <w:jc w:val="left"/>
    </w:pPr>
    <w:rPr>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footnote reference"/>
    <w:basedOn w:val="19"/>
    <w:qFormat/>
    <w:uiPriority w:val="0"/>
    <w:rPr>
      <w:vertAlign w:val="superscript"/>
    </w:rPr>
  </w:style>
  <w:style w:type="character" w:customStyle="1" w:styleId="23">
    <w:name w:val="无间隔 Char"/>
    <w:basedOn w:val="19"/>
    <w:link w:val="24"/>
    <w:qFormat/>
    <w:uiPriority w:val="1"/>
    <w:rPr>
      <w:rFonts w:ascii="Calibri" w:hAnsi="Calibri"/>
      <w:sz w:val="22"/>
      <w:szCs w:val="22"/>
      <w:lang w:val="en-US" w:eastAsia="zh-CN" w:bidi="ar-SA"/>
    </w:rPr>
  </w:style>
  <w:style w:type="paragraph" w:styleId="24">
    <w:name w:val="No Spacing"/>
    <w:link w:val="23"/>
    <w:qFormat/>
    <w:uiPriority w:val="1"/>
    <w:rPr>
      <w:rFonts w:ascii="Calibri" w:hAnsi="Calibri" w:eastAsia="宋体" w:cs="Times New Roman"/>
      <w:sz w:val="22"/>
      <w:szCs w:val="22"/>
      <w:lang w:val="en-US" w:eastAsia="zh-CN" w:bidi="ar-SA"/>
    </w:rPr>
  </w:style>
  <w:style w:type="character" w:customStyle="1" w:styleId="25">
    <w:name w:val="页脚 Char"/>
    <w:basedOn w:val="19"/>
    <w:link w:val="12"/>
    <w:qFormat/>
    <w:uiPriority w:val="99"/>
    <w:rPr>
      <w:kern w:val="2"/>
      <w:sz w:val="18"/>
      <w:szCs w:val="18"/>
    </w:rPr>
  </w:style>
  <w:style w:type="character" w:customStyle="1" w:styleId="26">
    <w:name w:val="批注框文本 Char"/>
    <w:basedOn w:val="19"/>
    <w:link w:val="11"/>
    <w:qFormat/>
    <w:uiPriority w:val="0"/>
    <w:rPr>
      <w:kern w:val="2"/>
      <w:sz w:val="18"/>
      <w:szCs w:val="18"/>
    </w:rPr>
  </w:style>
  <w:style w:type="character" w:customStyle="1" w:styleId="27">
    <w:name w:val="页眉 Char"/>
    <w:basedOn w:val="19"/>
    <w:link w:val="13"/>
    <w:qFormat/>
    <w:uiPriority w:val="99"/>
    <w:rPr>
      <w:kern w:val="2"/>
      <w:sz w:val="18"/>
      <w:szCs w:val="18"/>
    </w:rPr>
  </w:style>
  <w:style w:type="character" w:customStyle="1" w:styleId="28">
    <w:name w:val="脚注文本 Char"/>
    <w:basedOn w:val="19"/>
    <w:link w:val="15"/>
    <w:qFormat/>
    <w:uiPriority w:val="0"/>
    <w:rPr>
      <w:kern w:val="2"/>
      <w:sz w:val="18"/>
      <w:szCs w:val="18"/>
    </w:rPr>
  </w:style>
  <w:style w:type="paragraph" w:customStyle="1" w:styleId="29">
    <w:name w:val="Other|2"/>
    <w:basedOn w:val="1"/>
    <w:qFormat/>
    <w:uiPriority w:val="0"/>
    <w:pPr>
      <w:jc w:val="center"/>
    </w:pPr>
    <w:rPr>
      <w:rFonts w:ascii="宋体" w:hAnsi="宋体" w:cs="宋体"/>
      <w:sz w:val="20"/>
      <w:lang w:val="zh-TW" w:eastAsia="zh-TW" w:bidi="zh-TW"/>
    </w:rPr>
  </w:style>
  <w:style w:type="paragraph" w:customStyle="1" w:styleId="30">
    <w:name w:val="Other|1"/>
    <w:basedOn w:val="1"/>
    <w:qFormat/>
    <w:uiPriority w:val="0"/>
    <w:pPr>
      <w:spacing w:line="401" w:lineRule="auto"/>
      <w:ind w:firstLine="400"/>
    </w:pPr>
    <w:rPr>
      <w:rFonts w:ascii="宋体" w:hAnsi="宋体" w:cs="宋体"/>
      <w:sz w:val="30"/>
      <w:szCs w:val="30"/>
      <w:lang w:val="zh-TW" w:eastAsia="zh-TW" w:bidi="zh-TW"/>
    </w:rPr>
  </w:style>
  <w:style w:type="paragraph" w:customStyle="1" w:styleId="31">
    <w:name w:val="Header or footer|2"/>
    <w:basedOn w:val="1"/>
    <w:qFormat/>
    <w:uiPriority w:val="0"/>
    <w:rPr>
      <w:sz w:val="20"/>
      <w:lang w:val="zh-TW" w:eastAsia="zh-TW" w:bidi="zh-TW"/>
    </w:rPr>
  </w:style>
  <w:style w:type="paragraph" w:customStyle="1" w:styleId="32">
    <w:name w:val="TOC Heading"/>
    <w:basedOn w:val="3"/>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Default"/>
    <w:basedOn w:val="1"/>
    <w:qFormat/>
    <w:uiPriority w:val="0"/>
    <w:pPr>
      <w:autoSpaceDE w:val="0"/>
      <w:autoSpaceDN w:val="0"/>
      <w:adjustRightInd w:val="0"/>
      <w:spacing w:line="240" w:lineRule="auto"/>
      <w:ind w:firstLine="0" w:firstLineChars="0"/>
      <w:jc w:val="left"/>
    </w:pPr>
    <w:rPr>
      <w:rFonts w:ascii="宋体" w:hAnsi="宋体" w:cs="宋体"/>
      <w:kern w:val="0"/>
    </w:rPr>
  </w:style>
  <w:style w:type="paragraph" w:styleId="35">
    <w:name w:val="List Paragraph"/>
    <w:basedOn w:val="1"/>
    <w:qFormat/>
    <w:uiPriority w:val="34"/>
    <w:pPr>
      <w:ind w:firstLine="420" w:firstLineChars="200"/>
    </w:pPr>
  </w:style>
  <w:style w:type="paragraph" w:customStyle="1" w:styleId="36">
    <w:name w:val="Body text|1"/>
    <w:basedOn w:val="1"/>
    <w:qFormat/>
    <w:uiPriority w:val="0"/>
    <w:pPr>
      <w:widowControl w:val="0"/>
      <w:shd w:val="clear" w:color="auto" w:fill="auto"/>
      <w:spacing w:line="329"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3DF80-32D0-48B6-BDC2-042DA4015297}">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7774</Words>
  <Characters>8296</Characters>
  <Lines>90</Lines>
  <Paragraphs>25</Paragraphs>
  <TotalTime>25</TotalTime>
  <ScaleCrop>false</ScaleCrop>
  <LinksUpToDate>false</LinksUpToDate>
  <CharactersWithSpaces>8450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2014-04-21T00:28:00Z</dcterms:created>
  <dc:creator>中兴科技</dc:creator>
  <cp:lastModifiedBy>Administrator</cp:lastModifiedBy>
  <cp:lastPrinted>2023-11-14T07:55:00Z</cp:lastPrinted>
  <dcterms:modified xsi:type="dcterms:W3CDTF">2024-03-12T02:45:53Z</dcterms:modified>
  <dc:title>审 计 报 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E7D6DC53B7A3455597ADF10142979D9C_13</vt:lpwstr>
  </property>
</Properties>
</file>