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宋体" w:hAnsi="宋体"/>
          <w:sz w:val="24"/>
          <w:szCs w:val="24"/>
          <w:highlight w:val="none"/>
        </w:rPr>
      </w:pPr>
    </w:p>
    <w:p>
      <w:pPr>
        <w:rPr>
          <w:rFonts w:ascii="宋体" w:hAnsi="宋体"/>
          <w:sz w:val="36"/>
          <w:szCs w:val="36"/>
          <w:highlight w:val="none"/>
        </w:rPr>
      </w:pPr>
    </w:p>
    <w:p>
      <w:pPr>
        <w:jc w:val="center"/>
        <w:rPr>
          <w:rFonts w:ascii="宋体" w:hAnsi="宋体"/>
          <w:szCs w:val="21"/>
          <w:highlight w:val="none"/>
        </w:rPr>
      </w:pP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default" w:ascii="宋体" w:hAnsi="宋体" w:cs="宋体"/>
          <w:b/>
          <w:bCs w:val="0"/>
          <w:sz w:val="44"/>
          <w:szCs w:val="44"/>
          <w:highlight w:val="none"/>
          <w:lang w:val="en-US" w:eastAsia="zh-CN"/>
        </w:rPr>
      </w:pPr>
      <w:r>
        <w:rPr>
          <w:rFonts w:hint="eastAsia" w:ascii="宋体" w:hAnsi="宋体" w:cs="宋体"/>
          <w:b/>
          <w:bCs w:val="0"/>
          <w:sz w:val="44"/>
          <w:szCs w:val="44"/>
          <w:highlight w:val="none"/>
          <w:lang w:val="en-US" w:eastAsia="zh-CN"/>
        </w:rPr>
        <w:t>曲阳县2021年大中型水库移民后期扶持资金项目</w:t>
      </w:r>
    </w:p>
    <w:p>
      <w:pPr>
        <w:pStyle w:val="2"/>
      </w:pP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宋体" w:hAnsi="宋体" w:eastAsia="宋体" w:cs="宋体"/>
          <w:b/>
          <w:bCs w:val="0"/>
          <w:sz w:val="44"/>
          <w:szCs w:val="44"/>
          <w:highlight w:val="none"/>
          <w:lang w:val="en-US" w:eastAsia="zh-CN"/>
        </w:rPr>
      </w:pPr>
      <w:r>
        <w:rPr>
          <w:rFonts w:hint="eastAsia" w:ascii="宋体" w:hAnsi="宋体" w:eastAsia="宋体" w:cs="宋体"/>
          <w:b/>
          <w:bCs w:val="0"/>
          <w:sz w:val="44"/>
          <w:szCs w:val="44"/>
          <w:highlight w:val="none"/>
          <w:lang w:val="en-US" w:eastAsia="zh-CN"/>
        </w:rPr>
        <w:t>绩效评价报告</w:t>
      </w:r>
    </w:p>
    <w:p>
      <w:pPr>
        <w:pStyle w:val="2"/>
        <w:ind w:left="0" w:leftChars="0" w:firstLine="0" w:firstLineChars="0"/>
      </w:pPr>
    </w:p>
    <w:p>
      <w:pPr>
        <w:pStyle w:val="2"/>
        <w:rPr>
          <w:highlight w:val="none"/>
        </w:rPr>
      </w:pPr>
    </w:p>
    <w:p>
      <w:pPr>
        <w:rPr>
          <w:highlight w:val="none"/>
        </w:rPr>
      </w:pPr>
    </w:p>
    <w:p>
      <w:pPr>
        <w:pStyle w:val="2"/>
        <w:rPr>
          <w:highlight w:val="none"/>
        </w:rPr>
      </w:pPr>
    </w:p>
    <w:p>
      <w:pPr>
        <w:rPr>
          <w:highlight w:val="none"/>
        </w:rPr>
      </w:pPr>
    </w:p>
    <w:p>
      <w:pPr>
        <w:pStyle w:val="2"/>
      </w:pPr>
    </w:p>
    <w:p/>
    <w:p>
      <w:pPr>
        <w:spacing w:line="900" w:lineRule="exact"/>
        <w:jc w:val="left"/>
        <w:rPr>
          <w:rFonts w:hint="eastAsia" w:ascii="仿宋" w:hAnsi="仿宋" w:eastAsia="仿宋" w:cs="仿宋"/>
          <w:sz w:val="32"/>
          <w:szCs w:val="32"/>
          <w:highlight w:val="none"/>
        </w:rPr>
      </w:pPr>
      <w:r>
        <w:rPr>
          <w:rFonts w:hint="eastAsia" w:ascii="仿宋" w:hAnsi="仿宋" w:eastAsia="仿宋" w:cs="仿宋"/>
          <w:sz w:val="32"/>
          <w:szCs w:val="32"/>
          <w:highlight w:val="none"/>
        </w:rPr>
        <w:t>评价机构：</w:t>
      </w:r>
      <w:r>
        <w:rPr>
          <w:rFonts w:hint="eastAsia" w:ascii="仿宋" w:hAnsi="仿宋" w:eastAsia="仿宋" w:cs="仿宋"/>
          <w:sz w:val="32"/>
          <w:szCs w:val="32"/>
          <w:highlight w:val="none"/>
          <w:lang w:eastAsia="zh-CN"/>
        </w:rPr>
        <w:t>曲阳县财政局、</w:t>
      </w:r>
      <w:r>
        <w:rPr>
          <w:rFonts w:hint="eastAsia" w:ascii="仿宋" w:hAnsi="仿宋" w:eastAsia="仿宋" w:cs="仿宋"/>
          <w:sz w:val="32"/>
          <w:szCs w:val="32"/>
          <w:highlight w:val="none"/>
        </w:rPr>
        <w:t>河北中盛信达会计师事务所有限公司</w:t>
      </w:r>
    </w:p>
    <w:p>
      <w:pPr>
        <w:spacing w:line="900" w:lineRule="exact"/>
        <w:jc w:val="left"/>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项目名称：</w:t>
      </w:r>
      <w:r>
        <w:rPr>
          <w:rFonts w:hint="eastAsia" w:ascii="仿宋" w:hAnsi="仿宋" w:eastAsia="仿宋" w:cs="仿宋"/>
          <w:sz w:val="32"/>
          <w:szCs w:val="32"/>
          <w:highlight w:val="none"/>
          <w:lang w:eastAsia="zh-CN"/>
        </w:rPr>
        <w:t>曲阳县2021年大中型水库移民后期扶持资金项目</w:t>
      </w:r>
    </w:p>
    <w:p>
      <w:pPr>
        <w:spacing w:line="900" w:lineRule="exact"/>
        <w:jc w:val="left"/>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项目承担部门：曲阳县水利局</w:t>
      </w:r>
    </w:p>
    <w:p>
      <w:pPr>
        <w:spacing w:line="900" w:lineRule="exact"/>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项目实施主体：曲阳县水利局</w:t>
      </w:r>
    </w:p>
    <w:p>
      <w:pPr>
        <w:spacing w:line="900" w:lineRule="exact"/>
        <w:jc w:val="left"/>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报 告 日 期：</w:t>
      </w:r>
      <w:r>
        <w:rPr>
          <w:rFonts w:hint="eastAsia" w:ascii="仿宋" w:hAnsi="仿宋" w:eastAsia="仿宋" w:cs="仿宋"/>
          <w:sz w:val="32"/>
          <w:szCs w:val="32"/>
          <w:highlight w:val="none"/>
          <w:lang w:eastAsia="zh-CN"/>
        </w:rPr>
        <w:t>202</w:t>
      </w:r>
      <w:r>
        <w:rPr>
          <w:rFonts w:hint="eastAsia" w:ascii="仿宋" w:hAnsi="仿宋" w:eastAsia="仿宋" w:cs="仿宋"/>
          <w:sz w:val="32"/>
          <w:szCs w:val="32"/>
          <w:highlight w:val="none"/>
          <w:lang w:val="en-US" w:eastAsia="zh-CN"/>
        </w:rPr>
        <w:t>2</w:t>
      </w:r>
      <w:r>
        <w:rPr>
          <w:rFonts w:hint="eastAsia" w:ascii="仿宋" w:hAnsi="仿宋" w:eastAsia="仿宋" w:cs="仿宋"/>
          <w:sz w:val="32"/>
          <w:szCs w:val="32"/>
          <w:highlight w:val="none"/>
          <w:lang w:eastAsia="zh-CN"/>
        </w:rPr>
        <w:t>年</w:t>
      </w:r>
      <w:r>
        <w:rPr>
          <w:rFonts w:hint="eastAsia" w:ascii="仿宋" w:hAnsi="仿宋" w:eastAsia="仿宋" w:cs="仿宋"/>
          <w:sz w:val="32"/>
          <w:szCs w:val="32"/>
          <w:highlight w:val="none"/>
          <w:lang w:val="en-US" w:eastAsia="zh-CN"/>
        </w:rPr>
        <w:t>9</w:t>
      </w:r>
      <w:r>
        <w:rPr>
          <w:rFonts w:hint="eastAsia" w:ascii="仿宋" w:hAnsi="仿宋" w:eastAsia="仿宋" w:cs="仿宋"/>
          <w:sz w:val="32"/>
          <w:szCs w:val="32"/>
          <w:highlight w:val="none"/>
          <w:lang w:eastAsia="zh-CN"/>
        </w:rPr>
        <w:t>月</w:t>
      </w:r>
      <w:r>
        <w:rPr>
          <w:rFonts w:hint="eastAsia" w:ascii="仿宋" w:hAnsi="仿宋" w:eastAsia="仿宋" w:cs="仿宋"/>
          <w:sz w:val="32"/>
          <w:szCs w:val="32"/>
          <w:highlight w:val="none"/>
          <w:lang w:val="en-US" w:eastAsia="zh-CN"/>
        </w:rPr>
        <w:t>30</w:t>
      </w:r>
      <w:r>
        <w:rPr>
          <w:rFonts w:hint="eastAsia" w:ascii="仿宋" w:hAnsi="仿宋" w:eastAsia="仿宋" w:cs="仿宋"/>
          <w:sz w:val="32"/>
          <w:szCs w:val="32"/>
          <w:highlight w:val="none"/>
          <w:lang w:eastAsia="zh-CN"/>
        </w:rPr>
        <w:t>日</w:t>
      </w:r>
    </w:p>
    <w:p>
      <w:pPr>
        <w:spacing w:before="0" w:beforeLines="0" w:after="0" w:afterLines="0" w:line="240" w:lineRule="auto"/>
        <w:ind w:left="0" w:leftChars="0" w:right="0" w:rightChars="0" w:firstLine="0" w:firstLineChars="0"/>
        <w:jc w:val="both"/>
        <w:rPr>
          <w:rFonts w:hint="eastAsia" w:ascii="仿宋" w:hAnsi="仿宋" w:eastAsia="仿宋" w:cs="仿宋"/>
          <w:sz w:val="30"/>
          <w:szCs w:val="30"/>
          <w:highlight w:val="none"/>
        </w:rPr>
      </w:pPr>
    </w:p>
    <w:p>
      <w:pPr>
        <w:pStyle w:val="2"/>
        <w:rPr>
          <w:highlight w:val="none"/>
        </w:rPr>
      </w:pPr>
    </w:p>
    <w:p>
      <w:pPr>
        <w:spacing w:line="560" w:lineRule="exact"/>
        <w:jc w:val="center"/>
        <w:outlineLvl w:val="0"/>
        <w:rPr>
          <w:rFonts w:hint="eastAsia" w:ascii="仿宋" w:hAnsi="仿宋" w:eastAsia="仿宋" w:cs="仿宋"/>
          <w:b/>
          <w:bCs w:val="0"/>
          <w:sz w:val="36"/>
          <w:szCs w:val="36"/>
          <w:highlight w:val="none"/>
          <w:lang w:eastAsia="zh-CN"/>
        </w:rPr>
      </w:pPr>
    </w:p>
    <w:p>
      <w:pPr>
        <w:pStyle w:val="2"/>
        <w:rPr>
          <w:rFonts w:hint="eastAsia" w:ascii="仿宋" w:hAnsi="仿宋" w:eastAsia="仿宋" w:cs="仿宋"/>
          <w:b/>
          <w:bCs w:val="0"/>
          <w:sz w:val="36"/>
          <w:szCs w:val="36"/>
          <w:highlight w:val="none"/>
          <w:lang w:eastAsia="zh-CN"/>
        </w:rPr>
      </w:pPr>
    </w:p>
    <w:p>
      <w:pPr>
        <w:rPr>
          <w:rFonts w:hint="eastAsia" w:ascii="仿宋" w:hAnsi="仿宋" w:eastAsia="仿宋" w:cs="仿宋"/>
          <w:b/>
          <w:bCs w:val="0"/>
          <w:sz w:val="36"/>
          <w:szCs w:val="36"/>
          <w:highlight w:val="none"/>
          <w:lang w:eastAsia="zh-CN"/>
        </w:rPr>
      </w:pPr>
    </w:p>
    <w:p>
      <w:pPr>
        <w:pStyle w:val="2"/>
        <w:rPr>
          <w:rFonts w:hint="eastAsia" w:ascii="仿宋" w:hAnsi="仿宋" w:eastAsia="仿宋" w:cs="仿宋"/>
          <w:b/>
          <w:bCs w:val="0"/>
          <w:sz w:val="36"/>
          <w:szCs w:val="36"/>
          <w:highlight w:val="none"/>
          <w:lang w:eastAsia="zh-CN"/>
        </w:rPr>
      </w:pPr>
    </w:p>
    <w:p>
      <w:pPr>
        <w:rPr>
          <w:rFonts w:hint="eastAsia" w:ascii="仿宋" w:hAnsi="仿宋" w:eastAsia="仿宋" w:cs="仿宋"/>
          <w:b/>
          <w:bCs w:val="0"/>
          <w:sz w:val="36"/>
          <w:szCs w:val="36"/>
          <w:highlight w:val="none"/>
          <w:lang w:eastAsia="zh-CN"/>
        </w:rPr>
        <w:sectPr>
          <w:headerReference r:id="rId3" w:type="default"/>
          <w:footerReference r:id="rId4" w:type="default"/>
          <w:pgSz w:w="11906" w:h="16838"/>
          <w:pgMar w:top="964" w:right="1134" w:bottom="964" w:left="1134" w:header="1134" w:footer="680" w:gutter="0"/>
          <w:pgBorders>
            <w:top w:val="none" w:sz="0" w:space="0"/>
            <w:left w:val="none" w:sz="0" w:space="0"/>
            <w:bottom w:val="none" w:sz="0" w:space="0"/>
            <w:right w:val="none" w:sz="0" w:space="0"/>
          </w:pgBorders>
          <w:pgNumType w:start="1"/>
          <w:cols w:space="0" w:num="1"/>
          <w:rtlGutter w:val="0"/>
          <w:docGrid w:type="lines" w:linePitch="312" w:charSpace="0"/>
        </w:sectPr>
      </w:pPr>
    </w:p>
    <w:p>
      <w:pPr>
        <w:pStyle w:val="2"/>
        <w:rPr>
          <w:rFonts w:hint="eastAsia"/>
          <w:lang w:eastAsia="zh-CN"/>
        </w:rPr>
      </w:pPr>
    </w:p>
    <w:p>
      <w:pPr>
        <w:pStyle w:val="2"/>
        <w:rPr>
          <w:rFonts w:hint="eastAsia"/>
          <w:lang w:eastAsia="zh-CN"/>
        </w:rPr>
      </w:pPr>
    </w:p>
    <w:p>
      <w:pPr>
        <w:spacing w:after="156" w:line="560" w:lineRule="exact"/>
        <w:ind w:left="-359" w:leftChars="-171"/>
        <w:jc w:val="center"/>
        <w:outlineLvl w:val="0"/>
        <w:rPr>
          <w:rFonts w:hint="eastAsia" w:ascii="仿宋" w:hAnsi="仿宋" w:eastAsia="仿宋" w:cs="仿宋"/>
          <w:b/>
          <w:bCs w:val="0"/>
          <w:sz w:val="36"/>
          <w:szCs w:val="36"/>
          <w:highlight w:val="none"/>
          <w:lang w:eastAsia="zh-CN"/>
        </w:rPr>
      </w:pPr>
      <w:bookmarkStart w:id="0" w:name="_Toc2651"/>
      <w:bookmarkStart w:id="1" w:name="_Toc12514"/>
      <w:r>
        <w:rPr>
          <w:rFonts w:hint="eastAsia" w:ascii="仿宋" w:hAnsi="仿宋" w:eastAsia="仿宋" w:cs="仿宋"/>
          <w:b/>
          <w:bCs w:val="0"/>
          <w:sz w:val="36"/>
          <w:szCs w:val="36"/>
          <w:highlight w:val="none"/>
          <w:lang w:eastAsia="zh-CN"/>
        </w:rPr>
        <w:t>曲阳县2021年大中型水库移民后期扶持资金项目</w:t>
      </w:r>
    </w:p>
    <w:p>
      <w:pPr>
        <w:spacing w:after="156" w:line="560" w:lineRule="exact"/>
        <w:ind w:left="-359" w:leftChars="-171"/>
        <w:jc w:val="center"/>
        <w:outlineLvl w:val="0"/>
        <w:rPr>
          <w:rFonts w:hint="eastAsia" w:ascii="仿宋" w:hAnsi="仿宋" w:eastAsia="仿宋" w:cs="仿宋"/>
          <w:b/>
          <w:bCs w:val="0"/>
          <w:sz w:val="36"/>
          <w:szCs w:val="36"/>
          <w:highlight w:val="none"/>
        </w:rPr>
      </w:pPr>
      <w:r>
        <w:rPr>
          <w:rFonts w:hint="eastAsia" w:ascii="仿宋" w:hAnsi="仿宋" w:eastAsia="仿宋" w:cs="仿宋"/>
          <w:b/>
          <w:bCs w:val="0"/>
          <w:sz w:val="36"/>
          <w:szCs w:val="36"/>
          <w:highlight w:val="none"/>
        </w:rPr>
        <w:t>绩效评价报告</w:t>
      </w:r>
      <w:bookmarkEnd w:id="0"/>
      <w:bookmarkEnd w:id="1"/>
    </w:p>
    <w:p>
      <w:pPr>
        <w:spacing w:afterLines="50" w:line="560" w:lineRule="exact"/>
        <w:ind w:firstLine="1239" w:firstLineChars="590"/>
        <w:rPr>
          <w:rFonts w:hint="eastAsia" w:ascii="仿宋" w:hAnsi="仿宋" w:eastAsia="仿宋" w:cs="仿宋"/>
          <w:sz w:val="24"/>
          <w:szCs w:val="24"/>
          <w:highlight w:val="none"/>
        </w:rPr>
      </w:pPr>
      <w:r>
        <w:rPr>
          <w:rFonts w:hint="eastAsia"/>
          <w:highlight w:val="none"/>
        </w:rPr>
        <w:t xml:space="preserve">                                          </w:t>
      </w:r>
      <w:r>
        <w:rPr>
          <w:rFonts w:hint="eastAsia" w:ascii="仿宋" w:hAnsi="仿宋" w:eastAsia="仿宋" w:cs="仿宋"/>
          <w:sz w:val="24"/>
          <w:szCs w:val="24"/>
          <w:highlight w:val="none"/>
        </w:rPr>
        <w:t xml:space="preserve"> </w:t>
      </w:r>
      <w:r>
        <w:rPr>
          <w:rFonts w:hint="eastAsia" w:ascii="仿宋" w:hAnsi="仿宋" w:eastAsia="仿宋" w:cs="仿宋"/>
          <w:b/>
          <w:sz w:val="24"/>
          <w:szCs w:val="24"/>
          <w:highlight w:val="none"/>
        </w:rPr>
        <w:t xml:space="preserve"> </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lang w:eastAsia="zh-CN"/>
        </w:rPr>
        <w:t>根据《曲阳县财政局关于印发</w:t>
      </w:r>
      <w:r>
        <w:rPr>
          <w:rFonts w:hint="eastAsia" w:ascii="仿宋" w:hAnsi="仿宋" w:eastAsia="仿宋" w:cs="仿宋"/>
          <w:sz w:val="30"/>
          <w:szCs w:val="30"/>
          <w:lang w:val="en-US" w:eastAsia="zh-CN"/>
        </w:rPr>
        <w:t>2022年县级财政重点绩效评价计划的通知</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w:t>
      </w:r>
      <w:r>
        <w:rPr>
          <w:rFonts w:hint="eastAsia" w:ascii="仿宋" w:hAnsi="仿宋" w:eastAsia="仿宋" w:cs="仿宋"/>
          <w:sz w:val="30"/>
          <w:szCs w:val="30"/>
          <w:lang w:eastAsia="zh-CN"/>
        </w:rPr>
        <w:t>曲财</w:t>
      </w:r>
      <w:r>
        <w:rPr>
          <w:rFonts w:hint="eastAsia" w:ascii="仿宋" w:hAnsi="仿宋" w:eastAsia="仿宋" w:cs="仿宋"/>
          <w:sz w:val="30"/>
          <w:szCs w:val="30"/>
          <w:lang w:val="en-US" w:eastAsia="zh-CN"/>
        </w:rPr>
        <w:t>[2022] 54号),</w:t>
      </w:r>
      <w:r>
        <w:rPr>
          <w:rFonts w:hint="eastAsia" w:ascii="仿宋" w:hAnsi="仿宋" w:eastAsia="仿宋" w:cs="仿宋"/>
          <w:sz w:val="30"/>
          <w:szCs w:val="30"/>
          <w:highlight w:val="none"/>
        </w:rPr>
        <w:t>对</w:t>
      </w:r>
      <w:r>
        <w:rPr>
          <w:rFonts w:hint="eastAsia" w:ascii="仿宋" w:hAnsi="仿宋" w:eastAsia="仿宋" w:cs="仿宋"/>
          <w:sz w:val="30"/>
          <w:szCs w:val="30"/>
          <w:highlight w:val="none"/>
          <w:lang w:eastAsia="zh-CN"/>
        </w:rPr>
        <w:t>曲阳县水利局</w:t>
      </w:r>
      <w:r>
        <w:rPr>
          <w:rFonts w:hint="eastAsia" w:ascii="仿宋" w:hAnsi="仿宋" w:eastAsia="仿宋" w:cs="仿宋"/>
          <w:sz w:val="30"/>
          <w:szCs w:val="30"/>
          <w:highlight w:val="none"/>
        </w:rPr>
        <w:t>承担的</w:t>
      </w:r>
      <w:r>
        <w:rPr>
          <w:rFonts w:hint="eastAsia" w:ascii="仿宋" w:hAnsi="仿宋" w:eastAsia="仿宋" w:cs="仿宋"/>
          <w:sz w:val="30"/>
          <w:szCs w:val="30"/>
          <w:highlight w:val="none"/>
          <w:lang w:eastAsia="zh-CN"/>
        </w:rPr>
        <w:t>曲阳县2021年大中型水库移民后期扶持资金项目</w:t>
      </w:r>
      <w:r>
        <w:rPr>
          <w:rFonts w:hint="eastAsia" w:ascii="仿宋" w:hAnsi="仿宋" w:eastAsia="仿宋" w:cs="仿宋"/>
          <w:sz w:val="30"/>
          <w:szCs w:val="30"/>
          <w:highlight w:val="none"/>
        </w:rPr>
        <w:t>（以下简称“该项目”）的具体实施情况进行了绩效评价。</w:t>
      </w:r>
      <w:r>
        <w:rPr>
          <w:rFonts w:hint="eastAsia" w:ascii="仿宋" w:hAnsi="仿宋" w:eastAsia="仿宋" w:cs="仿宋"/>
          <w:sz w:val="30"/>
          <w:szCs w:val="30"/>
          <w:highlight w:val="none"/>
          <w:lang w:eastAsia="zh-CN"/>
        </w:rPr>
        <w:t>曲阳县水利局</w:t>
      </w:r>
      <w:r>
        <w:rPr>
          <w:rFonts w:hint="eastAsia" w:ascii="仿宋" w:hAnsi="仿宋" w:eastAsia="仿宋" w:cs="仿宋"/>
          <w:sz w:val="30"/>
          <w:szCs w:val="30"/>
          <w:highlight w:val="none"/>
        </w:rPr>
        <w:t>和相关单位提供与绩效评价有关的项目资料，并对其真实性、完整性、合法性负责，我们的责任是根据项目相关资料，对该项目的项目投入、项目过程管理、项目产出、项目效益四个方面和执行国家法律、法规的情况发表评价意见。</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color w:val="000000"/>
          <w:sz w:val="30"/>
          <w:szCs w:val="30"/>
          <w:highlight w:val="none"/>
        </w:rPr>
      </w:pPr>
      <w:r>
        <w:rPr>
          <w:rFonts w:hint="eastAsia" w:ascii="仿宋" w:hAnsi="仿宋" w:eastAsia="仿宋" w:cs="仿宋"/>
          <w:sz w:val="30"/>
          <w:szCs w:val="30"/>
          <w:highlight w:val="none"/>
        </w:rPr>
        <w:t>在评价工作中，我们结合该项目的实际情况制定了绩效评价指标体系，实施了包括资料查看、现场检查、问卷调查等我们认为必要的评价手段。绩效评价工作现已完成，具体</w:t>
      </w:r>
      <w:r>
        <w:rPr>
          <w:rFonts w:hint="eastAsia" w:ascii="仿宋" w:hAnsi="仿宋" w:eastAsia="仿宋" w:cs="仿宋"/>
          <w:color w:val="000000"/>
          <w:sz w:val="30"/>
          <w:szCs w:val="30"/>
          <w:highlight w:val="none"/>
        </w:rPr>
        <w:t>评价情况汇总如下：</w:t>
      </w:r>
    </w:p>
    <w:p>
      <w:pPr>
        <w:pageBreakBefore w:val="0"/>
        <w:kinsoku/>
        <w:wordWrap/>
        <w:overflowPunct/>
        <w:topLinePunct w:val="0"/>
        <w:autoSpaceDE/>
        <w:autoSpaceDN/>
        <w:bidi w:val="0"/>
        <w:adjustRightInd/>
        <w:snapToGrid/>
        <w:spacing w:line="560" w:lineRule="exact"/>
        <w:ind w:firstLine="643" w:firstLineChars="200"/>
        <w:outlineLvl w:val="0"/>
        <w:rPr>
          <w:rFonts w:hint="eastAsia" w:ascii="仿宋" w:hAnsi="仿宋" w:eastAsia="仿宋" w:cs="仿宋"/>
          <w:b/>
          <w:bCs/>
          <w:sz w:val="32"/>
          <w:szCs w:val="32"/>
          <w:highlight w:val="none"/>
        </w:rPr>
      </w:pPr>
      <w:bookmarkStart w:id="2" w:name="_Toc83630317"/>
      <w:bookmarkStart w:id="3" w:name="_Toc8967"/>
      <w:bookmarkStart w:id="4" w:name="_Toc30480"/>
      <w:bookmarkStart w:id="5" w:name="_Toc83631027"/>
      <w:r>
        <w:rPr>
          <w:rFonts w:hint="eastAsia" w:ascii="仿宋" w:hAnsi="仿宋" w:eastAsia="仿宋" w:cs="仿宋"/>
          <w:b/>
          <w:bCs/>
          <w:sz w:val="32"/>
          <w:szCs w:val="32"/>
          <w:highlight w:val="none"/>
          <w:lang w:val="en-US" w:eastAsia="zh-CN"/>
        </w:rPr>
        <w:t>一、</w:t>
      </w:r>
      <w:r>
        <w:rPr>
          <w:rFonts w:hint="eastAsia" w:ascii="仿宋" w:hAnsi="仿宋" w:eastAsia="仿宋" w:cs="仿宋"/>
          <w:b/>
          <w:bCs/>
          <w:sz w:val="32"/>
          <w:szCs w:val="32"/>
          <w:highlight w:val="none"/>
        </w:rPr>
        <w:t>项目概况</w:t>
      </w:r>
      <w:bookmarkEnd w:id="2"/>
      <w:bookmarkEnd w:id="3"/>
      <w:bookmarkEnd w:id="4"/>
      <w:bookmarkEnd w:id="5"/>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项目区主要</w:t>
      </w:r>
      <w:r>
        <w:rPr>
          <w:rFonts w:hint="eastAsia" w:ascii="仿宋" w:hAnsi="仿宋" w:eastAsia="仿宋" w:cs="仿宋"/>
          <w:sz w:val="30"/>
          <w:szCs w:val="30"/>
          <w:highlight w:val="none"/>
          <w:lang w:val="en-US" w:eastAsia="zh-CN"/>
        </w:rPr>
        <w:t>分布在</w:t>
      </w:r>
      <w:r>
        <w:rPr>
          <w:rFonts w:hint="eastAsia" w:ascii="仿宋" w:hAnsi="仿宋" w:eastAsia="仿宋" w:cs="仿宋"/>
          <w:sz w:val="30"/>
          <w:szCs w:val="30"/>
          <w:highlight w:val="none"/>
          <w:lang w:eastAsia="zh-CN"/>
        </w:rPr>
        <w:t>曲阳县</w:t>
      </w:r>
      <w:r>
        <w:rPr>
          <w:rFonts w:hint="eastAsia" w:ascii="仿宋" w:hAnsi="仿宋" w:eastAsia="仿宋" w:cs="仿宋"/>
          <w:sz w:val="30"/>
          <w:szCs w:val="30"/>
          <w:highlight w:val="none"/>
          <w:lang w:val="en-US" w:eastAsia="zh-CN"/>
        </w:rPr>
        <w:t>西北部和东北部，位于</w:t>
      </w:r>
      <w:r>
        <w:rPr>
          <w:rFonts w:hint="eastAsia" w:ascii="仿宋" w:hAnsi="仿宋" w:eastAsia="仿宋" w:cs="仿宋"/>
          <w:sz w:val="30"/>
          <w:szCs w:val="30"/>
          <w:highlight w:val="none"/>
          <w:lang w:eastAsia="zh-CN"/>
        </w:rPr>
        <w:t>西大洋水库、王快水库库区移民和安置区，</w:t>
      </w:r>
      <w:r>
        <w:rPr>
          <w:rFonts w:hint="eastAsia" w:ascii="仿宋" w:hAnsi="仿宋" w:eastAsia="仿宋" w:cs="仿宋"/>
          <w:sz w:val="30"/>
          <w:szCs w:val="30"/>
          <w:highlight w:val="none"/>
          <w:lang w:val="en-US" w:eastAsia="zh-CN"/>
        </w:rPr>
        <w:t>涉及齐村镇、党城乡、灵山镇、下河乡</w:t>
      </w:r>
      <w:r>
        <w:rPr>
          <w:rFonts w:hint="eastAsia" w:ascii="仿宋" w:hAnsi="仿宋" w:eastAsia="仿宋" w:cs="仿宋"/>
          <w:sz w:val="30"/>
          <w:szCs w:val="30"/>
          <w:highlight w:val="none"/>
          <w:lang w:eastAsia="zh-CN"/>
        </w:rPr>
        <w:t>共4个乡镇17个村。工程项目种类包含道路硬化工程、美丽家园工程、水利设施配套工程、文化活动广场工程、产业转型升级项目五类。</w:t>
      </w:r>
      <w:r>
        <w:rPr>
          <w:rFonts w:hint="eastAsia" w:ascii="仿宋" w:hAnsi="仿宋" w:eastAsia="仿宋" w:cs="仿宋"/>
          <w:sz w:val="30"/>
          <w:szCs w:val="30"/>
          <w:highlight w:val="none"/>
          <w:lang w:eastAsia="zh-CN"/>
        </w:rPr>
        <w:br w:type="textWrapping"/>
      </w:r>
      <w:r>
        <w:rPr>
          <w:rFonts w:hint="eastAsia" w:ascii="仿宋" w:hAnsi="仿宋" w:eastAsia="仿宋" w:cs="仿宋"/>
          <w:sz w:val="30"/>
          <w:szCs w:val="30"/>
          <w:highlight w:val="none"/>
          <w:lang w:val="en-US" w:eastAsia="zh-CN"/>
        </w:rPr>
        <w:t xml:space="preserve">    </w:t>
      </w:r>
      <w:r>
        <w:rPr>
          <w:rFonts w:hint="eastAsia" w:ascii="仿宋" w:hAnsi="仿宋" w:eastAsia="仿宋" w:cs="仿宋"/>
          <w:sz w:val="30"/>
          <w:szCs w:val="30"/>
          <w:highlight w:val="none"/>
          <w:lang w:eastAsia="zh-CN"/>
        </w:rPr>
        <w:t>本次项目立足于全面建设社会主义新农村，构建和谐社会，加快移民奔小康步伐、完善移民村庄基础设施、改善移民人居环境、增强村集体经济实力、提高村民经济收益，针对移民村突出问题实施美丽家园工程、水利配套工程、文化活动广场工程、道路工程、产业转型升级工程。</w:t>
      </w:r>
    </w:p>
    <w:p>
      <w:pPr>
        <w:pageBreakBefore w:val="0"/>
        <w:kinsoku/>
        <w:wordWrap/>
        <w:overflowPunct/>
        <w:topLinePunct w:val="0"/>
        <w:autoSpaceDE/>
        <w:autoSpaceDN/>
        <w:bidi w:val="0"/>
        <w:adjustRightInd/>
        <w:snapToGrid/>
        <w:spacing w:line="560" w:lineRule="exact"/>
        <w:ind w:firstLine="643" w:firstLineChars="200"/>
        <w:rPr>
          <w:rFonts w:hint="eastAsia" w:ascii="仿宋" w:hAnsi="仿宋" w:eastAsia="仿宋" w:cs="仿宋"/>
          <w:b/>
          <w:bCs/>
          <w:sz w:val="32"/>
          <w:szCs w:val="32"/>
          <w:highlight w:val="none"/>
        </w:rPr>
      </w:pPr>
      <w:bookmarkStart w:id="6" w:name="_Toc22022"/>
      <w:bookmarkStart w:id="7" w:name="_Toc19822"/>
      <w:bookmarkStart w:id="8" w:name="_Toc83631028"/>
      <w:bookmarkStart w:id="9" w:name="_Toc83630318"/>
      <w:bookmarkStart w:id="10" w:name="_Toc25381"/>
      <w:bookmarkStart w:id="11" w:name="_Toc22961"/>
      <w:r>
        <w:rPr>
          <w:rFonts w:hint="eastAsia" w:ascii="仿宋" w:hAnsi="仿宋" w:eastAsia="仿宋" w:cs="仿宋"/>
          <w:b/>
          <w:bCs/>
          <w:sz w:val="32"/>
          <w:szCs w:val="32"/>
          <w:highlight w:val="none"/>
          <w:lang w:val="en-US" w:eastAsia="zh-CN"/>
        </w:rPr>
        <w:t>二、</w:t>
      </w:r>
      <w:r>
        <w:rPr>
          <w:rFonts w:hint="eastAsia" w:ascii="仿宋" w:hAnsi="仿宋" w:eastAsia="仿宋" w:cs="仿宋"/>
          <w:b/>
          <w:bCs/>
          <w:sz w:val="32"/>
          <w:szCs w:val="32"/>
          <w:highlight w:val="none"/>
        </w:rPr>
        <w:t>项目实施内容和范围</w:t>
      </w:r>
      <w:bookmarkEnd w:id="6"/>
      <w:bookmarkEnd w:id="7"/>
      <w:bookmarkEnd w:id="8"/>
      <w:bookmarkEnd w:id="9"/>
      <w:bookmarkEnd w:id="10"/>
      <w:bookmarkEnd w:id="11"/>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bookmarkStart w:id="12" w:name="_Toc83630319"/>
      <w:bookmarkStart w:id="13" w:name="_Toc17013"/>
      <w:bookmarkStart w:id="14" w:name="_Toc83631029"/>
      <w:bookmarkStart w:id="15" w:name="_Toc8527"/>
      <w:bookmarkStart w:id="16" w:name="_Toc24391"/>
      <w:bookmarkStart w:id="17" w:name="_Toc1525"/>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一</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项目名称：曲阳县2021年大中型水库移民后期扶持项目</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二</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项目承担部门：</w:t>
      </w:r>
      <w:r>
        <w:rPr>
          <w:rFonts w:hint="eastAsia" w:ascii="仿宋" w:hAnsi="仿宋" w:eastAsia="仿宋" w:cs="仿宋"/>
          <w:sz w:val="30"/>
          <w:szCs w:val="30"/>
          <w:highlight w:val="none"/>
          <w:lang w:eastAsia="zh-CN"/>
        </w:rPr>
        <w:t>曲阳县水利局</w:t>
      </w:r>
    </w:p>
    <w:p>
      <w:pPr>
        <w:pageBreakBefore w:val="0"/>
        <w:kinsoku/>
        <w:wordWrap/>
        <w:overflowPunct/>
        <w:topLinePunct w:val="0"/>
        <w:autoSpaceDE/>
        <w:autoSpaceDN/>
        <w:bidi w:val="0"/>
        <w:adjustRightInd/>
        <w:snapToGrid/>
        <w:spacing w:line="560" w:lineRule="exact"/>
        <w:ind w:firstLine="600" w:firstLineChars="200"/>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三</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项目实施主体：曲阳县水利局</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四</w:t>
      </w:r>
      <w:r>
        <w:rPr>
          <w:rFonts w:hint="eastAsia" w:ascii="仿宋" w:hAnsi="仿宋" w:eastAsia="仿宋" w:cs="仿宋"/>
          <w:sz w:val="30"/>
          <w:szCs w:val="30"/>
          <w:highlight w:val="none"/>
          <w:lang w:eastAsia="zh-CN"/>
        </w:rPr>
        <w:t>）建设地点：</w:t>
      </w:r>
      <w:r>
        <w:rPr>
          <w:rFonts w:hint="eastAsia" w:ascii="仿宋" w:hAnsi="仿宋" w:eastAsia="仿宋" w:cs="仿宋"/>
          <w:sz w:val="30"/>
          <w:szCs w:val="30"/>
          <w:highlight w:val="none"/>
          <w:lang w:val="en-US" w:eastAsia="zh-CN"/>
        </w:rPr>
        <w:t>曲阳县西北部和东北部，位于西大洋水库、王快水库库区移民和安置区，涉及齐村镇、党城乡、灵山镇、下河乡共4个乡镇17个村</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五</w:t>
      </w:r>
      <w:r>
        <w:rPr>
          <w:rFonts w:hint="eastAsia" w:ascii="仿宋" w:hAnsi="仿宋" w:eastAsia="仿宋" w:cs="仿宋"/>
          <w:sz w:val="30"/>
          <w:szCs w:val="30"/>
          <w:highlight w:val="none"/>
          <w:lang w:eastAsia="zh-CN"/>
        </w:rPr>
        <w:t>）建设内容：项目种类包含道路硬化工程、美丽家园工程、水利设施配套工程、文化活动广场工程、产业转型升级项目五类。</w:t>
      </w:r>
      <w:r>
        <w:rPr>
          <w:rFonts w:hint="eastAsia" w:ascii="仿宋" w:hAnsi="仿宋" w:eastAsia="仿宋" w:cs="仿宋"/>
          <w:sz w:val="30"/>
          <w:szCs w:val="30"/>
          <w:highlight w:val="none"/>
          <w:lang w:val="en-US" w:eastAsia="zh-CN"/>
        </w:rPr>
        <w:t>本项目共包含十一个标段：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（1）一标段：工程地点位于齐村镇南雅握村、五会村、店上村，工程内容为村路提升为沥青路面和街道两侧墙面美化，农作路硬化；</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（2）二标段：工程地点位于灵山镇北镇北村、灵山村，工程内容为村路提升为沥青路面记街道两侧墙面美化，农作路硬化；</w:t>
      </w:r>
    </w:p>
    <w:p>
      <w:pPr>
        <w:pStyle w:val="2"/>
        <w:keepNext w:val="0"/>
        <w:keepLines w:val="0"/>
        <w:pageBreakBefore w:val="0"/>
        <w:widowControl/>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 w:hAnsi="仿宋" w:eastAsia="仿宋" w:cs="仿宋"/>
          <w:kern w:val="2"/>
          <w:sz w:val="30"/>
          <w:szCs w:val="30"/>
          <w:highlight w:val="none"/>
          <w:lang w:val="en-US" w:eastAsia="zh-CN" w:bidi="ar-SA"/>
        </w:rPr>
      </w:pPr>
      <w:r>
        <w:rPr>
          <w:rFonts w:hint="eastAsia" w:ascii="仿宋" w:hAnsi="仿宋" w:eastAsia="仿宋" w:cs="仿宋"/>
          <w:kern w:val="2"/>
          <w:sz w:val="30"/>
          <w:szCs w:val="30"/>
          <w:highlight w:val="none"/>
          <w:lang w:val="en-US" w:eastAsia="zh-CN" w:bidi="ar-SA"/>
        </w:rPr>
        <w:t>（3）三标段：</w:t>
      </w:r>
      <w:r>
        <w:rPr>
          <w:rFonts w:hint="eastAsia" w:ascii="仿宋" w:hAnsi="仿宋" w:eastAsia="仿宋" w:cs="仿宋"/>
          <w:sz w:val="30"/>
          <w:szCs w:val="30"/>
          <w:highlight w:val="none"/>
          <w:lang w:val="en-US" w:eastAsia="zh-CN"/>
        </w:rPr>
        <w:t>工程地点位于下河乡上河西村、上河东村，工程内容为</w:t>
      </w:r>
      <w:r>
        <w:rPr>
          <w:rFonts w:hint="eastAsia" w:ascii="仿宋" w:hAnsi="仿宋" w:eastAsia="仿宋" w:cs="仿宋"/>
          <w:kern w:val="2"/>
          <w:sz w:val="30"/>
          <w:szCs w:val="30"/>
          <w:highlight w:val="none"/>
          <w:lang w:val="en-US" w:eastAsia="zh-CN" w:bidi="ar-SA"/>
        </w:rPr>
        <w:t>村饮水管道路面恢复及村街路面硬化；</w:t>
      </w:r>
    </w:p>
    <w:p>
      <w:pPr>
        <w:pStyle w:val="2"/>
        <w:keepNext w:val="0"/>
        <w:keepLines w:val="0"/>
        <w:pageBreakBefore w:val="0"/>
        <w:widowControl/>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 w:hAnsi="仿宋" w:eastAsia="仿宋" w:cs="仿宋"/>
          <w:kern w:val="2"/>
          <w:sz w:val="30"/>
          <w:szCs w:val="30"/>
          <w:highlight w:val="none"/>
          <w:lang w:val="en-US" w:eastAsia="zh-CN" w:bidi="ar-SA"/>
        </w:rPr>
      </w:pPr>
      <w:r>
        <w:rPr>
          <w:rFonts w:hint="eastAsia" w:ascii="仿宋" w:hAnsi="仿宋" w:eastAsia="仿宋" w:cs="仿宋"/>
          <w:kern w:val="2"/>
          <w:sz w:val="30"/>
          <w:szCs w:val="30"/>
          <w:highlight w:val="none"/>
          <w:lang w:val="en-US" w:eastAsia="zh-CN" w:bidi="ar-SA"/>
        </w:rPr>
        <w:t>（4）四标段：工程地点位于下河乡刘家马村、灵山镇横河口村，工程内容为村街路硬化、街道沿途旧墙面美化、安装太阳能路灯；</w:t>
      </w:r>
    </w:p>
    <w:p>
      <w:pPr>
        <w:pStyle w:val="2"/>
        <w:keepNext w:val="0"/>
        <w:keepLines w:val="0"/>
        <w:pageBreakBefore w:val="0"/>
        <w:widowControl/>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 w:hAnsi="仿宋" w:eastAsia="仿宋" w:cs="仿宋"/>
          <w:kern w:val="2"/>
          <w:sz w:val="30"/>
          <w:szCs w:val="30"/>
          <w:highlight w:val="none"/>
          <w:lang w:val="en-US" w:eastAsia="zh-CN" w:bidi="ar-SA"/>
        </w:rPr>
      </w:pPr>
      <w:r>
        <w:rPr>
          <w:rFonts w:hint="eastAsia" w:ascii="仿宋" w:hAnsi="仿宋" w:eastAsia="仿宋" w:cs="仿宋"/>
          <w:kern w:val="2"/>
          <w:sz w:val="30"/>
          <w:szCs w:val="30"/>
          <w:highlight w:val="none"/>
          <w:lang w:val="en-US" w:eastAsia="zh-CN" w:bidi="ar-SA"/>
        </w:rPr>
        <w:t>（5）五标段：工程地点位于齐村镇北赤岸村、东沙湾村，工程内容为拆除旧房屋及水塔、垃圾清理、绿化美化、安装太阳能路灯；</w:t>
      </w:r>
    </w:p>
    <w:p>
      <w:pPr>
        <w:pStyle w:val="2"/>
        <w:keepNext w:val="0"/>
        <w:keepLines w:val="0"/>
        <w:pageBreakBefore w:val="0"/>
        <w:widowControl/>
        <w:kinsoku/>
        <w:wordWrap/>
        <w:overflowPunct/>
        <w:topLinePunct w:val="0"/>
        <w:autoSpaceDE/>
        <w:autoSpaceDN/>
        <w:bidi w:val="0"/>
        <w:adjustRightInd/>
        <w:snapToGrid/>
        <w:spacing w:after="0" w:line="560" w:lineRule="exact"/>
        <w:ind w:left="0" w:leftChars="0" w:firstLine="600" w:firstLineChars="200"/>
        <w:textAlignment w:val="auto"/>
        <w:rPr>
          <w:rFonts w:hint="eastAsia" w:ascii="仿宋" w:hAnsi="仿宋" w:eastAsia="仿宋" w:cs="仿宋"/>
          <w:kern w:val="2"/>
          <w:sz w:val="30"/>
          <w:szCs w:val="30"/>
          <w:highlight w:val="none"/>
          <w:lang w:val="en-US" w:eastAsia="zh-CN" w:bidi="ar-SA"/>
        </w:rPr>
      </w:pPr>
      <w:r>
        <w:rPr>
          <w:rFonts w:hint="eastAsia" w:ascii="仿宋" w:hAnsi="仿宋" w:eastAsia="仿宋" w:cs="仿宋"/>
          <w:kern w:val="2"/>
          <w:sz w:val="30"/>
          <w:szCs w:val="30"/>
          <w:highlight w:val="none"/>
          <w:lang w:val="en-US" w:eastAsia="zh-CN" w:bidi="ar-SA"/>
        </w:rPr>
        <w:t>（6）六标段：工程地点位于齐村镇小口头、古家庄、南雅握村，工程内容为河道整治、建蓄水池、铺设管道等配套工程；</w:t>
      </w:r>
    </w:p>
    <w:p>
      <w:pPr>
        <w:tabs>
          <w:tab w:val="left" w:pos="5714"/>
        </w:tabs>
        <w:bidi w:val="0"/>
        <w:ind w:firstLine="600" w:firstLineChars="200"/>
        <w:jc w:val="left"/>
        <w:rPr>
          <w:rFonts w:hint="eastAsia" w:ascii="仿宋" w:hAnsi="仿宋" w:eastAsia="仿宋" w:cs="仿宋"/>
          <w:kern w:val="2"/>
          <w:sz w:val="30"/>
          <w:szCs w:val="30"/>
          <w:highlight w:val="none"/>
          <w:lang w:val="en-US" w:eastAsia="zh-CN" w:bidi="ar-SA"/>
        </w:rPr>
      </w:pPr>
      <w:r>
        <w:rPr>
          <w:rFonts w:hint="eastAsia" w:ascii="仿宋" w:hAnsi="仿宋" w:eastAsia="仿宋" w:cs="仿宋"/>
          <w:kern w:val="2"/>
          <w:sz w:val="30"/>
          <w:szCs w:val="30"/>
          <w:highlight w:val="none"/>
          <w:lang w:val="en-US" w:eastAsia="zh-CN" w:bidi="ar-SA"/>
        </w:rPr>
        <w:t>（7）七标段：工程地点位于党城乡喜峪村、灵山镇北镇南村，工程内容为建文化室、文化活动广场；</w:t>
      </w:r>
    </w:p>
    <w:p>
      <w:pPr>
        <w:tabs>
          <w:tab w:val="left" w:pos="5714"/>
        </w:tabs>
        <w:bidi w:val="0"/>
        <w:ind w:firstLine="600" w:firstLineChars="200"/>
        <w:jc w:val="left"/>
        <w:rPr>
          <w:rFonts w:hint="eastAsia" w:ascii="仿宋" w:hAnsi="仿宋" w:eastAsia="仿宋" w:cs="仿宋"/>
          <w:kern w:val="2"/>
          <w:sz w:val="30"/>
          <w:szCs w:val="30"/>
          <w:highlight w:val="none"/>
          <w:lang w:val="en-US" w:eastAsia="zh-CN" w:bidi="ar-SA"/>
        </w:rPr>
      </w:pPr>
      <w:r>
        <w:rPr>
          <w:rFonts w:hint="eastAsia" w:ascii="仿宋" w:hAnsi="仿宋" w:eastAsia="仿宋" w:cs="仿宋"/>
          <w:kern w:val="2"/>
          <w:sz w:val="30"/>
          <w:szCs w:val="30"/>
          <w:highlight w:val="none"/>
          <w:lang w:val="en-US" w:eastAsia="zh-CN" w:bidi="ar-SA"/>
        </w:rPr>
        <w:t>（8）八标段：工程地点位于齐村镇南赤岸村，工程内容为美丽家园工程；</w:t>
      </w:r>
    </w:p>
    <w:p>
      <w:pPr>
        <w:tabs>
          <w:tab w:val="left" w:pos="5714"/>
        </w:tabs>
        <w:bidi w:val="0"/>
        <w:ind w:firstLine="600" w:firstLineChars="200"/>
        <w:jc w:val="left"/>
        <w:rPr>
          <w:rFonts w:hint="eastAsia" w:ascii="仿宋" w:hAnsi="仿宋" w:eastAsia="仿宋" w:cs="仿宋"/>
          <w:kern w:val="2"/>
          <w:sz w:val="30"/>
          <w:szCs w:val="30"/>
          <w:highlight w:val="none"/>
          <w:lang w:val="en-US" w:eastAsia="zh-CN" w:bidi="ar-SA"/>
        </w:rPr>
      </w:pPr>
      <w:r>
        <w:rPr>
          <w:rFonts w:hint="eastAsia" w:ascii="仿宋" w:hAnsi="仿宋" w:eastAsia="仿宋" w:cs="仿宋"/>
          <w:kern w:val="2"/>
          <w:sz w:val="30"/>
          <w:szCs w:val="30"/>
          <w:highlight w:val="none"/>
          <w:lang w:val="en-US" w:eastAsia="zh-CN" w:bidi="ar-SA"/>
        </w:rPr>
        <w:t>（9）九标段：工程地点位于灵山镇南镇南村，工程内容为美丽家园工程；</w:t>
      </w:r>
    </w:p>
    <w:p>
      <w:pPr>
        <w:tabs>
          <w:tab w:val="left" w:pos="5714"/>
        </w:tabs>
        <w:bidi w:val="0"/>
        <w:ind w:firstLine="600" w:firstLineChars="200"/>
        <w:jc w:val="left"/>
        <w:rPr>
          <w:rFonts w:hint="eastAsia" w:ascii="仿宋" w:hAnsi="仿宋" w:eastAsia="仿宋" w:cs="仿宋"/>
          <w:kern w:val="2"/>
          <w:sz w:val="30"/>
          <w:szCs w:val="30"/>
          <w:highlight w:val="none"/>
          <w:lang w:val="en-US" w:eastAsia="zh-CN" w:bidi="ar-SA"/>
        </w:rPr>
      </w:pPr>
      <w:r>
        <w:rPr>
          <w:rFonts w:hint="eastAsia" w:ascii="仿宋" w:hAnsi="仿宋" w:eastAsia="仿宋" w:cs="仿宋"/>
          <w:kern w:val="2"/>
          <w:sz w:val="30"/>
          <w:szCs w:val="30"/>
          <w:highlight w:val="none"/>
          <w:lang w:val="en-US" w:eastAsia="zh-CN" w:bidi="ar-SA"/>
        </w:rPr>
        <w:t>（10）十标段：工程地点位于齐村镇南雅握村，工程内容为建设生姜存储窖及值班室；</w:t>
      </w:r>
    </w:p>
    <w:p>
      <w:pPr>
        <w:tabs>
          <w:tab w:val="left" w:pos="5714"/>
        </w:tabs>
        <w:bidi w:val="0"/>
        <w:ind w:firstLine="600" w:firstLineChars="200"/>
        <w:jc w:val="left"/>
        <w:rPr>
          <w:rFonts w:hint="eastAsia" w:ascii="仿宋" w:hAnsi="仿宋" w:eastAsia="仿宋" w:cs="仿宋"/>
          <w:kern w:val="2"/>
          <w:sz w:val="30"/>
          <w:szCs w:val="30"/>
          <w:highlight w:val="none"/>
          <w:lang w:val="en-US" w:eastAsia="zh-CN" w:bidi="ar-SA"/>
        </w:rPr>
      </w:pPr>
      <w:r>
        <w:rPr>
          <w:rFonts w:hint="eastAsia" w:ascii="仿宋" w:hAnsi="仿宋" w:eastAsia="仿宋" w:cs="仿宋"/>
          <w:kern w:val="2"/>
          <w:sz w:val="30"/>
          <w:szCs w:val="30"/>
          <w:highlight w:val="none"/>
          <w:lang w:val="en-US" w:eastAsia="zh-CN" w:bidi="ar-SA"/>
        </w:rPr>
        <w:t>（11）十一标段：工程地点位于齐村镇东沙湾村，工程内容为更新缝纫机及配套电缆、柜机空调等附属设施；</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项目建设的具体内容见下表：</w:t>
      </w:r>
    </w:p>
    <w:p>
      <w:pPr>
        <w:pStyle w:val="2"/>
        <w:rPr>
          <w:rFonts w:hint="eastAsia"/>
          <w:lang w:val="en-US" w:eastAsia="zh-CN"/>
        </w:rPr>
      </w:pPr>
    </w:p>
    <w:p>
      <w:pPr>
        <w:pStyle w:val="2"/>
        <w:jc w:val="center"/>
        <w:rPr>
          <w:rFonts w:hint="eastAsia"/>
          <w:lang w:val="en-US" w:eastAsia="zh-CN"/>
        </w:rPr>
      </w:pPr>
      <w:r>
        <w:rPr>
          <w:rFonts w:hint="eastAsia"/>
          <w:b/>
          <w:bCs/>
          <w:kern w:val="0"/>
          <w:sz w:val="24"/>
          <w:highlight w:val="none"/>
        </w:rPr>
        <w:t>曲阳县</w:t>
      </w:r>
      <w:r>
        <w:rPr>
          <w:b/>
          <w:bCs/>
          <w:kern w:val="0"/>
          <w:sz w:val="24"/>
          <w:highlight w:val="none"/>
        </w:rPr>
        <w:t>20</w:t>
      </w:r>
      <w:r>
        <w:rPr>
          <w:rFonts w:hint="eastAsia"/>
          <w:b/>
          <w:bCs/>
          <w:kern w:val="0"/>
          <w:sz w:val="24"/>
          <w:highlight w:val="none"/>
        </w:rPr>
        <w:t>21</w:t>
      </w:r>
      <w:r>
        <w:rPr>
          <w:b/>
          <w:bCs/>
          <w:kern w:val="0"/>
          <w:sz w:val="24"/>
          <w:highlight w:val="none"/>
        </w:rPr>
        <w:t>年大中型水库库区和移民安置区项目建设内容表</w:t>
      </w:r>
    </w:p>
    <w:tbl>
      <w:tblPr>
        <w:tblStyle w:val="1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79"/>
        <w:gridCol w:w="609"/>
        <w:gridCol w:w="835"/>
        <w:gridCol w:w="1053"/>
        <w:gridCol w:w="6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 w:hRule="atLeast"/>
          <w:tblHeader/>
          <w:jc w:val="center"/>
        </w:trPr>
        <w:tc>
          <w:tcPr>
            <w:tcW w:w="196" w:type="pct"/>
            <w:noWrap w:val="0"/>
            <w:tcMar>
              <w:top w:w="15" w:type="dxa"/>
              <w:left w:w="15" w:type="dxa"/>
              <w:right w:w="15" w:type="dxa"/>
            </w:tcMar>
            <w:vAlign w:val="center"/>
          </w:tcPr>
          <w:p>
            <w:pPr>
              <w:widowControl/>
              <w:jc w:val="center"/>
              <w:textAlignment w:val="center"/>
              <w:rPr>
                <w:color w:val="000000"/>
                <w:sz w:val="18"/>
                <w:szCs w:val="18"/>
                <w:highlight w:val="none"/>
              </w:rPr>
            </w:pPr>
            <w:r>
              <w:rPr>
                <w:rFonts w:hint="eastAsia" w:ascii="宋体" w:hAnsi="宋体" w:cs="宋体"/>
                <w:color w:val="000000"/>
                <w:kern w:val="0"/>
                <w:sz w:val="18"/>
                <w:szCs w:val="18"/>
                <w:highlight w:val="none"/>
                <w:lang w:bidi="ar"/>
              </w:rPr>
              <w:t>序号</w:t>
            </w:r>
          </w:p>
        </w:tc>
        <w:tc>
          <w:tcPr>
            <w:tcW w:w="315" w:type="pct"/>
            <w:noWrap w:val="0"/>
            <w:tcMar>
              <w:top w:w="15" w:type="dxa"/>
              <w:left w:w="15" w:type="dxa"/>
              <w:right w:w="15" w:type="dxa"/>
            </w:tcMar>
            <w:vAlign w:val="center"/>
          </w:tcPr>
          <w:p>
            <w:pPr>
              <w:widowControl/>
              <w:jc w:val="center"/>
              <w:textAlignment w:val="center"/>
              <w:rPr>
                <w:color w:val="000000"/>
                <w:sz w:val="18"/>
                <w:szCs w:val="18"/>
                <w:highlight w:val="none"/>
              </w:rPr>
            </w:pPr>
            <w:r>
              <w:rPr>
                <w:color w:val="000000"/>
                <w:kern w:val="0"/>
                <w:sz w:val="18"/>
                <w:szCs w:val="18"/>
                <w:highlight w:val="none"/>
                <w:lang w:bidi="ar"/>
              </w:rPr>
              <w:t>乡（镇）</w:t>
            </w:r>
          </w:p>
        </w:tc>
        <w:tc>
          <w:tcPr>
            <w:tcW w:w="432" w:type="pct"/>
            <w:noWrap w:val="0"/>
            <w:tcMar>
              <w:top w:w="15" w:type="dxa"/>
              <w:left w:w="15" w:type="dxa"/>
              <w:right w:w="15" w:type="dxa"/>
            </w:tcMar>
            <w:vAlign w:val="center"/>
          </w:tcPr>
          <w:p>
            <w:pPr>
              <w:widowControl/>
              <w:jc w:val="center"/>
              <w:textAlignment w:val="center"/>
              <w:rPr>
                <w:color w:val="000000"/>
                <w:sz w:val="18"/>
                <w:szCs w:val="18"/>
                <w:highlight w:val="none"/>
              </w:rPr>
            </w:pPr>
            <w:r>
              <w:rPr>
                <w:color w:val="000000"/>
                <w:kern w:val="0"/>
                <w:sz w:val="18"/>
                <w:szCs w:val="18"/>
                <w:highlight w:val="none"/>
                <w:lang w:bidi="ar"/>
              </w:rPr>
              <w:t>村庄</w:t>
            </w:r>
          </w:p>
        </w:tc>
        <w:tc>
          <w:tcPr>
            <w:tcW w:w="545" w:type="pct"/>
            <w:noWrap w:val="0"/>
            <w:tcMar>
              <w:top w:w="15" w:type="dxa"/>
              <w:left w:w="15" w:type="dxa"/>
              <w:right w:w="15" w:type="dxa"/>
            </w:tcMar>
            <w:vAlign w:val="center"/>
          </w:tcPr>
          <w:p>
            <w:pPr>
              <w:widowControl/>
              <w:jc w:val="center"/>
              <w:textAlignment w:val="center"/>
              <w:rPr>
                <w:color w:val="000000"/>
                <w:kern w:val="0"/>
                <w:sz w:val="18"/>
                <w:szCs w:val="18"/>
                <w:highlight w:val="none"/>
                <w:lang w:bidi="ar"/>
              </w:rPr>
            </w:pPr>
            <w:r>
              <w:rPr>
                <w:color w:val="000000"/>
                <w:kern w:val="0"/>
                <w:sz w:val="18"/>
                <w:szCs w:val="18"/>
                <w:highlight w:val="none"/>
                <w:lang w:bidi="ar"/>
              </w:rPr>
              <w:t>工程类型</w:t>
            </w:r>
          </w:p>
        </w:tc>
        <w:tc>
          <w:tcPr>
            <w:tcW w:w="3511" w:type="pct"/>
            <w:noWrap w:val="0"/>
            <w:tcMar>
              <w:top w:w="15" w:type="dxa"/>
              <w:left w:w="15" w:type="dxa"/>
              <w:right w:w="15" w:type="dxa"/>
            </w:tcMar>
            <w:vAlign w:val="center"/>
          </w:tcPr>
          <w:p>
            <w:pPr>
              <w:widowControl/>
              <w:jc w:val="center"/>
              <w:textAlignment w:val="center"/>
              <w:rPr>
                <w:color w:val="000000"/>
                <w:sz w:val="18"/>
                <w:szCs w:val="18"/>
                <w:highlight w:val="none"/>
              </w:rPr>
            </w:pPr>
            <w:r>
              <w:rPr>
                <w:color w:val="000000"/>
                <w:kern w:val="0"/>
                <w:sz w:val="18"/>
                <w:szCs w:val="18"/>
                <w:highlight w:val="none"/>
                <w:lang w:bidi="ar"/>
              </w:rPr>
              <w:t>建设内容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7" w:hRule="atLeast"/>
          <w:jc w:val="center"/>
        </w:trPr>
        <w:tc>
          <w:tcPr>
            <w:tcW w:w="196" w:type="pct"/>
            <w:vMerge w:val="restart"/>
            <w:noWrap w:val="0"/>
            <w:tcMar>
              <w:top w:w="15" w:type="dxa"/>
              <w:left w:w="15" w:type="dxa"/>
              <w:right w:w="15" w:type="dxa"/>
            </w:tcMar>
            <w:vAlign w:val="center"/>
          </w:tcPr>
          <w:p>
            <w:pPr>
              <w:jc w:val="center"/>
              <w:rPr>
                <w:rFonts w:hint="eastAsia"/>
                <w:color w:val="000000"/>
                <w:sz w:val="18"/>
                <w:szCs w:val="18"/>
                <w:highlight w:val="none"/>
              </w:rPr>
            </w:pPr>
            <w:r>
              <w:rPr>
                <w:rFonts w:hint="eastAsia"/>
                <w:color w:val="000000"/>
                <w:sz w:val="18"/>
                <w:szCs w:val="18"/>
                <w:highlight w:val="none"/>
              </w:rPr>
              <w:t>1</w:t>
            </w:r>
          </w:p>
        </w:tc>
        <w:tc>
          <w:tcPr>
            <w:tcW w:w="315" w:type="pct"/>
            <w:vMerge w:val="restart"/>
            <w:noWrap w:val="0"/>
            <w:tcMar>
              <w:top w:w="15" w:type="dxa"/>
              <w:left w:w="15" w:type="dxa"/>
              <w:right w:w="15" w:type="dxa"/>
            </w:tcMar>
            <w:vAlign w:val="center"/>
          </w:tcPr>
          <w:p>
            <w:pPr>
              <w:jc w:val="center"/>
              <w:rPr>
                <w:rFonts w:hint="eastAsia"/>
                <w:sz w:val="18"/>
                <w:szCs w:val="18"/>
                <w:highlight w:val="none"/>
              </w:rPr>
            </w:pPr>
            <w:r>
              <w:rPr>
                <w:rFonts w:hint="eastAsia"/>
                <w:sz w:val="18"/>
                <w:szCs w:val="18"/>
                <w:highlight w:val="none"/>
              </w:rPr>
              <w:t>齐村镇</w:t>
            </w:r>
          </w:p>
        </w:tc>
        <w:tc>
          <w:tcPr>
            <w:tcW w:w="432" w:type="pct"/>
            <w:vMerge w:val="restart"/>
            <w:noWrap w:val="0"/>
            <w:tcMar>
              <w:top w:w="15" w:type="dxa"/>
              <w:left w:w="15" w:type="dxa"/>
              <w:right w:w="15" w:type="dxa"/>
            </w:tcMar>
            <w:vAlign w:val="center"/>
          </w:tcPr>
          <w:p>
            <w:pPr>
              <w:jc w:val="center"/>
              <w:rPr>
                <w:rFonts w:hint="eastAsia"/>
                <w:sz w:val="18"/>
                <w:szCs w:val="18"/>
                <w:highlight w:val="none"/>
              </w:rPr>
            </w:pPr>
            <w:r>
              <w:rPr>
                <w:rFonts w:hint="eastAsia"/>
                <w:sz w:val="18"/>
                <w:szCs w:val="18"/>
                <w:highlight w:val="none"/>
              </w:rPr>
              <w:t>南雅握村</w:t>
            </w:r>
          </w:p>
        </w:tc>
        <w:tc>
          <w:tcPr>
            <w:tcW w:w="545" w:type="pct"/>
            <w:noWrap w:val="0"/>
            <w:tcMar>
              <w:top w:w="15" w:type="dxa"/>
              <w:left w:w="15" w:type="dxa"/>
              <w:right w:w="15" w:type="dxa"/>
            </w:tcMar>
            <w:vAlign w:val="center"/>
          </w:tcPr>
          <w:p>
            <w:pPr>
              <w:widowControl/>
              <w:jc w:val="center"/>
              <w:textAlignment w:val="center"/>
              <w:rPr>
                <w:sz w:val="18"/>
                <w:szCs w:val="18"/>
                <w:highlight w:val="none"/>
              </w:rPr>
            </w:pPr>
            <w:r>
              <w:rPr>
                <w:sz w:val="18"/>
                <w:szCs w:val="18"/>
                <w:highlight w:val="none"/>
              </w:rPr>
              <w:t>水利配套</w:t>
            </w:r>
          </w:p>
        </w:tc>
        <w:tc>
          <w:tcPr>
            <w:tcW w:w="3511" w:type="pct"/>
            <w:noWrap w:val="0"/>
            <w:tcMar>
              <w:top w:w="15" w:type="dxa"/>
              <w:left w:w="15" w:type="dxa"/>
              <w:right w:w="15" w:type="dxa"/>
            </w:tcMar>
            <w:vAlign w:val="center"/>
          </w:tcPr>
          <w:p>
            <w:pPr>
              <w:widowControl/>
              <w:jc w:val="left"/>
              <w:textAlignment w:val="center"/>
              <w:rPr>
                <w:sz w:val="18"/>
                <w:szCs w:val="18"/>
                <w:highlight w:val="none"/>
              </w:rPr>
            </w:pPr>
            <w:r>
              <w:rPr>
                <w:sz w:val="18"/>
                <w:szCs w:val="18"/>
                <w:highlight w:val="none"/>
              </w:rPr>
              <w:t>建设200m</w:t>
            </w:r>
            <w:r>
              <w:rPr>
                <w:sz w:val="18"/>
                <w:szCs w:val="18"/>
                <w:highlight w:val="none"/>
                <w:vertAlign w:val="superscript"/>
              </w:rPr>
              <w:t>3</w:t>
            </w:r>
            <w:r>
              <w:rPr>
                <w:sz w:val="18"/>
                <w:szCs w:val="18"/>
                <w:highlight w:val="none"/>
              </w:rPr>
              <w:t>蓄水池1座，配套蓄水池阀门井1座，配套上水管道DN100焊接钢管20m，下水管道dn90PE管630m</w:t>
            </w:r>
            <w:r>
              <w:rPr>
                <w:rFonts w:hint="eastAsia"/>
                <w:sz w:val="18"/>
                <w:szCs w:val="18"/>
                <w:highlight w:val="none"/>
              </w:rPr>
              <w:t>，布置7个DN80钢制出水口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196" w:type="pct"/>
            <w:vMerge w:val="continue"/>
            <w:noWrap w:val="0"/>
            <w:tcMar>
              <w:top w:w="15" w:type="dxa"/>
              <w:left w:w="15" w:type="dxa"/>
              <w:right w:w="15" w:type="dxa"/>
            </w:tcMar>
            <w:vAlign w:val="center"/>
          </w:tcPr>
          <w:p>
            <w:pPr>
              <w:jc w:val="center"/>
              <w:rPr>
                <w:color w:val="000000"/>
                <w:sz w:val="18"/>
                <w:szCs w:val="18"/>
                <w:highlight w:val="none"/>
              </w:rPr>
            </w:pPr>
          </w:p>
        </w:tc>
        <w:tc>
          <w:tcPr>
            <w:tcW w:w="315" w:type="pct"/>
            <w:vMerge w:val="continue"/>
            <w:noWrap w:val="0"/>
            <w:tcMar>
              <w:top w:w="15" w:type="dxa"/>
              <w:left w:w="15" w:type="dxa"/>
              <w:right w:w="15" w:type="dxa"/>
            </w:tcMar>
            <w:vAlign w:val="center"/>
          </w:tcPr>
          <w:p>
            <w:pPr>
              <w:jc w:val="center"/>
              <w:rPr>
                <w:sz w:val="18"/>
                <w:szCs w:val="18"/>
                <w:highlight w:val="none"/>
              </w:rPr>
            </w:pPr>
          </w:p>
        </w:tc>
        <w:tc>
          <w:tcPr>
            <w:tcW w:w="432" w:type="pct"/>
            <w:vMerge w:val="continue"/>
            <w:noWrap w:val="0"/>
            <w:tcMar>
              <w:top w:w="15" w:type="dxa"/>
              <w:left w:w="15" w:type="dxa"/>
              <w:right w:w="15" w:type="dxa"/>
            </w:tcMar>
            <w:vAlign w:val="center"/>
          </w:tcPr>
          <w:p>
            <w:pPr>
              <w:jc w:val="center"/>
              <w:rPr>
                <w:sz w:val="18"/>
                <w:szCs w:val="18"/>
                <w:highlight w:val="none"/>
              </w:rPr>
            </w:pPr>
          </w:p>
        </w:tc>
        <w:tc>
          <w:tcPr>
            <w:tcW w:w="545" w:type="pct"/>
            <w:noWrap w:val="0"/>
            <w:tcMar>
              <w:top w:w="15" w:type="dxa"/>
              <w:left w:w="15" w:type="dxa"/>
              <w:right w:w="15" w:type="dxa"/>
            </w:tcMar>
            <w:vAlign w:val="center"/>
          </w:tcPr>
          <w:p>
            <w:pPr>
              <w:widowControl/>
              <w:jc w:val="center"/>
              <w:textAlignment w:val="center"/>
              <w:rPr>
                <w:sz w:val="18"/>
                <w:szCs w:val="18"/>
                <w:highlight w:val="none"/>
              </w:rPr>
            </w:pPr>
            <w:r>
              <w:rPr>
                <w:rFonts w:hint="eastAsia"/>
                <w:sz w:val="18"/>
                <w:szCs w:val="18"/>
                <w:highlight w:val="none"/>
              </w:rPr>
              <w:t>道路提升改造</w:t>
            </w:r>
          </w:p>
        </w:tc>
        <w:tc>
          <w:tcPr>
            <w:tcW w:w="3511" w:type="pct"/>
            <w:noWrap w:val="0"/>
            <w:tcMar>
              <w:top w:w="15" w:type="dxa"/>
              <w:left w:w="15" w:type="dxa"/>
              <w:right w:w="15" w:type="dxa"/>
            </w:tcMar>
            <w:vAlign w:val="center"/>
          </w:tcPr>
          <w:p>
            <w:pPr>
              <w:widowControl/>
              <w:textAlignment w:val="center"/>
              <w:rPr>
                <w:sz w:val="18"/>
                <w:szCs w:val="18"/>
                <w:highlight w:val="none"/>
              </w:rPr>
            </w:pPr>
            <w:r>
              <w:rPr>
                <w:sz w:val="18"/>
                <w:szCs w:val="18"/>
                <w:highlight w:val="none"/>
              </w:rPr>
              <w:t>村主街道改造提升为沥青路面长580m，宽度4.5m，两侧路肩硬化，单侧宽度0.2m；街道两侧旧墙面美化，砂浆抹面及粉刷4060㎡，墙体彩绘2060㎡。。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196" w:type="pct"/>
            <w:vMerge w:val="continue"/>
            <w:noWrap w:val="0"/>
            <w:tcMar>
              <w:top w:w="15" w:type="dxa"/>
              <w:left w:w="15" w:type="dxa"/>
              <w:right w:w="15" w:type="dxa"/>
            </w:tcMar>
            <w:vAlign w:val="center"/>
          </w:tcPr>
          <w:p>
            <w:pPr>
              <w:jc w:val="center"/>
              <w:rPr>
                <w:color w:val="000000"/>
                <w:sz w:val="18"/>
                <w:szCs w:val="18"/>
                <w:highlight w:val="none"/>
              </w:rPr>
            </w:pPr>
          </w:p>
        </w:tc>
        <w:tc>
          <w:tcPr>
            <w:tcW w:w="315" w:type="pct"/>
            <w:vMerge w:val="continue"/>
            <w:noWrap w:val="0"/>
            <w:tcMar>
              <w:top w:w="15" w:type="dxa"/>
              <w:left w:w="15" w:type="dxa"/>
              <w:right w:w="15" w:type="dxa"/>
            </w:tcMar>
            <w:vAlign w:val="center"/>
          </w:tcPr>
          <w:p>
            <w:pPr>
              <w:jc w:val="center"/>
              <w:rPr>
                <w:sz w:val="18"/>
                <w:szCs w:val="18"/>
                <w:highlight w:val="none"/>
              </w:rPr>
            </w:pPr>
          </w:p>
        </w:tc>
        <w:tc>
          <w:tcPr>
            <w:tcW w:w="432" w:type="pct"/>
            <w:vMerge w:val="continue"/>
            <w:noWrap w:val="0"/>
            <w:tcMar>
              <w:top w:w="15" w:type="dxa"/>
              <w:left w:w="15" w:type="dxa"/>
              <w:right w:w="15" w:type="dxa"/>
            </w:tcMar>
            <w:vAlign w:val="center"/>
          </w:tcPr>
          <w:p>
            <w:pPr>
              <w:jc w:val="center"/>
              <w:rPr>
                <w:sz w:val="18"/>
                <w:szCs w:val="18"/>
                <w:highlight w:val="none"/>
              </w:rPr>
            </w:pPr>
          </w:p>
        </w:tc>
        <w:tc>
          <w:tcPr>
            <w:tcW w:w="545" w:type="pct"/>
            <w:noWrap w:val="0"/>
            <w:tcMar>
              <w:top w:w="15" w:type="dxa"/>
              <w:left w:w="15" w:type="dxa"/>
              <w:right w:w="15" w:type="dxa"/>
            </w:tcMar>
            <w:vAlign w:val="center"/>
          </w:tcPr>
          <w:p>
            <w:pPr>
              <w:widowControl/>
              <w:jc w:val="center"/>
              <w:textAlignment w:val="center"/>
              <w:rPr>
                <w:sz w:val="18"/>
                <w:szCs w:val="18"/>
                <w:highlight w:val="none"/>
              </w:rPr>
            </w:pPr>
            <w:r>
              <w:rPr>
                <w:rFonts w:hint="eastAsia"/>
                <w:sz w:val="18"/>
                <w:szCs w:val="18"/>
                <w:highlight w:val="none"/>
              </w:rPr>
              <w:t>生姜存储窖</w:t>
            </w:r>
          </w:p>
        </w:tc>
        <w:tc>
          <w:tcPr>
            <w:tcW w:w="3511" w:type="pct"/>
            <w:noWrap w:val="0"/>
            <w:tcMar>
              <w:top w:w="15" w:type="dxa"/>
              <w:left w:w="15" w:type="dxa"/>
              <w:right w:w="15" w:type="dxa"/>
            </w:tcMar>
            <w:vAlign w:val="center"/>
          </w:tcPr>
          <w:p>
            <w:pPr>
              <w:widowControl/>
              <w:jc w:val="left"/>
              <w:textAlignment w:val="center"/>
              <w:rPr>
                <w:sz w:val="18"/>
                <w:szCs w:val="18"/>
                <w:highlight w:val="none"/>
              </w:rPr>
            </w:pPr>
            <w:r>
              <w:rPr>
                <w:sz w:val="18"/>
                <w:szCs w:val="18"/>
                <w:highlight w:val="none"/>
              </w:rPr>
              <w:t>建设生姜存储窖2座</w:t>
            </w:r>
            <w:r>
              <w:rPr>
                <w:rFonts w:hint="eastAsia"/>
                <w:sz w:val="18"/>
                <w:szCs w:val="18"/>
                <w:highlight w:val="none"/>
              </w:rPr>
              <w:t>，共1030㎡及值班室1座</w:t>
            </w:r>
            <w:r>
              <w:rPr>
                <w:rFonts w:hint="eastAsia"/>
                <w:sz w:val="18"/>
                <w:szCs w:val="18"/>
                <w:highlight w:val="none"/>
                <w:lang w:val="en-US" w:eastAsia="zh-CN"/>
              </w:rPr>
              <w:t>32.47</w:t>
            </w:r>
            <w:r>
              <w:rPr>
                <w:rFonts w:hint="eastAsia"/>
                <w:sz w:val="18"/>
                <w:szCs w:val="18"/>
                <w:highlight w:val="none"/>
              </w:rPr>
              <w:t>㎡</w:t>
            </w:r>
            <w:r>
              <w:rPr>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4" w:hRule="atLeast"/>
          <w:jc w:val="center"/>
        </w:trPr>
        <w:tc>
          <w:tcPr>
            <w:tcW w:w="196" w:type="pct"/>
            <w:noWrap w:val="0"/>
            <w:tcMar>
              <w:top w:w="15" w:type="dxa"/>
              <w:left w:w="15" w:type="dxa"/>
              <w:right w:w="15" w:type="dxa"/>
            </w:tcMar>
            <w:vAlign w:val="center"/>
          </w:tcPr>
          <w:p>
            <w:pPr>
              <w:widowControl/>
              <w:jc w:val="center"/>
              <w:textAlignment w:val="center"/>
              <w:rPr>
                <w:rFonts w:hint="eastAsia"/>
                <w:color w:val="000000"/>
                <w:kern w:val="0"/>
                <w:sz w:val="18"/>
                <w:szCs w:val="18"/>
                <w:highlight w:val="none"/>
                <w:lang w:bidi="ar"/>
              </w:rPr>
            </w:pPr>
            <w:r>
              <w:rPr>
                <w:rFonts w:hint="eastAsia"/>
                <w:color w:val="000000"/>
                <w:kern w:val="0"/>
                <w:sz w:val="18"/>
                <w:szCs w:val="18"/>
                <w:highlight w:val="none"/>
                <w:lang w:bidi="ar"/>
              </w:rPr>
              <w:t>2</w:t>
            </w:r>
          </w:p>
        </w:tc>
        <w:tc>
          <w:tcPr>
            <w:tcW w:w="315" w:type="pct"/>
            <w:vMerge w:val="continue"/>
            <w:noWrap w:val="0"/>
            <w:tcMar>
              <w:top w:w="15" w:type="dxa"/>
              <w:left w:w="15" w:type="dxa"/>
              <w:right w:w="15" w:type="dxa"/>
            </w:tcMar>
            <w:vAlign w:val="center"/>
          </w:tcPr>
          <w:p>
            <w:pPr>
              <w:jc w:val="center"/>
              <w:rPr>
                <w:sz w:val="18"/>
                <w:szCs w:val="18"/>
                <w:highlight w:val="none"/>
              </w:rPr>
            </w:pPr>
          </w:p>
        </w:tc>
        <w:tc>
          <w:tcPr>
            <w:tcW w:w="432" w:type="pct"/>
            <w:noWrap w:val="0"/>
            <w:tcMar>
              <w:top w:w="15" w:type="dxa"/>
              <w:left w:w="15" w:type="dxa"/>
              <w:right w:w="15" w:type="dxa"/>
            </w:tcMar>
            <w:vAlign w:val="center"/>
          </w:tcPr>
          <w:p>
            <w:pPr>
              <w:widowControl/>
              <w:jc w:val="center"/>
              <w:textAlignment w:val="center"/>
              <w:rPr>
                <w:sz w:val="18"/>
                <w:szCs w:val="18"/>
                <w:highlight w:val="none"/>
              </w:rPr>
            </w:pPr>
            <w:r>
              <w:rPr>
                <w:rFonts w:hint="eastAsia"/>
                <w:sz w:val="18"/>
                <w:szCs w:val="18"/>
                <w:highlight w:val="none"/>
              </w:rPr>
              <w:t>南赤岸村</w:t>
            </w:r>
          </w:p>
        </w:tc>
        <w:tc>
          <w:tcPr>
            <w:tcW w:w="545" w:type="pct"/>
            <w:noWrap w:val="0"/>
            <w:tcMar>
              <w:top w:w="15" w:type="dxa"/>
              <w:left w:w="15" w:type="dxa"/>
              <w:right w:w="15" w:type="dxa"/>
            </w:tcMar>
            <w:vAlign w:val="center"/>
          </w:tcPr>
          <w:p>
            <w:pPr>
              <w:widowControl/>
              <w:jc w:val="center"/>
              <w:textAlignment w:val="center"/>
              <w:rPr>
                <w:sz w:val="18"/>
                <w:szCs w:val="18"/>
                <w:highlight w:val="none"/>
              </w:rPr>
            </w:pPr>
            <w:r>
              <w:rPr>
                <w:sz w:val="18"/>
                <w:szCs w:val="18"/>
                <w:highlight w:val="none"/>
              </w:rPr>
              <w:t>美丽家园</w:t>
            </w:r>
          </w:p>
        </w:tc>
        <w:tc>
          <w:tcPr>
            <w:tcW w:w="3511" w:type="pct"/>
            <w:noWrap w:val="0"/>
            <w:tcMar>
              <w:top w:w="15" w:type="dxa"/>
              <w:left w:w="15" w:type="dxa"/>
              <w:right w:w="15" w:type="dxa"/>
            </w:tcMar>
            <w:vAlign w:val="center"/>
          </w:tcPr>
          <w:p>
            <w:pPr>
              <w:widowControl/>
              <w:jc w:val="left"/>
              <w:textAlignment w:val="center"/>
              <w:rPr>
                <w:sz w:val="18"/>
                <w:szCs w:val="18"/>
                <w:highlight w:val="none"/>
              </w:rPr>
            </w:pPr>
            <w:r>
              <w:rPr>
                <w:sz w:val="18"/>
                <w:szCs w:val="18"/>
                <w:highlight w:val="none"/>
              </w:rPr>
              <w:t>村街道建973m文化墙；街道1400m旧墙面美化，且外墙面采用浆砌片石装饰，面积840㎡；街道建花孔矮墙184m；街边废旧建筑物拆除6处；废旧墙体拆除122m；旧墙砂浆勾缝394㎡；街边空地及河道边坡整治并绿化3502㎡；临街绿化花池采用浆砌卵石，砌筑576延米；村街道路植树绿化493m及500套护树池；街道侧边排水沟安置水泥盖板20m；水井泵房安全防护栏44m；砌筑浆砌石排水沟30m；河道沟底建浆砌石挡墙41m；河道边坡浆砌石护坡44m；公共厕所1座；景观地名石1座。村内户户通道路硬化513m，建浆砌石墙长32m；矮砖墙加高长18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2" w:hRule="atLeast"/>
          <w:jc w:val="center"/>
        </w:trPr>
        <w:tc>
          <w:tcPr>
            <w:tcW w:w="196" w:type="pct"/>
            <w:noWrap w:val="0"/>
            <w:tcMar>
              <w:top w:w="15" w:type="dxa"/>
              <w:left w:w="15" w:type="dxa"/>
              <w:right w:w="15" w:type="dxa"/>
            </w:tcMar>
            <w:vAlign w:val="center"/>
          </w:tcPr>
          <w:p>
            <w:pPr>
              <w:widowControl/>
              <w:jc w:val="center"/>
              <w:textAlignment w:val="center"/>
              <w:rPr>
                <w:color w:val="000000"/>
                <w:sz w:val="18"/>
                <w:szCs w:val="18"/>
                <w:highlight w:val="none"/>
              </w:rPr>
            </w:pPr>
            <w:r>
              <w:rPr>
                <w:color w:val="000000"/>
                <w:kern w:val="0"/>
                <w:sz w:val="18"/>
                <w:szCs w:val="18"/>
                <w:highlight w:val="none"/>
                <w:lang w:bidi="ar"/>
              </w:rPr>
              <w:t>3</w:t>
            </w:r>
          </w:p>
        </w:tc>
        <w:tc>
          <w:tcPr>
            <w:tcW w:w="315" w:type="pct"/>
            <w:vMerge w:val="continue"/>
            <w:noWrap w:val="0"/>
            <w:tcMar>
              <w:top w:w="15" w:type="dxa"/>
              <w:left w:w="15" w:type="dxa"/>
              <w:right w:w="15" w:type="dxa"/>
            </w:tcMar>
            <w:vAlign w:val="center"/>
          </w:tcPr>
          <w:p>
            <w:pPr>
              <w:jc w:val="center"/>
              <w:rPr>
                <w:sz w:val="18"/>
                <w:szCs w:val="18"/>
                <w:highlight w:val="none"/>
              </w:rPr>
            </w:pPr>
          </w:p>
        </w:tc>
        <w:tc>
          <w:tcPr>
            <w:tcW w:w="432" w:type="pct"/>
            <w:noWrap w:val="0"/>
            <w:tcMar>
              <w:top w:w="15" w:type="dxa"/>
              <w:left w:w="15" w:type="dxa"/>
              <w:right w:w="15" w:type="dxa"/>
            </w:tcMar>
            <w:vAlign w:val="center"/>
          </w:tcPr>
          <w:p>
            <w:pPr>
              <w:widowControl/>
              <w:jc w:val="center"/>
              <w:textAlignment w:val="center"/>
              <w:rPr>
                <w:sz w:val="18"/>
                <w:szCs w:val="18"/>
                <w:highlight w:val="none"/>
              </w:rPr>
            </w:pPr>
            <w:r>
              <w:rPr>
                <w:sz w:val="18"/>
                <w:szCs w:val="18"/>
                <w:highlight w:val="none"/>
              </w:rPr>
              <w:t>北赤岸村</w:t>
            </w:r>
          </w:p>
        </w:tc>
        <w:tc>
          <w:tcPr>
            <w:tcW w:w="545" w:type="pct"/>
            <w:noWrap w:val="0"/>
            <w:tcMar>
              <w:top w:w="15" w:type="dxa"/>
              <w:left w:w="15" w:type="dxa"/>
              <w:right w:w="15" w:type="dxa"/>
            </w:tcMar>
            <w:vAlign w:val="center"/>
          </w:tcPr>
          <w:p>
            <w:pPr>
              <w:widowControl/>
              <w:jc w:val="center"/>
              <w:textAlignment w:val="center"/>
              <w:rPr>
                <w:sz w:val="18"/>
                <w:szCs w:val="18"/>
                <w:highlight w:val="none"/>
              </w:rPr>
            </w:pPr>
            <w:r>
              <w:rPr>
                <w:rFonts w:hint="eastAsia"/>
                <w:sz w:val="18"/>
                <w:szCs w:val="18"/>
                <w:highlight w:val="none"/>
              </w:rPr>
              <w:t>人居环境整治</w:t>
            </w:r>
          </w:p>
        </w:tc>
        <w:tc>
          <w:tcPr>
            <w:tcW w:w="3511" w:type="pct"/>
            <w:noWrap w:val="0"/>
            <w:tcMar>
              <w:top w:w="15" w:type="dxa"/>
              <w:left w:w="15" w:type="dxa"/>
              <w:right w:w="15" w:type="dxa"/>
            </w:tcMar>
            <w:vAlign w:val="center"/>
          </w:tcPr>
          <w:p>
            <w:pPr>
              <w:rPr>
                <w:sz w:val="18"/>
                <w:szCs w:val="18"/>
                <w:highlight w:val="none"/>
              </w:rPr>
            </w:pPr>
            <w:r>
              <w:rPr>
                <w:sz w:val="18"/>
                <w:szCs w:val="18"/>
                <w:highlight w:val="none"/>
              </w:rPr>
              <w:t>拆除旧房屋及水塔等5处，垃圾杂物清理；空地绿化4494㎡，临街绿化花池采用浆砌卵石，砌筑678米；建浆砌石路肩墙15m。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8" w:hRule="atLeast"/>
          <w:jc w:val="center"/>
        </w:trPr>
        <w:tc>
          <w:tcPr>
            <w:tcW w:w="196" w:type="pct"/>
            <w:vMerge w:val="restart"/>
            <w:noWrap w:val="0"/>
            <w:tcMar>
              <w:top w:w="15" w:type="dxa"/>
              <w:left w:w="15" w:type="dxa"/>
              <w:right w:w="15" w:type="dxa"/>
            </w:tcMar>
            <w:vAlign w:val="center"/>
          </w:tcPr>
          <w:p>
            <w:pPr>
              <w:widowControl/>
              <w:jc w:val="center"/>
              <w:textAlignment w:val="center"/>
              <w:rPr>
                <w:color w:val="000000"/>
                <w:sz w:val="18"/>
                <w:szCs w:val="18"/>
                <w:highlight w:val="none"/>
              </w:rPr>
            </w:pPr>
            <w:r>
              <w:rPr>
                <w:color w:val="000000"/>
                <w:kern w:val="0"/>
                <w:sz w:val="18"/>
                <w:szCs w:val="18"/>
                <w:highlight w:val="none"/>
                <w:lang w:bidi="ar"/>
              </w:rPr>
              <w:t>4</w:t>
            </w:r>
          </w:p>
        </w:tc>
        <w:tc>
          <w:tcPr>
            <w:tcW w:w="315" w:type="pct"/>
            <w:vMerge w:val="continue"/>
            <w:noWrap w:val="0"/>
            <w:tcMar>
              <w:top w:w="15" w:type="dxa"/>
              <w:left w:w="15" w:type="dxa"/>
              <w:right w:w="15" w:type="dxa"/>
            </w:tcMar>
            <w:vAlign w:val="center"/>
          </w:tcPr>
          <w:p>
            <w:pPr>
              <w:jc w:val="center"/>
              <w:rPr>
                <w:sz w:val="18"/>
                <w:szCs w:val="18"/>
                <w:highlight w:val="none"/>
              </w:rPr>
            </w:pPr>
          </w:p>
        </w:tc>
        <w:tc>
          <w:tcPr>
            <w:tcW w:w="432" w:type="pct"/>
            <w:vMerge w:val="restart"/>
            <w:noWrap w:val="0"/>
            <w:tcMar>
              <w:top w:w="15" w:type="dxa"/>
              <w:left w:w="15" w:type="dxa"/>
              <w:right w:w="15" w:type="dxa"/>
            </w:tcMar>
            <w:vAlign w:val="center"/>
          </w:tcPr>
          <w:p>
            <w:pPr>
              <w:widowControl/>
              <w:jc w:val="center"/>
              <w:textAlignment w:val="center"/>
              <w:rPr>
                <w:sz w:val="18"/>
                <w:szCs w:val="18"/>
                <w:highlight w:val="none"/>
              </w:rPr>
            </w:pPr>
            <w:r>
              <w:rPr>
                <w:sz w:val="18"/>
                <w:szCs w:val="18"/>
                <w:highlight w:val="none"/>
              </w:rPr>
              <w:t>东沙湾村</w:t>
            </w:r>
          </w:p>
        </w:tc>
        <w:tc>
          <w:tcPr>
            <w:tcW w:w="545" w:type="pct"/>
            <w:noWrap w:val="0"/>
            <w:tcMar>
              <w:top w:w="15" w:type="dxa"/>
              <w:left w:w="15" w:type="dxa"/>
              <w:right w:w="15" w:type="dxa"/>
            </w:tcMar>
            <w:vAlign w:val="center"/>
          </w:tcPr>
          <w:p>
            <w:pPr>
              <w:widowControl/>
              <w:jc w:val="center"/>
              <w:textAlignment w:val="center"/>
              <w:rPr>
                <w:sz w:val="18"/>
                <w:szCs w:val="18"/>
                <w:highlight w:val="none"/>
              </w:rPr>
            </w:pPr>
            <w:r>
              <w:rPr>
                <w:rFonts w:hint="eastAsia"/>
                <w:sz w:val="18"/>
                <w:szCs w:val="18"/>
                <w:highlight w:val="none"/>
              </w:rPr>
              <w:t>人居环境整治</w:t>
            </w:r>
          </w:p>
        </w:tc>
        <w:tc>
          <w:tcPr>
            <w:tcW w:w="3511" w:type="pct"/>
            <w:noWrap w:val="0"/>
            <w:tcMar>
              <w:top w:w="15" w:type="dxa"/>
              <w:left w:w="15" w:type="dxa"/>
              <w:right w:w="15" w:type="dxa"/>
            </w:tcMar>
            <w:vAlign w:val="center"/>
          </w:tcPr>
          <w:p>
            <w:pPr>
              <w:widowControl/>
              <w:jc w:val="left"/>
              <w:textAlignment w:val="center"/>
              <w:rPr>
                <w:sz w:val="18"/>
                <w:szCs w:val="18"/>
                <w:highlight w:val="none"/>
              </w:rPr>
            </w:pPr>
            <w:r>
              <w:rPr>
                <w:sz w:val="18"/>
                <w:szCs w:val="18"/>
                <w:highlight w:val="none"/>
              </w:rPr>
              <w:t>新建太阳能路灯30盏；空地绿化481㎡；村街道侧边沿途734m植树美化。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96" w:type="pct"/>
            <w:vMerge w:val="continue"/>
            <w:noWrap w:val="0"/>
            <w:tcMar>
              <w:top w:w="15" w:type="dxa"/>
              <w:left w:w="15" w:type="dxa"/>
              <w:right w:w="15" w:type="dxa"/>
            </w:tcMar>
            <w:vAlign w:val="center"/>
          </w:tcPr>
          <w:p>
            <w:pPr>
              <w:widowControl/>
              <w:jc w:val="center"/>
              <w:textAlignment w:val="center"/>
              <w:rPr>
                <w:color w:val="000000"/>
                <w:kern w:val="0"/>
                <w:sz w:val="18"/>
                <w:szCs w:val="18"/>
                <w:highlight w:val="none"/>
                <w:lang w:bidi="ar"/>
              </w:rPr>
            </w:pPr>
          </w:p>
        </w:tc>
        <w:tc>
          <w:tcPr>
            <w:tcW w:w="315" w:type="pct"/>
            <w:vMerge w:val="continue"/>
            <w:noWrap w:val="0"/>
            <w:tcMar>
              <w:top w:w="15" w:type="dxa"/>
              <w:left w:w="15" w:type="dxa"/>
              <w:right w:w="15" w:type="dxa"/>
            </w:tcMar>
            <w:vAlign w:val="center"/>
          </w:tcPr>
          <w:p>
            <w:pPr>
              <w:jc w:val="center"/>
              <w:rPr>
                <w:sz w:val="18"/>
                <w:szCs w:val="18"/>
                <w:highlight w:val="none"/>
              </w:rPr>
            </w:pPr>
          </w:p>
        </w:tc>
        <w:tc>
          <w:tcPr>
            <w:tcW w:w="432" w:type="pct"/>
            <w:vMerge w:val="continue"/>
            <w:noWrap w:val="0"/>
            <w:tcMar>
              <w:top w:w="15" w:type="dxa"/>
              <w:left w:w="15" w:type="dxa"/>
              <w:right w:w="15" w:type="dxa"/>
            </w:tcMar>
            <w:vAlign w:val="center"/>
          </w:tcPr>
          <w:p>
            <w:pPr>
              <w:widowControl/>
              <w:jc w:val="center"/>
              <w:textAlignment w:val="center"/>
              <w:rPr>
                <w:sz w:val="18"/>
                <w:szCs w:val="18"/>
                <w:highlight w:val="none"/>
              </w:rPr>
            </w:pPr>
          </w:p>
        </w:tc>
        <w:tc>
          <w:tcPr>
            <w:tcW w:w="545" w:type="pct"/>
            <w:noWrap w:val="0"/>
            <w:tcMar>
              <w:top w:w="15" w:type="dxa"/>
              <w:left w:w="15" w:type="dxa"/>
              <w:right w:w="15" w:type="dxa"/>
            </w:tcMar>
            <w:vAlign w:val="center"/>
          </w:tcPr>
          <w:p>
            <w:pPr>
              <w:widowControl/>
              <w:jc w:val="center"/>
              <w:textAlignment w:val="center"/>
              <w:rPr>
                <w:sz w:val="18"/>
                <w:szCs w:val="18"/>
                <w:highlight w:val="none"/>
              </w:rPr>
            </w:pPr>
            <w:r>
              <w:rPr>
                <w:rFonts w:hint="eastAsia"/>
                <w:sz w:val="18"/>
                <w:szCs w:val="18"/>
                <w:highlight w:val="none"/>
              </w:rPr>
              <w:t>箱包厂设备配套</w:t>
            </w:r>
          </w:p>
        </w:tc>
        <w:tc>
          <w:tcPr>
            <w:tcW w:w="3511" w:type="pct"/>
            <w:noWrap w:val="0"/>
            <w:tcMar>
              <w:top w:w="15" w:type="dxa"/>
              <w:left w:w="15" w:type="dxa"/>
              <w:right w:w="15" w:type="dxa"/>
            </w:tcMar>
            <w:vAlign w:val="center"/>
          </w:tcPr>
          <w:p>
            <w:pPr>
              <w:widowControl/>
              <w:jc w:val="left"/>
              <w:textAlignment w:val="center"/>
              <w:rPr>
                <w:sz w:val="18"/>
                <w:szCs w:val="18"/>
                <w:highlight w:val="none"/>
              </w:rPr>
            </w:pPr>
            <w:r>
              <w:rPr>
                <w:sz w:val="18"/>
                <w:szCs w:val="18"/>
                <w:highlight w:val="none"/>
              </w:rPr>
              <w:t>提升改造村箱包厂，更新缝纫机等作业设备64台套，并配套电缆150m、5部柜机空调等附属设施。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7" w:hRule="atLeast"/>
          <w:jc w:val="center"/>
        </w:trPr>
        <w:tc>
          <w:tcPr>
            <w:tcW w:w="196" w:type="pct"/>
            <w:noWrap w:val="0"/>
            <w:tcMar>
              <w:top w:w="15" w:type="dxa"/>
              <w:left w:w="15" w:type="dxa"/>
              <w:right w:w="15" w:type="dxa"/>
            </w:tcMar>
            <w:vAlign w:val="center"/>
          </w:tcPr>
          <w:p>
            <w:pPr>
              <w:widowControl/>
              <w:jc w:val="center"/>
              <w:textAlignment w:val="center"/>
              <w:rPr>
                <w:rFonts w:hint="eastAsia"/>
                <w:color w:val="000000"/>
                <w:kern w:val="0"/>
                <w:sz w:val="18"/>
                <w:szCs w:val="18"/>
                <w:highlight w:val="none"/>
                <w:lang w:bidi="ar"/>
              </w:rPr>
            </w:pPr>
            <w:r>
              <w:rPr>
                <w:rFonts w:hint="eastAsia"/>
                <w:color w:val="000000"/>
                <w:kern w:val="0"/>
                <w:sz w:val="18"/>
                <w:szCs w:val="18"/>
                <w:highlight w:val="none"/>
                <w:lang w:bidi="ar"/>
              </w:rPr>
              <w:t>5</w:t>
            </w:r>
          </w:p>
        </w:tc>
        <w:tc>
          <w:tcPr>
            <w:tcW w:w="315" w:type="pct"/>
            <w:vMerge w:val="continue"/>
            <w:noWrap w:val="0"/>
            <w:tcMar>
              <w:top w:w="15" w:type="dxa"/>
              <w:left w:w="15" w:type="dxa"/>
              <w:right w:w="15" w:type="dxa"/>
            </w:tcMar>
            <w:vAlign w:val="center"/>
          </w:tcPr>
          <w:p>
            <w:pPr>
              <w:jc w:val="center"/>
              <w:rPr>
                <w:sz w:val="18"/>
                <w:szCs w:val="18"/>
                <w:highlight w:val="none"/>
              </w:rPr>
            </w:pPr>
          </w:p>
        </w:tc>
        <w:tc>
          <w:tcPr>
            <w:tcW w:w="432" w:type="pct"/>
            <w:noWrap w:val="0"/>
            <w:tcMar>
              <w:top w:w="15" w:type="dxa"/>
              <w:left w:w="15" w:type="dxa"/>
              <w:right w:w="15" w:type="dxa"/>
            </w:tcMar>
            <w:vAlign w:val="center"/>
          </w:tcPr>
          <w:p>
            <w:pPr>
              <w:widowControl/>
              <w:jc w:val="center"/>
              <w:textAlignment w:val="center"/>
              <w:rPr>
                <w:sz w:val="18"/>
                <w:szCs w:val="18"/>
                <w:highlight w:val="none"/>
              </w:rPr>
            </w:pPr>
            <w:r>
              <w:rPr>
                <w:sz w:val="18"/>
                <w:szCs w:val="18"/>
                <w:highlight w:val="none"/>
              </w:rPr>
              <w:t>古家庄村</w:t>
            </w:r>
          </w:p>
        </w:tc>
        <w:tc>
          <w:tcPr>
            <w:tcW w:w="545" w:type="pct"/>
            <w:noWrap w:val="0"/>
            <w:tcMar>
              <w:top w:w="15" w:type="dxa"/>
              <w:left w:w="15" w:type="dxa"/>
              <w:right w:w="15" w:type="dxa"/>
            </w:tcMar>
            <w:vAlign w:val="center"/>
          </w:tcPr>
          <w:p>
            <w:pPr>
              <w:widowControl/>
              <w:jc w:val="center"/>
              <w:textAlignment w:val="center"/>
              <w:rPr>
                <w:sz w:val="18"/>
                <w:szCs w:val="18"/>
                <w:highlight w:val="none"/>
              </w:rPr>
            </w:pPr>
            <w:r>
              <w:rPr>
                <w:rFonts w:hint="eastAsia"/>
                <w:sz w:val="18"/>
                <w:szCs w:val="18"/>
                <w:highlight w:val="none"/>
              </w:rPr>
              <w:t>河道整治</w:t>
            </w:r>
          </w:p>
        </w:tc>
        <w:tc>
          <w:tcPr>
            <w:tcW w:w="3511" w:type="pct"/>
            <w:noWrap w:val="0"/>
            <w:tcMar>
              <w:top w:w="15" w:type="dxa"/>
              <w:left w:w="15" w:type="dxa"/>
              <w:right w:w="15" w:type="dxa"/>
            </w:tcMar>
            <w:vAlign w:val="center"/>
          </w:tcPr>
          <w:p>
            <w:pPr>
              <w:widowControl/>
              <w:jc w:val="left"/>
              <w:textAlignment w:val="center"/>
              <w:rPr>
                <w:sz w:val="18"/>
                <w:szCs w:val="18"/>
                <w:highlight w:val="none"/>
              </w:rPr>
            </w:pPr>
            <w:r>
              <w:rPr>
                <w:kern w:val="0"/>
                <w:sz w:val="18"/>
                <w:szCs w:val="18"/>
                <w:highlight w:val="none"/>
                <w:lang w:bidi="ar"/>
              </w:rPr>
              <w:t>河沟整治163m，两岸修建防洪墙共311m，修建3处跌水。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jc w:val="center"/>
        </w:trPr>
        <w:tc>
          <w:tcPr>
            <w:tcW w:w="196" w:type="pct"/>
            <w:noWrap w:val="0"/>
            <w:tcMar>
              <w:top w:w="15" w:type="dxa"/>
              <w:left w:w="15" w:type="dxa"/>
              <w:right w:w="15" w:type="dxa"/>
            </w:tcMar>
            <w:vAlign w:val="center"/>
          </w:tcPr>
          <w:p>
            <w:pPr>
              <w:widowControl/>
              <w:jc w:val="center"/>
              <w:textAlignment w:val="center"/>
              <w:rPr>
                <w:rFonts w:hint="eastAsia"/>
                <w:color w:val="000000"/>
                <w:kern w:val="0"/>
                <w:sz w:val="18"/>
                <w:szCs w:val="18"/>
                <w:highlight w:val="none"/>
                <w:lang w:bidi="ar"/>
              </w:rPr>
            </w:pPr>
            <w:r>
              <w:rPr>
                <w:rFonts w:hint="eastAsia"/>
                <w:color w:val="000000"/>
                <w:kern w:val="0"/>
                <w:sz w:val="18"/>
                <w:szCs w:val="18"/>
                <w:highlight w:val="none"/>
                <w:lang w:bidi="ar"/>
              </w:rPr>
              <w:t>6</w:t>
            </w:r>
          </w:p>
        </w:tc>
        <w:tc>
          <w:tcPr>
            <w:tcW w:w="315" w:type="pct"/>
            <w:vMerge w:val="continue"/>
            <w:noWrap w:val="0"/>
            <w:tcMar>
              <w:top w:w="15" w:type="dxa"/>
              <w:left w:w="15" w:type="dxa"/>
              <w:right w:w="15" w:type="dxa"/>
            </w:tcMar>
            <w:vAlign w:val="center"/>
          </w:tcPr>
          <w:p>
            <w:pPr>
              <w:jc w:val="center"/>
              <w:rPr>
                <w:sz w:val="18"/>
                <w:szCs w:val="18"/>
                <w:highlight w:val="none"/>
              </w:rPr>
            </w:pPr>
          </w:p>
        </w:tc>
        <w:tc>
          <w:tcPr>
            <w:tcW w:w="432" w:type="pct"/>
            <w:noWrap w:val="0"/>
            <w:tcMar>
              <w:top w:w="15" w:type="dxa"/>
              <w:left w:w="15" w:type="dxa"/>
              <w:right w:w="15" w:type="dxa"/>
            </w:tcMar>
            <w:vAlign w:val="center"/>
          </w:tcPr>
          <w:p>
            <w:pPr>
              <w:widowControl/>
              <w:jc w:val="center"/>
              <w:textAlignment w:val="center"/>
              <w:rPr>
                <w:sz w:val="18"/>
                <w:szCs w:val="18"/>
                <w:highlight w:val="none"/>
              </w:rPr>
            </w:pPr>
            <w:r>
              <w:rPr>
                <w:sz w:val="18"/>
                <w:szCs w:val="18"/>
                <w:highlight w:val="none"/>
              </w:rPr>
              <w:t>小口头村</w:t>
            </w:r>
          </w:p>
        </w:tc>
        <w:tc>
          <w:tcPr>
            <w:tcW w:w="545" w:type="pct"/>
            <w:noWrap w:val="0"/>
            <w:tcMar>
              <w:top w:w="15" w:type="dxa"/>
              <w:left w:w="15" w:type="dxa"/>
              <w:right w:w="15" w:type="dxa"/>
            </w:tcMar>
            <w:vAlign w:val="center"/>
          </w:tcPr>
          <w:p>
            <w:pPr>
              <w:widowControl/>
              <w:jc w:val="center"/>
              <w:textAlignment w:val="center"/>
              <w:rPr>
                <w:sz w:val="18"/>
                <w:szCs w:val="18"/>
                <w:highlight w:val="none"/>
              </w:rPr>
            </w:pPr>
            <w:r>
              <w:rPr>
                <w:rFonts w:hint="eastAsia"/>
                <w:sz w:val="18"/>
                <w:szCs w:val="18"/>
                <w:highlight w:val="none"/>
              </w:rPr>
              <w:t>河道整治</w:t>
            </w:r>
          </w:p>
        </w:tc>
        <w:tc>
          <w:tcPr>
            <w:tcW w:w="3511" w:type="pct"/>
            <w:noWrap w:val="0"/>
            <w:tcMar>
              <w:top w:w="15" w:type="dxa"/>
              <w:left w:w="15" w:type="dxa"/>
              <w:right w:w="15" w:type="dxa"/>
            </w:tcMar>
            <w:vAlign w:val="center"/>
          </w:tcPr>
          <w:p>
            <w:pPr>
              <w:widowControl/>
              <w:jc w:val="left"/>
              <w:textAlignment w:val="center"/>
              <w:rPr>
                <w:sz w:val="18"/>
                <w:szCs w:val="18"/>
                <w:highlight w:val="none"/>
              </w:rPr>
            </w:pPr>
            <w:r>
              <w:rPr>
                <w:kern w:val="0"/>
                <w:sz w:val="18"/>
                <w:szCs w:val="18"/>
                <w:highlight w:val="none"/>
                <w:lang w:bidi="ar"/>
              </w:rPr>
              <w:t>河沟整治450m，两岸修建防洪墙共856m</w:t>
            </w:r>
            <w:r>
              <w:rPr>
                <w:rFonts w:hint="eastAsia"/>
                <w:kern w:val="0"/>
                <w:sz w:val="18"/>
                <w:szCs w:val="18"/>
                <w:highlight w:val="no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9" w:hRule="atLeast"/>
          <w:jc w:val="center"/>
        </w:trPr>
        <w:tc>
          <w:tcPr>
            <w:tcW w:w="196" w:type="pct"/>
            <w:noWrap w:val="0"/>
            <w:tcMar>
              <w:top w:w="15" w:type="dxa"/>
              <w:left w:w="15" w:type="dxa"/>
              <w:right w:w="15" w:type="dxa"/>
            </w:tcMar>
            <w:vAlign w:val="center"/>
          </w:tcPr>
          <w:p>
            <w:pPr>
              <w:widowControl/>
              <w:jc w:val="center"/>
              <w:textAlignment w:val="center"/>
              <w:rPr>
                <w:rFonts w:hint="eastAsia"/>
                <w:color w:val="000000"/>
                <w:kern w:val="0"/>
                <w:sz w:val="18"/>
                <w:szCs w:val="18"/>
                <w:highlight w:val="none"/>
                <w:lang w:bidi="ar"/>
              </w:rPr>
            </w:pPr>
            <w:r>
              <w:rPr>
                <w:rFonts w:hint="eastAsia"/>
                <w:color w:val="000000"/>
                <w:kern w:val="0"/>
                <w:sz w:val="18"/>
                <w:szCs w:val="18"/>
                <w:highlight w:val="none"/>
                <w:lang w:bidi="ar"/>
              </w:rPr>
              <w:t>7</w:t>
            </w:r>
          </w:p>
        </w:tc>
        <w:tc>
          <w:tcPr>
            <w:tcW w:w="315" w:type="pct"/>
            <w:vMerge w:val="continue"/>
            <w:noWrap w:val="0"/>
            <w:tcMar>
              <w:top w:w="15" w:type="dxa"/>
              <w:left w:w="15" w:type="dxa"/>
              <w:right w:w="15" w:type="dxa"/>
            </w:tcMar>
            <w:vAlign w:val="center"/>
          </w:tcPr>
          <w:p>
            <w:pPr>
              <w:jc w:val="center"/>
              <w:rPr>
                <w:sz w:val="18"/>
                <w:szCs w:val="18"/>
                <w:highlight w:val="none"/>
              </w:rPr>
            </w:pPr>
          </w:p>
        </w:tc>
        <w:tc>
          <w:tcPr>
            <w:tcW w:w="432" w:type="pct"/>
            <w:noWrap w:val="0"/>
            <w:tcMar>
              <w:top w:w="15" w:type="dxa"/>
              <w:left w:w="15" w:type="dxa"/>
              <w:right w:w="15" w:type="dxa"/>
            </w:tcMar>
            <w:vAlign w:val="center"/>
          </w:tcPr>
          <w:p>
            <w:pPr>
              <w:widowControl/>
              <w:jc w:val="center"/>
              <w:textAlignment w:val="center"/>
              <w:rPr>
                <w:sz w:val="18"/>
                <w:szCs w:val="18"/>
                <w:highlight w:val="none"/>
              </w:rPr>
            </w:pPr>
            <w:r>
              <w:rPr>
                <w:sz w:val="18"/>
                <w:szCs w:val="18"/>
                <w:highlight w:val="none"/>
              </w:rPr>
              <w:t>店上村</w:t>
            </w:r>
          </w:p>
        </w:tc>
        <w:tc>
          <w:tcPr>
            <w:tcW w:w="545" w:type="pct"/>
            <w:noWrap w:val="0"/>
            <w:tcMar>
              <w:top w:w="15" w:type="dxa"/>
              <w:left w:w="15" w:type="dxa"/>
              <w:right w:w="15" w:type="dxa"/>
            </w:tcMar>
            <w:vAlign w:val="center"/>
          </w:tcPr>
          <w:p>
            <w:pPr>
              <w:widowControl/>
              <w:jc w:val="center"/>
              <w:textAlignment w:val="center"/>
              <w:rPr>
                <w:sz w:val="18"/>
                <w:szCs w:val="18"/>
                <w:highlight w:val="none"/>
              </w:rPr>
            </w:pPr>
            <w:r>
              <w:rPr>
                <w:rFonts w:hint="eastAsia"/>
                <w:sz w:val="18"/>
                <w:szCs w:val="18"/>
                <w:highlight w:val="none"/>
              </w:rPr>
              <w:t>农作路</w:t>
            </w:r>
            <w:r>
              <w:rPr>
                <w:sz w:val="18"/>
                <w:szCs w:val="18"/>
                <w:highlight w:val="none"/>
              </w:rPr>
              <w:t>工程</w:t>
            </w:r>
          </w:p>
        </w:tc>
        <w:tc>
          <w:tcPr>
            <w:tcW w:w="3511" w:type="pct"/>
            <w:noWrap w:val="0"/>
            <w:tcMar>
              <w:top w:w="15" w:type="dxa"/>
              <w:left w:w="15" w:type="dxa"/>
              <w:right w:w="15" w:type="dxa"/>
            </w:tcMar>
            <w:vAlign w:val="center"/>
          </w:tcPr>
          <w:p>
            <w:pPr>
              <w:widowControl/>
              <w:jc w:val="left"/>
              <w:textAlignment w:val="center"/>
              <w:rPr>
                <w:sz w:val="18"/>
                <w:szCs w:val="18"/>
                <w:highlight w:val="none"/>
              </w:rPr>
            </w:pPr>
            <w:r>
              <w:rPr>
                <w:kern w:val="0"/>
                <w:sz w:val="18"/>
                <w:szCs w:val="18"/>
                <w:highlight w:val="none"/>
                <w:lang w:bidi="ar"/>
              </w:rPr>
              <w:t>硬化农作路550m，宽度3.5m。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96" w:type="pct"/>
            <w:noWrap w:val="0"/>
            <w:tcMar>
              <w:top w:w="15" w:type="dxa"/>
              <w:left w:w="15" w:type="dxa"/>
              <w:right w:w="15" w:type="dxa"/>
            </w:tcMar>
            <w:vAlign w:val="center"/>
          </w:tcPr>
          <w:p>
            <w:pPr>
              <w:widowControl/>
              <w:jc w:val="center"/>
              <w:textAlignment w:val="center"/>
              <w:rPr>
                <w:rFonts w:hint="eastAsia"/>
                <w:color w:val="000000"/>
                <w:kern w:val="0"/>
                <w:sz w:val="18"/>
                <w:szCs w:val="18"/>
                <w:highlight w:val="none"/>
                <w:lang w:bidi="ar"/>
              </w:rPr>
            </w:pPr>
            <w:r>
              <w:rPr>
                <w:rFonts w:hint="eastAsia"/>
                <w:color w:val="000000"/>
                <w:kern w:val="0"/>
                <w:sz w:val="18"/>
                <w:szCs w:val="18"/>
                <w:highlight w:val="none"/>
                <w:lang w:bidi="ar"/>
              </w:rPr>
              <w:t>8</w:t>
            </w:r>
          </w:p>
        </w:tc>
        <w:tc>
          <w:tcPr>
            <w:tcW w:w="315" w:type="pct"/>
            <w:vMerge w:val="continue"/>
            <w:noWrap w:val="0"/>
            <w:tcMar>
              <w:top w:w="15" w:type="dxa"/>
              <w:left w:w="15" w:type="dxa"/>
              <w:right w:w="15" w:type="dxa"/>
            </w:tcMar>
            <w:vAlign w:val="center"/>
          </w:tcPr>
          <w:p>
            <w:pPr>
              <w:jc w:val="center"/>
              <w:rPr>
                <w:sz w:val="18"/>
                <w:szCs w:val="18"/>
                <w:highlight w:val="none"/>
              </w:rPr>
            </w:pPr>
          </w:p>
        </w:tc>
        <w:tc>
          <w:tcPr>
            <w:tcW w:w="432" w:type="pct"/>
            <w:noWrap w:val="0"/>
            <w:tcMar>
              <w:top w:w="15" w:type="dxa"/>
              <w:left w:w="15" w:type="dxa"/>
              <w:right w:w="15" w:type="dxa"/>
            </w:tcMar>
            <w:vAlign w:val="center"/>
          </w:tcPr>
          <w:p>
            <w:pPr>
              <w:widowControl/>
              <w:jc w:val="center"/>
              <w:textAlignment w:val="center"/>
              <w:rPr>
                <w:sz w:val="18"/>
                <w:szCs w:val="18"/>
                <w:highlight w:val="none"/>
              </w:rPr>
            </w:pPr>
            <w:r>
              <w:rPr>
                <w:sz w:val="18"/>
                <w:szCs w:val="18"/>
                <w:highlight w:val="none"/>
              </w:rPr>
              <w:t>五会村</w:t>
            </w:r>
          </w:p>
        </w:tc>
        <w:tc>
          <w:tcPr>
            <w:tcW w:w="545" w:type="pct"/>
            <w:noWrap w:val="0"/>
            <w:tcMar>
              <w:top w:w="15" w:type="dxa"/>
              <w:left w:w="15" w:type="dxa"/>
              <w:right w:w="15" w:type="dxa"/>
            </w:tcMar>
            <w:vAlign w:val="center"/>
          </w:tcPr>
          <w:p>
            <w:pPr>
              <w:widowControl/>
              <w:jc w:val="center"/>
              <w:textAlignment w:val="center"/>
              <w:rPr>
                <w:sz w:val="18"/>
                <w:szCs w:val="18"/>
                <w:highlight w:val="none"/>
              </w:rPr>
            </w:pPr>
            <w:r>
              <w:rPr>
                <w:rFonts w:hint="eastAsia"/>
                <w:sz w:val="18"/>
                <w:szCs w:val="18"/>
                <w:highlight w:val="none"/>
              </w:rPr>
              <w:t>农作路</w:t>
            </w:r>
            <w:r>
              <w:rPr>
                <w:sz w:val="18"/>
                <w:szCs w:val="18"/>
                <w:highlight w:val="none"/>
              </w:rPr>
              <w:t>工程</w:t>
            </w:r>
          </w:p>
        </w:tc>
        <w:tc>
          <w:tcPr>
            <w:tcW w:w="3511" w:type="pct"/>
            <w:noWrap w:val="0"/>
            <w:tcMar>
              <w:top w:w="15" w:type="dxa"/>
              <w:left w:w="15" w:type="dxa"/>
              <w:right w:w="15" w:type="dxa"/>
            </w:tcMar>
            <w:vAlign w:val="center"/>
          </w:tcPr>
          <w:p>
            <w:pPr>
              <w:widowControl/>
              <w:jc w:val="left"/>
              <w:textAlignment w:val="center"/>
              <w:rPr>
                <w:sz w:val="18"/>
                <w:szCs w:val="18"/>
                <w:highlight w:val="none"/>
              </w:rPr>
            </w:pPr>
            <w:r>
              <w:rPr>
                <w:kern w:val="0"/>
                <w:sz w:val="18"/>
                <w:szCs w:val="18"/>
                <w:highlight w:val="none"/>
                <w:lang w:bidi="ar"/>
              </w:rPr>
              <w:t>硬化农作路850m，宽度3.5m。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96" w:type="pct"/>
            <w:noWrap w:val="0"/>
            <w:tcMar>
              <w:top w:w="15" w:type="dxa"/>
              <w:left w:w="15" w:type="dxa"/>
              <w:right w:w="15" w:type="dxa"/>
            </w:tcMar>
            <w:vAlign w:val="center"/>
          </w:tcPr>
          <w:p>
            <w:pPr>
              <w:widowControl/>
              <w:jc w:val="center"/>
              <w:textAlignment w:val="center"/>
              <w:rPr>
                <w:color w:val="000000"/>
                <w:kern w:val="0"/>
                <w:sz w:val="18"/>
                <w:szCs w:val="18"/>
                <w:highlight w:val="none"/>
                <w:lang w:bidi="ar"/>
              </w:rPr>
            </w:pPr>
            <w:r>
              <w:rPr>
                <w:rFonts w:hint="eastAsia"/>
                <w:color w:val="000000"/>
                <w:kern w:val="0"/>
                <w:sz w:val="18"/>
                <w:szCs w:val="18"/>
                <w:highlight w:val="none"/>
                <w:lang w:bidi="ar"/>
              </w:rPr>
              <w:t>9</w:t>
            </w:r>
          </w:p>
        </w:tc>
        <w:tc>
          <w:tcPr>
            <w:tcW w:w="315" w:type="pct"/>
            <w:noWrap w:val="0"/>
            <w:tcMar>
              <w:top w:w="15" w:type="dxa"/>
              <w:left w:w="15" w:type="dxa"/>
              <w:right w:w="15" w:type="dxa"/>
            </w:tcMar>
            <w:vAlign w:val="center"/>
          </w:tcPr>
          <w:p>
            <w:pPr>
              <w:jc w:val="center"/>
              <w:rPr>
                <w:sz w:val="18"/>
                <w:szCs w:val="18"/>
                <w:highlight w:val="none"/>
              </w:rPr>
            </w:pPr>
            <w:r>
              <w:rPr>
                <w:sz w:val="18"/>
                <w:szCs w:val="18"/>
                <w:highlight w:val="none"/>
              </w:rPr>
              <w:t>党城乡</w:t>
            </w:r>
          </w:p>
        </w:tc>
        <w:tc>
          <w:tcPr>
            <w:tcW w:w="432" w:type="pct"/>
            <w:noWrap w:val="0"/>
            <w:tcMar>
              <w:top w:w="15" w:type="dxa"/>
              <w:left w:w="15" w:type="dxa"/>
              <w:right w:w="15" w:type="dxa"/>
            </w:tcMar>
            <w:vAlign w:val="center"/>
          </w:tcPr>
          <w:p>
            <w:pPr>
              <w:widowControl/>
              <w:jc w:val="center"/>
              <w:textAlignment w:val="center"/>
              <w:rPr>
                <w:sz w:val="18"/>
                <w:szCs w:val="18"/>
                <w:highlight w:val="none"/>
              </w:rPr>
            </w:pPr>
            <w:r>
              <w:rPr>
                <w:sz w:val="18"/>
                <w:szCs w:val="18"/>
                <w:highlight w:val="none"/>
              </w:rPr>
              <w:t>喜峪村</w:t>
            </w:r>
          </w:p>
        </w:tc>
        <w:tc>
          <w:tcPr>
            <w:tcW w:w="545" w:type="pct"/>
            <w:noWrap w:val="0"/>
            <w:tcMar>
              <w:top w:w="15" w:type="dxa"/>
              <w:left w:w="15" w:type="dxa"/>
              <w:right w:w="15" w:type="dxa"/>
            </w:tcMar>
            <w:vAlign w:val="center"/>
          </w:tcPr>
          <w:p>
            <w:pPr>
              <w:widowControl/>
              <w:jc w:val="center"/>
              <w:textAlignment w:val="center"/>
              <w:rPr>
                <w:sz w:val="18"/>
                <w:szCs w:val="18"/>
                <w:highlight w:val="none"/>
              </w:rPr>
            </w:pPr>
            <w:r>
              <w:rPr>
                <w:rFonts w:hint="eastAsia"/>
                <w:sz w:val="18"/>
                <w:szCs w:val="18"/>
                <w:highlight w:val="none"/>
              </w:rPr>
              <w:t>文化活动中心</w:t>
            </w:r>
          </w:p>
        </w:tc>
        <w:tc>
          <w:tcPr>
            <w:tcW w:w="3511" w:type="pct"/>
            <w:noWrap w:val="0"/>
            <w:tcMar>
              <w:top w:w="15" w:type="dxa"/>
              <w:left w:w="15" w:type="dxa"/>
              <w:right w:w="15" w:type="dxa"/>
            </w:tcMar>
            <w:vAlign w:val="center"/>
          </w:tcPr>
          <w:p>
            <w:pPr>
              <w:widowControl/>
              <w:jc w:val="left"/>
              <w:textAlignment w:val="center"/>
              <w:rPr>
                <w:sz w:val="18"/>
                <w:szCs w:val="18"/>
                <w:highlight w:val="none"/>
              </w:rPr>
            </w:pPr>
            <w:r>
              <w:rPr>
                <w:sz w:val="18"/>
                <w:szCs w:val="18"/>
                <w:highlight w:val="none"/>
              </w:rPr>
              <w:t>新建村民活动中心楼1座，2层，占地面积200㎡</w:t>
            </w:r>
            <w:r>
              <w:rPr>
                <w:rFonts w:hint="eastAsia"/>
                <w:sz w:val="18"/>
                <w:szCs w:val="18"/>
                <w:highlight w:val="none"/>
              </w:rPr>
              <w:t>，建筑面积</w:t>
            </w:r>
            <w:r>
              <w:rPr>
                <w:rFonts w:hint="eastAsia"/>
                <w:sz w:val="18"/>
                <w:szCs w:val="18"/>
                <w:highlight w:val="none"/>
                <w:lang w:val="en-US" w:eastAsia="zh-CN"/>
              </w:rPr>
              <w:t>398.62</w:t>
            </w:r>
            <w:r>
              <w:rPr>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196" w:type="pct"/>
            <w:noWrap w:val="0"/>
            <w:tcMar>
              <w:top w:w="15" w:type="dxa"/>
              <w:left w:w="15" w:type="dxa"/>
              <w:right w:w="15" w:type="dxa"/>
            </w:tcMar>
            <w:vAlign w:val="center"/>
          </w:tcPr>
          <w:p>
            <w:pPr>
              <w:widowControl/>
              <w:jc w:val="center"/>
              <w:textAlignment w:val="center"/>
              <w:rPr>
                <w:color w:val="000000"/>
                <w:sz w:val="18"/>
                <w:szCs w:val="18"/>
                <w:highlight w:val="none"/>
              </w:rPr>
            </w:pPr>
            <w:r>
              <w:rPr>
                <w:rFonts w:hint="eastAsia"/>
                <w:color w:val="000000"/>
                <w:kern w:val="0"/>
                <w:sz w:val="18"/>
                <w:szCs w:val="18"/>
                <w:highlight w:val="none"/>
                <w:lang w:bidi="ar"/>
              </w:rPr>
              <w:t>10</w:t>
            </w:r>
          </w:p>
        </w:tc>
        <w:tc>
          <w:tcPr>
            <w:tcW w:w="315" w:type="pct"/>
            <w:vMerge w:val="restart"/>
            <w:noWrap w:val="0"/>
            <w:tcMar>
              <w:top w:w="15" w:type="dxa"/>
              <w:left w:w="15" w:type="dxa"/>
              <w:right w:w="15" w:type="dxa"/>
            </w:tcMar>
            <w:vAlign w:val="center"/>
          </w:tcPr>
          <w:p>
            <w:pPr>
              <w:widowControl/>
              <w:jc w:val="center"/>
              <w:textAlignment w:val="center"/>
              <w:rPr>
                <w:rFonts w:hint="eastAsia"/>
                <w:sz w:val="18"/>
                <w:szCs w:val="18"/>
                <w:highlight w:val="none"/>
              </w:rPr>
            </w:pPr>
            <w:r>
              <w:rPr>
                <w:rFonts w:hint="eastAsia"/>
                <w:sz w:val="18"/>
                <w:szCs w:val="18"/>
                <w:highlight w:val="none"/>
              </w:rPr>
              <w:t>下河乡</w:t>
            </w:r>
          </w:p>
        </w:tc>
        <w:tc>
          <w:tcPr>
            <w:tcW w:w="432" w:type="pct"/>
            <w:noWrap w:val="0"/>
            <w:tcMar>
              <w:top w:w="15" w:type="dxa"/>
              <w:left w:w="15" w:type="dxa"/>
              <w:right w:w="15" w:type="dxa"/>
            </w:tcMar>
            <w:vAlign w:val="center"/>
          </w:tcPr>
          <w:p>
            <w:pPr>
              <w:widowControl/>
              <w:jc w:val="center"/>
              <w:textAlignment w:val="center"/>
              <w:rPr>
                <w:sz w:val="18"/>
                <w:szCs w:val="18"/>
                <w:highlight w:val="none"/>
              </w:rPr>
            </w:pPr>
            <w:r>
              <w:rPr>
                <w:sz w:val="18"/>
                <w:szCs w:val="18"/>
                <w:highlight w:val="none"/>
              </w:rPr>
              <w:t>上河东岸</w:t>
            </w:r>
          </w:p>
        </w:tc>
        <w:tc>
          <w:tcPr>
            <w:tcW w:w="545" w:type="pct"/>
            <w:noWrap w:val="0"/>
            <w:tcMar>
              <w:top w:w="15" w:type="dxa"/>
              <w:left w:w="15" w:type="dxa"/>
              <w:right w:w="15" w:type="dxa"/>
            </w:tcMar>
            <w:vAlign w:val="center"/>
          </w:tcPr>
          <w:p>
            <w:pPr>
              <w:widowControl/>
              <w:jc w:val="center"/>
              <w:textAlignment w:val="center"/>
              <w:rPr>
                <w:sz w:val="18"/>
                <w:szCs w:val="18"/>
                <w:highlight w:val="none"/>
              </w:rPr>
            </w:pPr>
            <w:r>
              <w:rPr>
                <w:sz w:val="18"/>
                <w:szCs w:val="18"/>
                <w:highlight w:val="none"/>
              </w:rPr>
              <w:t>道路工程</w:t>
            </w:r>
          </w:p>
        </w:tc>
        <w:tc>
          <w:tcPr>
            <w:tcW w:w="3511" w:type="pct"/>
            <w:noWrap w:val="0"/>
            <w:tcMar>
              <w:top w:w="15" w:type="dxa"/>
              <w:left w:w="15" w:type="dxa"/>
              <w:right w:w="15" w:type="dxa"/>
            </w:tcMar>
            <w:vAlign w:val="center"/>
          </w:tcPr>
          <w:p>
            <w:pPr>
              <w:widowControl/>
              <w:jc w:val="left"/>
              <w:textAlignment w:val="center"/>
              <w:rPr>
                <w:sz w:val="18"/>
                <w:szCs w:val="18"/>
                <w:highlight w:val="none"/>
              </w:rPr>
            </w:pPr>
            <w:r>
              <w:rPr>
                <w:sz w:val="18"/>
                <w:szCs w:val="18"/>
                <w:highlight w:val="none"/>
              </w:rPr>
              <w:t>村街道路硬化4574m，其中545m道路宽度3m，126m道路宽度2.2m，70m道路宽2m，其余均为人饮管路敷设开挖路面恢复，宽度0.6m。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1" w:hRule="atLeast"/>
          <w:jc w:val="center"/>
        </w:trPr>
        <w:tc>
          <w:tcPr>
            <w:tcW w:w="196" w:type="pct"/>
            <w:noWrap w:val="0"/>
            <w:tcMar>
              <w:top w:w="15" w:type="dxa"/>
              <w:left w:w="15" w:type="dxa"/>
              <w:right w:w="15" w:type="dxa"/>
            </w:tcMar>
            <w:vAlign w:val="center"/>
          </w:tcPr>
          <w:p>
            <w:pPr>
              <w:widowControl/>
              <w:jc w:val="center"/>
              <w:textAlignment w:val="center"/>
              <w:rPr>
                <w:color w:val="000000"/>
                <w:sz w:val="18"/>
                <w:szCs w:val="18"/>
                <w:highlight w:val="none"/>
              </w:rPr>
            </w:pPr>
            <w:r>
              <w:rPr>
                <w:rFonts w:hint="eastAsia"/>
                <w:color w:val="000000"/>
                <w:kern w:val="0"/>
                <w:sz w:val="18"/>
                <w:szCs w:val="18"/>
                <w:highlight w:val="none"/>
                <w:lang w:bidi="ar"/>
              </w:rPr>
              <w:t>11</w:t>
            </w:r>
          </w:p>
        </w:tc>
        <w:tc>
          <w:tcPr>
            <w:tcW w:w="315" w:type="pct"/>
            <w:vMerge w:val="continue"/>
            <w:noWrap w:val="0"/>
            <w:tcMar>
              <w:top w:w="15" w:type="dxa"/>
              <w:left w:w="15" w:type="dxa"/>
              <w:right w:w="15" w:type="dxa"/>
            </w:tcMar>
            <w:vAlign w:val="center"/>
          </w:tcPr>
          <w:p>
            <w:pPr>
              <w:jc w:val="center"/>
              <w:rPr>
                <w:sz w:val="18"/>
                <w:szCs w:val="18"/>
                <w:highlight w:val="none"/>
              </w:rPr>
            </w:pPr>
          </w:p>
        </w:tc>
        <w:tc>
          <w:tcPr>
            <w:tcW w:w="432" w:type="pct"/>
            <w:noWrap w:val="0"/>
            <w:tcMar>
              <w:top w:w="15" w:type="dxa"/>
              <w:left w:w="15" w:type="dxa"/>
              <w:right w:w="15" w:type="dxa"/>
            </w:tcMar>
            <w:vAlign w:val="center"/>
          </w:tcPr>
          <w:p>
            <w:pPr>
              <w:widowControl/>
              <w:jc w:val="center"/>
              <w:textAlignment w:val="center"/>
              <w:rPr>
                <w:sz w:val="18"/>
                <w:szCs w:val="18"/>
                <w:highlight w:val="none"/>
              </w:rPr>
            </w:pPr>
            <w:r>
              <w:rPr>
                <w:sz w:val="18"/>
                <w:szCs w:val="18"/>
                <w:highlight w:val="none"/>
              </w:rPr>
              <w:t>上河西岸</w:t>
            </w:r>
          </w:p>
        </w:tc>
        <w:tc>
          <w:tcPr>
            <w:tcW w:w="545" w:type="pct"/>
            <w:noWrap w:val="0"/>
            <w:tcMar>
              <w:top w:w="15" w:type="dxa"/>
              <w:left w:w="15" w:type="dxa"/>
              <w:right w:w="15" w:type="dxa"/>
            </w:tcMar>
            <w:vAlign w:val="center"/>
          </w:tcPr>
          <w:p>
            <w:pPr>
              <w:widowControl/>
              <w:jc w:val="center"/>
              <w:textAlignment w:val="center"/>
              <w:rPr>
                <w:sz w:val="18"/>
                <w:szCs w:val="18"/>
                <w:highlight w:val="none"/>
              </w:rPr>
            </w:pPr>
            <w:r>
              <w:rPr>
                <w:sz w:val="18"/>
                <w:szCs w:val="18"/>
                <w:highlight w:val="none"/>
              </w:rPr>
              <w:t>道路工程</w:t>
            </w:r>
          </w:p>
        </w:tc>
        <w:tc>
          <w:tcPr>
            <w:tcW w:w="3511" w:type="pct"/>
            <w:noWrap w:val="0"/>
            <w:tcMar>
              <w:top w:w="15" w:type="dxa"/>
              <w:left w:w="15" w:type="dxa"/>
              <w:right w:w="15" w:type="dxa"/>
            </w:tcMar>
            <w:vAlign w:val="center"/>
          </w:tcPr>
          <w:p>
            <w:pPr>
              <w:widowControl/>
              <w:jc w:val="left"/>
              <w:textAlignment w:val="center"/>
              <w:rPr>
                <w:sz w:val="18"/>
                <w:szCs w:val="18"/>
                <w:highlight w:val="none"/>
              </w:rPr>
            </w:pPr>
            <w:r>
              <w:rPr>
                <w:sz w:val="18"/>
                <w:szCs w:val="18"/>
                <w:highlight w:val="none"/>
              </w:rPr>
              <w:t>村内人饮管路敷设开挖路面恢复9600m，其中破损严重街道1085m新建，宽度3.5m道路长度365m，宽度3m道路720m，其余8515m恢复宽度0.5m。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196" w:type="pct"/>
            <w:noWrap w:val="0"/>
            <w:tcMar>
              <w:top w:w="15" w:type="dxa"/>
              <w:left w:w="15" w:type="dxa"/>
              <w:right w:w="15" w:type="dxa"/>
            </w:tcMar>
            <w:vAlign w:val="center"/>
          </w:tcPr>
          <w:p>
            <w:pPr>
              <w:widowControl/>
              <w:jc w:val="center"/>
              <w:textAlignment w:val="center"/>
              <w:rPr>
                <w:color w:val="000000"/>
                <w:sz w:val="18"/>
                <w:szCs w:val="18"/>
                <w:highlight w:val="none"/>
              </w:rPr>
            </w:pPr>
            <w:r>
              <w:rPr>
                <w:rFonts w:hint="eastAsia"/>
                <w:color w:val="000000"/>
                <w:kern w:val="0"/>
                <w:sz w:val="18"/>
                <w:szCs w:val="18"/>
                <w:highlight w:val="none"/>
                <w:lang w:bidi="ar"/>
              </w:rPr>
              <w:t>12</w:t>
            </w:r>
          </w:p>
        </w:tc>
        <w:tc>
          <w:tcPr>
            <w:tcW w:w="315" w:type="pct"/>
            <w:vMerge w:val="continue"/>
            <w:noWrap w:val="0"/>
            <w:tcMar>
              <w:top w:w="15" w:type="dxa"/>
              <w:left w:w="15" w:type="dxa"/>
              <w:right w:w="15" w:type="dxa"/>
            </w:tcMar>
            <w:vAlign w:val="center"/>
          </w:tcPr>
          <w:p>
            <w:pPr>
              <w:jc w:val="center"/>
              <w:rPr>
                <w:sz w:val="18"/>
                <w:szCs w:val="18"/>
                <w:highlight w:val="none"/>
              </w:rPr>
            </w:pPr>
          </w:p>
        </w:tc>
        <w:tc>
          <w:tcPr>
            <w:tcW w:w="432" w:type="pct"/>
            <w:noWrap w:val="0"/>
            <w:tcMar>
              <w:top w:w="15" w:type="dxa"/>
              <w:left w:w="15" w:type="dxa"/>
              <w:right w:w="15" w:type="dxa"/>
            </w:tcMar>
            <w:vAlign w:val="center"/>
          </w:tcPr>
          <w:p>
            <w:pPr>
              <w:widowControl/>
              <w:jc w:val="center"/>
              <w:textAlignment w:val="center"/>
              <w:rPr>
                <w:sz w:val="18"/>
                <w:szCs w:val="18"/>
                <w:highlight w:val="none"/>
              </w:rPr>
            </w:pPr>
            <w:r>
              <w:rPr>
                <w:sz w:val="18"/>
                <w:szCs w:val="18"/>
                <w:highlight w:val="none"/>
              </w:rPr>
              <w:t>刘家马</w:t>
            </w:r>
          </w:p>
        </w:tc>
        <w:tc>
          <w:tcPr>
            <w:tcW w:w="545" w:type="pct"/>
            <w:noWrap w:val="0"/>
            <w:tcMar>
              <w:top w:w="15" w:type="dxa"/>
              <w:left w:w="15" w:type="dxa"/>
              <w:right w:w="15" w:type="dxa"/>
            </w:tcMar>
            <w:vAlign w:val="center"/>
          </w:tcPr>
          <w:p>
            <w:pPr>
              <w:widowControl/>
              <w:jc w:val="center"/>
              <w:textAlignment w:val="center"/>
              <w:rPr>
                <w:sz w:val="18"/>
                <w:szCs w:val="18"/>
                <w:highlight w:val="none"/>
              </w:rPr>
            </w:pPr>
            <w:r>
              <w:rPr>
                <w:sz w:val="18"/>
                <w:szCs w:val="18"/>
                <w:highlight w:val="none"/>
              </w:rPr>
              <w:t>道路工程</w:t>
            </w:r>
          </w:p>
        </w:tc>
        <w:tc>
          <w:tcPr>
            <w:tcW w:w="3511" w:type="pct"/>
            <w:noWrap w:val="0"/>
            <w:tcMar>
              <w:top w:w="15" w:type="dxa"/>
              <w:left w:w="15" w:type="dxa"/>
              <w:right w:w="15" w:type="dxa"/>
            </w:tcMar>
            <w:vAlign w:val="center"/>
          </w:tcPr>
          <w:p>
            <w:pPr>
              <w:widowControl/>
              <w:jc w:val="left"/>
              <w:textAlignment w:val="center"/>
              <w:rPr>
                <w:sz w:val="18"/>
                <w:szCs w:val="18"/>
                <w:highlight w:val="none"/>
              </w:rPr>
            </w:pPr>
            <w:r>
              <w:rPr>
                <w:sz w:val="18"/>
                <w:szCs w:val="18"/>
                <w:highlight w:val="none"/>
              </w:rPr>
              <w:t>村街道路硬化2396m，其中1347m道路宽度3m，163m道路宽度2.9m，478m道路宽度2.8m，308m道路宽度2.7m，200m道路宽度2m。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6" w:hRule="atLeast"/>
          <w:jc w:val="center"/>
        </w:trPr>
        <w:tc>
          <w:tcPr>
            <w:tcW w:w="196" w:type="pct"/>
            <w:noWrap w:val="0"/>
            <w:tcMar>
              <w:top w:w="15" w:type="dxa"/>
              <w:left w:w="15" w:type="dxa"/>
              <w:right w:w="15" w:type="dxa"/>
            </w:tcMar>
            <w:vAlign w:val="center"/>
          </w:tcPr>
          <w:p>
            <w:pPr>
              <w:widowControl/>
              <w:jc w:val="center"/>
              <w:textAlignment w:val="center"/>
              <w:rPr>
                <w:rFonts w:hint="eastAsia"/>
                <w:color w:val="000000"/>
                <w:sz w:val="18"/>
                <w:szCs w:val="18"/>
                <w:highlight w:val="none"/>
              </w:rPr>
            </w:pPr>
            <w:r>
              <w:rPr>
                <w:color w:val="000000"/>
                <w:kern w:val="0"/>
                <w:sz w:val="18"/>
                <w:szCs w:val="18"/>
                <w:highlight w:val="none"/>
                <w:lang w:bidi="ar"/>
              </w:rPr>
              <w:t>1</w:t>
            </w:r>
            <w:r>
              <w:rPr>
                <w:rFonts w:hint="eastAsia"/>
                <w:color w:val="000000"/>
                <w:kern w:val="0"/>
                <w:sz w:val="18"/>
                <w:szCs w:val="18"/>
                <w:highlight w:val="none"/>
                <w:lang w:bidi="ar"/>
              </w:rPr>
              <w:t>3</w:t>
            </w:r>
          </w:p>
        </w:tc>
        <w:tc>
          <w:tcPr>
            <w:tcW w:w="315" w:type="pct"/>
            <w:vMerge w:val="restart"/>
            <w:noWrap w:val="0"/>
            <w:tcMar>
              <w:top w:w="15" w:type="dxa"/>
              <w:left w:w="15" w:type="dxa"/>
              <w:right w:w="15" w:type="dxa"/>
            </w:tcMar>
            <w:vAlign w:val="center"/>
          </w:tcPr>
          <w:p>
            <w:pPr>
              <w:widowControl/>
              <w:jc w:val="center"/>
              <w:textAlignment w:val="center"/>
              <w:rPr>
                <w:rFonts w:hint="eastAsia"/>
                <w:sz w:val="18"/>
                <w:szCs w:val="18"/>
                <w:highlight w:val="none"/>
              </w:rPr>
            </w:pPr>
            <w:r>
              <w:rPr>
                <w:rFonts w:hint="eastAsia"/>
                <w:sz w:val="18"/>
                <w:szCs w:val="18"/>
                <w:highlight w:val="none"/>
              </w:rPr>
              <w:t>灵山镇</w:t>
            </w:r>
          </w:p>
        </w:tc>
        <w:tc>
          <w:tcPr>
            <w:tcW w:w="432" w:type="pct"/>
            <w:noWrap w:val="0"/>
            <w:tcMar>
              <w:top w:w="15" w:type="dxa"/>
              <w:left w:w="15" w:type="dxa"/>
              <w:right w:w="15" w:type="dxa"/>
            </w:tcMar>
            <w:vAlign w:val="center"/>
          </w:tcPr>
          <w:p>
            <w:pPr>
              <w:widowControl/>
              <w:jc w:val="center"/>
              <w:textAlignment w:val="center"/>
              <w:rPr>
                <w:sz w:val="18"/>
                <w:szCs w:val="18"/>
                <w:highlight w:val="none"/>
              </w:rPr>
            </w:pPr>
            <w:r>
              <w:rPr>
                <w:sz w:val="18"/>
                <w:szCs w:val="18"/>
                <w:highlight w:val="none"/>
              </w:rPr>
              <w:t>南镇南村</w:t>
            </w:r>
          </w:p>
        </w:tc>
        <w:tc>
          <w:tcPr>
            <w:tcW w:w="545" w:type="pct"/>
            <w:noWrap w:val="0"/>
            <w:tcMar>
              <w:top w:w="15" w:type="dxa"/>
              <w:left w:w="15" w:type="dxa"/>
              <w:right w:w="15" w:type="dxa"/>
            </w:tcMar>
            <w:vAlign w:val="center"/>
          </w:tcPr>
          <w:p>
            <w:pPr>
              <w:widowControl/>
              <w:jc w:val="center"/>
              <w:textAlignment w:val="center"/>
              <w:rPr>
                <w:sz w:val="18"/>
                <w:szCs w:val="18"/>
                <w:highlight w:val="none"/>
              </w:rPr>
            </w:pPr>
            <w:r>
              <w:rPr>
                <w:sz w:val="18"/>
                <w:szCs w:val="18"/>
                <w:highlight w:val="none"/>
              </w:rPr>
              <w:t>美丽家园</w:t>
            </w:r>
          </w:p>
        </w:tc>
        <w:tc>
          <w:tcPr>
            <w:tcW w:w="3511" w:type="pct"/>
            <w:noWrap w:val="0"/>
            <w:tcMar>
              <w:top w:w="15" w:type="dxa"/>
              <w:left w:w="15" w:type="dxa"/>
              <w:right w:w="15" w:type="dxa"/>
            </w:tcMar>
            <w:vAlign w:val="center"/>
          </w:tcPr>
          <w:p>
            <w:pPr>
              <w:widowControl/>
              <w:jc w:val="left"/>
              <w:textAlignment w:val="center"/>
              <w:rPr>
                <w:sz w:val="18"/>
                <w:szCs w:val="18"/>
                <w:highlight w:val="none"/>
              </w:rPr>
            </w:pPr>
            <w:r>
              <w:rPr>
                <w:sz w:val="18"/>
                <w:szCs w:val="18"/>
                <w:highlight w:val="none"/>
              </w:rPr>
              <w:t>街道沿途新建文化墙700m，街边沿途旧墙面美化2198m，街道两侧路肩土地面铺设便道砖700㎡ ；新建“长城墙”1322m；新建浆砌石挡墙379m；旧墙防护衬砌37m；广场硬化2700㎡并配套6件健身设施，安装太阳能路灯50盏，栽植沙地柏绿化400m</w:t>
            </w:r>
            <w:r>
              <w:rPr>
                <w:sz w:val="18"/>
                <w:szCs w:val="18"/>
                <w:highlight w:val="none"/>
                <w:vertAlign w:val="superscript"/>
              </w:rPr>
              <w:t>2</w:t>
            </w:r>
            <w:r>
              <w:rPr>
                <w:sz w:val="18"/>
                <w:szCs w:val="18"/>
                <w:highlight w:val="none"/>
              </w:rPr>
              <w:t>，广场栽植金叶榆100株。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5" w:hRule="atLeast"/>
          <w:jc w:val="center"/>
        </w:trPr>
        <w:tc>
          <w:tcPr>
            <w:tcW w:w="196" w:type="pct"/>
            <w:noWrap w:val="0"/>
            <w:tcMar>
              <w:top w:w="15" w:type="dxa"/>
              <w:left w:w="15" w:type="dxa"/>
              <w:right w:w="15" w:type="dxa"/>
            </w:tcMar>
            <w:vAlign w:val="center"/>
          </w:tcPr>
          <w:p>
            <w:pPr>
              <w:widowControl/>
              <w:jc w:val="center"/>
              <w:textAlignment w:val="center"/>
              <w:rPr>
                <w:color w:val="000000"/>
                <w:sz w:val="18"/>
                <w:szCs w:val="18"/>
                <w:highlight w:val="none"/>
              </w:rPr>
            </w:pPr>
            <w:r>
              <w:rPr>
                <w:rFonts w:hint="eastAsia"/>
                <w:color w:val="000000"/>
                <w:kern w:val="0"/>
                <w:sz w:val="18"/>
                <w:szCs w:val="18"/>
                <w:highlight w:val="none"/>
                <w:lang w:bidi="ar"/>
              </w:rPr>
              <w:t>14</w:t>
            </w:r>
          </w:p>
        </w:tc>
        <w:tc>
          <w:tcPr>
            <w:tcW w:w="315" w:type="pct"/>
            <w:vMerge w:val="continue"/>
            <w:noWrap w:val="0"/>
            <w:tcMar>
              <w:top w:w="15" w:type="dxa"/>
              <w:left w:w="15" w:type="dxa"/>
              <w:right w:w="15" w:type="dxa"/>
            </w:tcMar>
            <w:vAlign w:val="center"/>
          </w:tcPr>
          <w:p>
            <w:pPr>
              <w:jc w:val="center"/>
              <w:rPr>
                <w:sz w:val="18"/>
                <w:szCs w:val="18"/>
                <w:highlight w:val="none"/>
              </w:rPr>
            </w:pPr>
          </w:p>
        </w:tc>
        <w:tc>
          <w:tcPr>
            <w:tcW w:w="432" w:type="pct"/>
            <w:noWrap w:val="0"/>
            <w:tcMar>
              <w:top w:w="15" w:type="dxa"/>
              <w:left w:w="15" w:type="dxa"/>
              <w:right w:w="15" w:type="dxa"/>
            </w:tcMar>
            <w:vAlign w:val="center"/>
          </w:tcPr>
          <w:p>
            <w:pPr>
              <w:widowControl/>
              <w:jc w:val="center"/>
              <w:textAlignment w:val="center"/>
              <w:rPr>
                <w:sz w:val="18"/>
                <w:szCs w:val="18"/>
                <w:highlight w:val="none"/>
              </w:rPr>
            </w:pPr>
            <w:r>
              <w:rPr>
                <w:sz w:val="18"/>
                <w:szCs w:val="18"/>
                <w:highlight w:val="none"/>
              </w:rPr>
              <w:t>北镇南村</w:t>
            </w:r>
          </w:p>
        </w:tc>
        <w:tc>
          <w:tcPr>
            <w:tcW w:w="545" w:type="pct"/>
            <w:noWrap w:val="0"/>
            <w:tcMar>
              <w:top w:w="15" w:type="dxa"/>
              <w:left w:w="15" w:type="dxa"/>
              <w:right w:w="15" w:type="dxa"/>
            </w:tcMar>
            <w:vAlign w:val="center"/>
          </w:tcPr>
          <w:p>
            <w:pPr>
              <w:widowControl/>
              <w:jc w:val="center"/>
              <w:textAlignment w:val="center"/>
              <w:rPr>
                <w:sz w:val="18"/>
                <w:szCs w:val="18"/>
                <w:highlight w:val="none"/>
              </w:rPr>
            </w:pPr>
            <w:r>
              <w:rPr>
                <w:sz w:val="18"/>
                <w:szCs w:val="18"/>
                <w:highlight w:val="none"/>
              </w:rPr>
              <w:t>文化活动广场</w:t>
            </w:r>
          </w:p>
        </w:tc>
        <w:tc>
          <w:tcPr>
            <w:tcW w:w="3511" w:type="pct"/>
            <w:noWrap w:val="0"/>
            <w:tcMar>
              <w:top w:w="15" w:type="dxa"/>
              <w:left w:w="15" w:type="dxa"/>
              <w:right w:w="15" w:type="dxa"/>
            </w:tcMar>
            <w:vAlign w:val="center"/>
          </w:tcPr>
          <w:p>
            <w:pPr>
              <w:widowControl/>
              <w:jc w:val="left"/>
              <w:textAlignment w:val="center"/>
              <w:rPr>
                <w:sz w:val="18"/>
                <w:szCs w:val="18"/>
                <w:highlight w:val="none"/>
              </w:rPr>
            </w:pPr>
            <w:r>
              <w:rPr>
                <w:sz w:val="18"/>
                <w:szCs w:val="18"/>
                <w:highlight w:val="none"/>
              </w:rPr>
              <w:t>村文化活动广场硬化560㎡，配置篮球架2套，建设器材1套，安置安全围栏63m，高度1</w:t>
            </w:r>
            <w:r>
              <w:rPr>
                <w:rFonts w:hint="eastAsia"/>
                <w:sz w:val="18"/>
                <w:szCs w:val="18"/>
                <w:highlight w:val="none"/>
              </w:rPr>
              <w:t>.2</w:t>
            </w:r>
            <w:r>
              <w:rPr>
                <w:sz w:val="18"/>
                <w:szCs w:val="18"/>
                <w:highlight w:val="none"/>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4" w:hRule="atLeast"/>
          <w:jc w:val="center"/>
        </w:trPr>
        <w:tc>
          <w:tcPr>
            <w:tcW w:w="196" w:type="pct"/>
            <w:noWrap w:val="0"/>
            <w:tcMar>
              <w:top w:w="15" w:type="dxa"/>
              <w:left w:w="15" w:type="dxa"/>
              <w:right w:w="15" w:type="dxa"/>
            </w:tcMar>
            <w:vAlign w:val="center"/>
          </w:tcPr>
          <w:p>
            <w:pPr>
              <w:widowControl/>
              <w:jc w:val="center"/>
              <w:textAlignment w:val="center"/>
              <w:rPr>
                <w:rFonts w:hint="eastAsia"/>
                <w:color w:val="000000"/>
                <w:sz w:val="18"/>
                <w:szCs w:val="18"/>
                <w:highlight w:val="none"/>
              </w:rPr>
            </w:pPr>
            <w:r>
              <w:rPr>
                <w:color w:val="000000"/>
                <w:kern w:val="0"/>
                <w:sz w:val="18"/>
                <w:szCs w:val="18"/>
                <w:highlight w:val="none"/>
                <w:lang w:bidi="ar"/>
              </w:rPr>
              <w:t>1</w:t>
            </w:r>
            <w:r>
              <w:rPr>
                <w:rFonts w:hint="eastAsia"/>
                <w:color w:val="000000"/>
                <w:kern w:val="0"/>
                <w:sz w:val="18"/>
                <w:szCs w:val="18"/>
                <w:highlight w:val="none"/>
                <w:lang w:bidi="ar"/>
              </w:rPr>
              <w:t>5</w:t>
            </w:r>
          </w:p>
        </w:tc>
        <w:tc>
          <w:tcPr>
            <w:tcW w:w="315" w:type="pct"/>
            <w:vMerge w:val="continue"/>
            <w:noWrap w:val="0"/>
            <w:tcMar>
              <w:top w:w="15" w:type="dxa"/>
              <w:left w:w="15" w:type="dxa"/>
              <w:right w:w="15" w:type="dxa"/>
            </w:tcMar>
            <w:vAlign w:val="center"/>
          </w:tcPr>
          <w:p>
            <w:pPr>
              <w:jc w:val="center"/>
              <w:rPr>
                <w:sz w:val="18"/>
                <w:szCs w:val="18"/>
                <w:highlight w:val="none"/>
              </w:rPr>
            </w:pPr>
          </w:p>
        </w:tc>
        <w:tc>
          <w:tcPr>
            <w:tcW w:w="432" w:type="pct"/>
            <w:noWrap w:val="0"/>
            <w:tcMar>
              <w:top w:w="15" w:type="dxa"/>
              <w:left w:w="15" w:type="dxa"/>
              <w:right w:w="15" w:type="dxa"/>
            </w:tcMar>
            <w:vAlign w:val="center"/>
          </w:tcPr>
          <w:p>
            <w:pPr>
              <w:widowControl/>
              <w:jc w:val="center"/>
              <w:textAlignment w:val="center"/>
              <w:rPr>
                <w:sz w:val="18"/>
                <w:szCs w:val="18"/>
                <w:highlight w:val="none"/>
              </w:rPr>
            </w:pPr>
            <w:r>
              <w:rPr>
                <w:sz w:val="18"/>
                <w:szCs w:val="18"/>
                <w:highlight w:val="none"/>
              </w:rPr>
              <w:t>北镇北村</w:t>
            </w:r>
          </w:p>
        </w:tc>
        <w:tc>
          <w:tcPr>
            <w:tcW w:w="545" w:type="pct"/>
            <w:noWrap w:val="0"/>
            <w:tcMar>
              <w:top w:w="15" w:type="dxa"/>
              <w:left w:w="15" w:type="dxa"/>
              <w:right w:w="15" w:type="dxa"/>
            </w:tcMar>
            <w:vAlign w:val="center"/>
          </w:tcPr>
          <w:p>
            <w:pPr>
              <w:widowControl/>
              <w:jc w:val="center"/>
              <w:textAlignment w:val="center"/>
              <w:rPr>
                <w:sz w:val="18"/>
                <w:szCs w:val="18"/>
                <w:highlight w:val="none"/>
              </w:rPr>
            </w:pPr>
            <w:r>
              <w:rPr>
                <w:rFonts w:hint="eastAsia"/>
                <w:sz w:val="18"/>
                <w:szCs w:val="18"/>
                <w:highlight w:val="none"/>
              </w:rPr>
              <w:t>农作路</w:t>
            </w:r>
            <w:r>
              <w:rPr>
                <w:sz w:val="18"/>
                <w:szCs w:val="18"/>
                <w:highlight w:val="none"/>
              </w:rPr>
              <w:t>工程</w:t>
            </w:r>
          </w:p>
        </w:tc>
        <w:tc>
          <w:tcPr>
            <w:tcW w:w="3511" w:type="pct"/>
            <w:noWrap w:val="0"/>
            <w:tcMar>
              <w:top w:w="15" w:type="dxa"/>
              <w:left w:w="15" w:type="dxa"/>
              <w:right w:w="15" w:type="dxa"/>
            </w:tcMar>
            <w:vAlign w:val="center"/>
          </w:tcPr>
          <w:p>
            <w:pPr>
              <w:widowControl/>
              <w:jc w:val="left"/>
              <w:textAlignment w:val="center"/>
              <w:rPr>
                <w:sz w:val="18"/>
                <w:szCs w:val="18"/>
                <w:highlight w:val="none"/>
              </w:rPr>
            </w:pPr>
            <w:r>
              <w:rPr>
                <w:sz w:val="18"/>
                <w:szCs w:val="18"/>
                <w:highlight w:val="none"/>
              </w:rPr>
              <w:t>硬化农作路793m，其中538m道路宽度2m，255m道路宽度3m；农作道路升级改造327m，道路宽度5m；砌筑浆砌石路肩墙261m，安置双波纹防撞护栏132m。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7" w:hRule="atLeast"/>
          <w:jc w:val="center"/>
        </w:trPr>
        <w:tc>
          <w:tcPr>
            <w:tcW w:w="196" w:type="pct"/>
            <w:noWrap w:val="0"/>
            <w:tcMar>
              <w:top w:w="15" w:type="dxa"/>
              <w:left w:w="15" w:type="dxa"/>
              <w:right w:w="15" w:type="dxa"/>
            </w:tcMar>
            <w:vAlign w:val="center"/>
          </w:tcPr>
          <w:p>
            <w:pPr>
              <w:widowControl/>
              <w:jc w:val="center"/>
              <w:textAlignment w:val="center"/>
              <w:rPr>
                <w:rFonts w:hint="eastAsia"/>
                <w:color w:val="000000"/>
                <w:sz w:val="18"/>
                <w:szCs w:val="18"/>
                <w:highlight w:val="none"/>
              </w:rPr>
            </w:pPr>
            <w:r>
              <w:rPr>
                <w:color w:val="000000"/>
                <w:kern w:val="0"/>
                <w:sz w:val="18"/>
                <w:szCs w:val="18"/>
                <w:highlight w:val="none"/>
                <w:lang w:bidi="ar"/>
              </w:rPr>
              <w:t>1</w:t>
            </w:r>
            <w:r>
              <w:rPr>
                <w:rFonts w:hint="eastAsia"/>
                <w:color w:val="000000"/>
                <w:kern w:val="0"/>
                <w:sz w:val="18"/>
                <w:szCs w:val="18"/>
                <w:highlight w:val="none"/>
                <w:lang w:bidi="ar"/>
              </w:rPr>
              <w:t>6</w:t>
            </w:r>
          </w:p>
        </w:tc>
        <w:tc>
          <w:tcPr>
            <w:tcW w:w="315" w:type="pct"/>
            <w:vMerge w:val="continue"/>
            <w:noWrap w:val="0"/>
            <w:tcMar>
              <w:top w:w="15" w:type="dxa"/>
              <w:left w:w="15" w:type="dxa"/>
              <w:right w:w="15" w:type="dxa"/>
            </w:tcMar>
            <w:vAlign w:val="center"/>
          </w:tcPr>
          <w:p>
            <w:pPr>
              <w:jc w:val="center"/>
              <w:rPr>
                <w:sz w:val="18"/>
                <w:szCs w:val="18"/>
                <w:highlight w:val="none"/>
              </w:rPr>
            </w:pPr>
          </w:p>
        </w:tc>
        <w:tc>
          <w:tcPr>
            <w:tcW w:w="432" w:type="pct"/>
            <w:noWrap w:val="0"/>
            <w:tcMar>
              <w:top w:w="15" w:type="dxa"/>
              <w:left w:w="15" w:type="dxa"/>
              <w:right w:w="15" w:type="dxa"/>
            </w:tcMar>
            <w:vAlign w:val="center"/>
          </w:tcPr>
          <w:p>
            <w:pPr>
              <w:widowControl/>
              <w:jc w:val="center"/>
              <w:textAlignment w:val="center"/>
              <w:rPr>
                <w:sz w:val="18"/>
                <w:szCs w:val="18"/>
                <w:highlight w:val="none"/>
              </w:rPr>
            </w:pPr>
            <w:r>
              <w:rPr>
                <w:sz w:val="18"/>
                <w:szCs w:val="18"/>
                <w:highlight w:val="none"/>
              </w:rPr>
              <w:t>横河口村</w:t>
            </w:r>
          </w:p>
        </w:tc>
        <w:tc>
          <w:tcPr>
            <w:tcW w:w="545" w:type="pct"/>
            <w:noWrap w:val="0"/>
            <w:tcMar>
              <w:top w:w="15" w:type="dxa"/>
              <w:left w:w="15" w:type="dxa"/>
              <w:right w:w="15" w:type="dxa"/>
            </w:tcMar>
            <w:vAlign w:val="center"/>
          </w:tcPr>
          <w:p>
            <w:pPr>
              <w:widowControl/>
              <w:jc w:val="center"/>
              <w:textAlignment w:val="center"/>
              <w:rPr>
                <w:sz w:val="18"/>
                <w:szCs w:val="18"/>
                <w:highlight w:val="none"/>
              </w:rPr>
            </w:pPr>
            <w:r>
              <w:rPr>
                <w:sz w:val="18"/>
                <w:szCs w:val="18"/>
                <w:highlight w:val="none"/>
              </w:rPr>
              <w:t>美丽家园</w:t>
            </w:r>
          </w:p>
        </w:tc>
        <w:tc>
          <w:tcPr>
            <w:tcW w:w="3511" w:type="pct"/>
            <w:noWrap w:val="0"/>
            <w:tcMar>
              <w:top w:w="15" w:type="dxa"/>
              <w:left w:w="15" w:type="dxa"/>
              <w:right w:w="15" w:type="dxa"/>
            </w:tcMar>
            <w:vAlign w:val="center"/>
          </w:tcPr>
          <w:p>
            <w:pPr>
              <w:widowControl/>
              <w:jc w:val="left"/>
              <w:textAlignment w:val="center"/>
              <w:rPr>
                <w:sz w:val="18"/>
                <w:szCs w:val="18"/>
                <w:highlight w:val="none"/>
              </w:rPr>
            </w:pPr>
            <w:r>
              <w:rPr>
                <w:sz w:val="18"/>
                <w:szCs w:val="18"/>
                <w:highlight w:val="none"/>
              </w:rPr>
              <w:t>新建太阳能路灯20盏；街道沿途1369m旧墙面美化。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2" w:hRule="atLeast"/>
          <w:jc w:val="center"/>
        </w:trPr>
        <w:tc>
          <w:tcPr>
            <w:tcW w:w="196" w:type="pct"/>
            <w:noWrap w:val="0"/>
            <w:tcMar>
              <w:top w:w="15" w:type="dxa"/>
              <w:left w:w="15" w:type="dxa"/>
              <w:right w:w="15" w:type="dxa"/>
            </w:tcMar>
            <w:vAlign w:val="center"/>
          </w:tcPr>
          <w:p>
            <w:pPr>
              <w:widowControl/>
              <w:jc w:val="center"/>
              <w:textAlignment w:val="center"/>
              <w:rPr>
                <w:color w:val="000000"/>
                <w:kern w:val="0"/>
                <w:sz w:val="18"/>
                <w:szCs w:val="18"/>
                <w:highlight w:val="none"/>
                <w:lang w:bidi="ar"/>
              </w:rPr>
            </w:pPr>
            <w:r>
              <w:rPr>
                <w:rFonts w:hint="eastAsia"/>
                <w:color w:val="000000"/>
                <w:kern w:val="0"/>
                <w:sz w:val="18"/>
                <w:szCs w:val="18"/>
                <w:highlight w:val="none"/>
                <w:lang w:bidi="ar"/>
              </w:rPr>
              <w:t>17</w:t>
            </w:r>
          </w:p>
        </w:tc>
        <w:tc>
          <w:tcPr>
            <w:tcW w:w="315" w:type="pct"/>
            <w:vMerge w:val="continue"/>
            <w:noWrap w:val="0"/>
            <w:tcMar>
              <w:top w:w="15" w:type="dxa"/>
              <w:left w:w="15" w:type="dxa"/>
              <w:right w:w="15" w:type="dxa"/>
            </w:tcMar>
            <w:vAlign w:val="center"/>
          </w:tcPr>
          <w:p>
            <w:pPr>
              <w:jc w:val="center"/>
              <w:rPr>
                <w:sz w:val="18"/>
                <w:szCs w:val="18"/>
                <w:highlight w:val="none"/>
              </w:rPr>
            </w:pPr>
          </w:p>
        </w:tc>
        <w:tc>
          <w:tcPr>
            <w:tcW w:w="432" w:type="pct"/>
            <w:noWrap w:val="0"/>
            <w:tcMar>
              <w:top w:w="15" w:type="dxa"/>
              <w:left w:w="15" w:type="dxa"/>
              <w:right w:w="15" w:type="dxa"/>
            </w:tcMar>
            <w:vAlign w:val="center"/>
          </w:tcPr>
          <w:p>
            <w:pPr>
              <w:widowControl/>
              <w:jc w:val="center"/>
              <w:textAlignment w:val="center"/>
              <w:rPr>
                <w:sz w:val="18"/>
                <w:szCs w:val="18"/>
                <w:highlight w:val="none"/>
              </w:rPr>
            </w:pPr>
            <w:r>
              <w:rPr>
                <w:sz w:val="18"/>
                <w:szCs w:val="18"/>
                <w:highlight w:val="none"/>
              </w:rPr>
              <w:t>灵山村</w:t>
            </w:r>
          </w:p>
        </w:tc>
        <w:tc>
          <w:tcPr>
            <w:tcW w:w="545" w:type="pct"/>
            <w:noWrap w:val="0"/>
            <w:tcMar>
              <w:top w:w="15" w:type="dxa"/>
              <w:left w:w="15" w:type="dxa"/>
              <w:right w:w="15" w:type="dxa"/>
            </w:tcMar>
            <w:vAlign w:val="center"/>
          </w:tcPr>
          <w:p>
            <w:pPr>
              <w:widowControl/>
              <w:jc w:val="center"/>
              <w:textAlignment w:val="center"/>
              <w:rPr>
                <w:sz w:val="18"/>
                <w:szCs w:val="18"/>
                <w:highlight w:val="none"/>
              </w:rPr>
            </w:pPr>
            <w:r>
              <w:rPr>
                <w:rFonts w:hint="eastAsia"/>
                <w:sz w:val="18"/>
                <w:szCs w:val="18"/>
                <w:highlight w:val="none"/>
              </w:rPr>
              <w:t>农作路</w:t>
            </w:r>
            <w:r>
              <w:rPr>
                <w:sz w:val="18"/>
                <w:szCs w:val="18"/>
                <w:highlight w:val="none"/>
              </w:rPr>
              <w:t>工程</w:t>
            </w:r>
          </w:p>
        </w:tc>
        <w:tc>
          <w:tcPr>
            <w:tcW w:w="3511" w:type="pct"/>
            <w:noWrap w:val="0"/>
            <w:tcMar>
              <w:top w:w="15" w:type="dxa"/>
              <w:left w:w="15" w:type="dxa"/>
              <w:right w:w="15" w:type="dxa"/>
            </w:tcMar>
            <w:vAlign w:val="center"/>
          </w:tcPr>
          <w:p>
            <w:pPr>
              <w:widowControl/>
              <w:jc w:val="left"/>
              <w:textAlignment w:val="center"/>
              <w:rPr>
                <w:sz w:val="18"/>
                <w:szCs w:val="18"/>
                <w:highlight w:val="none"/>
              </w:rPr>
            </w:pPr>
            <w:r>
              <w:rPr>
                <w:sz w:val="18"/>
                <w:szCs w:val="18"/>
                <w:highlight w:val="none"/>
              </w:rPr>
              <w:t>硬化农作路700m，宽度4m，沿途安置双波纹防撞护栏700m。</w:t>
            </w:r>
          </w:p>
        </w:tc>
      </w:tr>
    </w:tbl>
    <w:p>
      <w:pPr>
        <w:pStyle w:val="33"/>
        <w:ind w:firstLine="600" w:firstLineChars="200"/>
        <w:rPr>
          <w:rFonts w:hint="eastAsia" w:ascii="仿宋" w:hAnsi="仿宋" w:eastAsia="仿宋" w:cs="仿宋"/>
          <w:kern w:val="2"/>
          <w:sz w:val="30"/>
          <w:szCs w:val="30"/>
          <w:highlight w:val="none"/>
          <w:lang w:val="en-US" w:eastAsia="zh-CN" w:bidi="ar-SA"/>
        </w:rPr>
      </w:pPr>
      <w:r>
        <w:rPr>
          <w:rFonts w:hint="eastAsia" w:ascii="仿宋" w:hAnsi="仿宋" w:eastAsia="仿宋" w:cs="仿宋"/>
          <w:kern w:val="2"/>
          <w:sz w:val="30"/>
          <w:szCs w:val="30"/>
          <w:highlight w:val="none"/>
          <w:lang w:val="en-US" w:eastAsia="zh-CN" w:bidi="ar-SA"/>
        </w:rPr>
        <w:t>（六）投资规模:本项目总投资为1689万元，为中央直达资金。</w:t>
      </w:r>
    </w:p>
    <w:p>
      <w:pPr>
        <w:pageBreakBefore w:val="0"/>
        <w:kinsoku/>
        <w:wordWrap/>
        <w:overflowPunct/>
        <w:topLinePunct w:val="0"/>
        <w:autoSpaceDE/>
        <w:autoSpaceDN/>
        <w:bidi w:val="0"/>
        <w:adjustRightInd/>
        <w:snapToGrid/>
        <w:spacing w:line="560" w:lineRule="exact"/>
        <w:ind w:firstLine="600" w:firstLineChars="200"/>
        <w:rPr>
          <w:rFonts w:hint="default" w:ascii="仿宋" w:hAnsi="仿宋" w:eastAsia="仿宋" w:cs="仿宋"/>
          <w:sz w:val="30"/>
          <w:szCs w:val="30"/>
          <w:highlight w:val="none"/>
          <w:lang w:val="en-US" w:eastAsia="zh-CN"/>
        </w:rPr>
      </w:pPr>
      <w:r>
        <w:rPr>
          <w:rFonts w:hint="eastAsia" w:ascii="仿宋" w:hAnsi="仿宋" w:eastAsia="仿宋" w:cs="仿宋"/>
          <w:kern w:val="2"/>
          <w:sz w:val="30"/>
          <w:szCs w:val="30"/>
          <w:highlight w:val="none"/>
          <w:lang w:val="en-US" w:eastAsia="zh-CN" w:bidi="ar-SA"/>
        </w:rPr>
        <w:t>（七）项目计划</w:t>
      </w:r>
      <w:r>
        <w:rPr>
          <w:rFonts w:hint="default" w:ascii="仿宋" w:hAnsi="仿宋" w:eastAsia="仿宋" w:cs="仿宋"/>
          <w:kern w:val="2"/>
          <w:sz w:val="30"/>
          <w:szCs w:val="30"/>
          <w:highlight w:val="none"/>
          <w:lang w:val="en-US" w:eastAsia="zh-CN" w:bidi="ar-SA"/>
        </w:rPr>
        <w:t>建设期限</w:t>
      </w:r>
      <w:r>
        <w:rPr>
          <w:rFonts w:hint="eastAsia" w:ascii="仿宋" w:hAnsi="仿宋" w:eastAsia="仿宋" w:cs="仿宋"/>
          <w:kern w:val="2"/>
          <w:sz w:val="30"/>
          <w:szCs w:val="30"/>
          <w:highlight w:val="none"/>
          <w:lang w:val="en-US" w:eastAsia="zh-CN" w:bidi="ar-SA"/>
        </w:rPr>
        <w:t>：6个月</w:t>
      </w:r>
      <w:r>
        <w:rPr>
          <w:rFonts w:hint="default" w:ascii="仿宋" w:hAnsi="仿宋" w:eastAsia="仿宋" w:cs="仿宋"/>
          <w:sz w:val="30"/>
          <w:szCs w:val="30"/>
          <w:highlight w:val="none"/>
          <w:lang w:val="en-US" w:eastAsia="zh-CN"/>
        </w:rPr>
        <w:t>。</w:t>
      </w:r>
    </w:p>
    <w:p>
      <w:pPr>
        <w:pageBreakBefore w:val="0"/>
        <w:kinsoku/>
        <w:wordWrap/>
        <w:overflowPunct/>
        <w:topLinePunct w:val="0"/>
        <w:autoSpaceDE/>
        <w:autoSpaceDN/>
        <w:bidi w:val="0"/>
        <w:adjustRightInd/>
        <w:snapToGrid/>
        <w:spacing w:line="560" w:lineRule="exact"/>
        <w:ind w:firstLine="643" w:firstLineChars="200"/>
        <w:outlineLvl w:val="0"/>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val="en-US" w:eastAsia="zh-CN"/>
        </w:rPr>
        <w:t>三、</w:t>
      </w:r>
      <w:r>
        <w:rPr>
          <w:rFonts w:hint="eastAsia" w:ascii="仿宋" w:hAnsi="仿宋" w:eastAsia="仿宋" w:cs="仿宋"/>
          <w:b/>
          <w:bCs/>
          <w:sz w:val="32"/>
          <w:szCs w:val="32"/>
          <w:highlight w:val="none"/>
        </w:rPr>
        <w:t>项目资金使用情况</w:t>
      </w:r>
      <w:bookmarkEnd w:id="12"/>
      <w:bookmarkEnd w:id="13"/>
      <w:bookmarkEnd w:id="14"/>
      <w:bookmarkEnd w:id="15"/>
      <w:bookmarkEnd w:id="16"/>
      <w:bookmarkEnd w:id="17"/>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该项目实际于2021年6月完成项目立项，于2021年8月开展项目建设。</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曲阳县水利局：</w:t>
      </w:r>
      <w:r>
        <w:rPr>
          <w:rFonts w:hint="eastAsia" w:ascii="仿宋" w:hAnsi="仿宋" w:eastAsia="仿宋" w:cs="仿宋"/>
          <w:sz w:val="30"/>
          <w:szCs w:val="30"/>
          <w:highlight w:val="none"/>
          <w:lang w:val="en-US" w:eastAsia="zh-CN"/>
        </w:rPr>
        <w:t>截至评价日，该项目共安排政府财政预算资金1689</w:t>
      </w:r>
      <w:r>
        <w:rPr>
          <w:rFonts w:hint="eastAsia" w:ascii="仿宋" w:hAnsi="仿宋" w:eastAsia="仿宋" w:cs="仿宋"/>
          <w:sz w:val="30"/>
          <w:szCs w:val="30"/>
          <w:highlight w:val="none"/>
          <w:lang w:eastAsia="zh-CN"/>
        </w:rPr>
        <w:t>万元，</w:t>
      </w:r>
      <w:r>
        <w:rPr>
          <w:rFonts w:hint="eastAsia" w:ascii="仿宋" w:hAnsi="仿宋" w:eastAsia="仿宋" w:cs="仿宋"/>
          <w:sz w:val="30"/>
          <w:szCs w:val="30"/>
          <w:highlight w:val="none"/>
          <w:lang w:val="en-US" w:eastAsia="zh-CN"/>
        </w:rPr>
        <w:t>曲阳县水利局收到拨入项目资金1638.21万元，支出金额共计1638.21万元</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结余资金0.00万元。</w:t>
      </w:r>
      <w:r>
        <w:rPr>
          <w:rFonts w:hint="eastAsia" w:ascii="仿宋" w:hAnsi="仿宋" w:eastAsia="仿宋" w:cs="仿宋"/>
          <w:b w:val="0"/>
          <w:bCs w:val="0"/>
          <w:sz w:val="30"/>
          <w:szCs w:val="30"/>
          <w:highlight w:val="none"/>
          <w:lang w:val="en-US" w:eastAsia="zh-CN"/>
        </w:rPr>
        <w:t>具体见下表：</w:t>
      </w:r>
    </w:p>
    <w:p>
      <w:pPr>
        <w:pageBreakBefore w:val="0"/>
        <w:kinsoku/>
        <w:wordWrap/>
        <w:overflowPunct/>
        <w:topLinePunct w:val="0"/>
        <w:autoSpaceDE/>
        <w:autoSpaceDN/>
        <w:bidi w:val="0"/>
        <w:adjustRightInd/>
        <w:snapToGrid/>
        <w:spacing w:line="560" w:lineRule="exact"/>
        <w:jc w:val="center"/>
        <w:rPr>
          <w:rFonts w:hint="eastAsia" w:ascii="仿宋_GB2312" w:eastAsia="仿宋_GB2312" w:cs="Times New Roman"/>
          <w:b w:val="0"/>
          <w:bCs w:val="0"/>
          <w:color w:val="000000"/>
          <w:sz w:val="24"/>
          <w:szCs w:val="24"/>
          <w:highlight w:val="none"/>
        </w:rPr>
      </w:pPr>
      <w:r>
        <w:rPr>
          <w:rFonts w:hint="eastAsia" w:ascii="仿宋_GB2312" w:eastAsia="仿宋_GB2312" w:cs="Times New Roman"/>
          <w:b w:val="0"/>
          <w:bCs w:val="0"/>
          <w:color w:val="000000"/>
          <w:sz w:val="24"/>
          <w:szCs w:val="24"/>
          <w:highlight w:val="none"/>
        </w:rPr>
        <w:t xml:space="preserve"> </w:t>
      </w:r>
      <w:r>
        <w:rPr>
          <w:rFonts w:hint="eastAsia" w:ascii="仿宋" w:hAnsi="仿宋" w:eastAsia="仿宋" w:cs="仿宋"/>
          <w:sz w:val="30"/>
          <w:szCs w:val="30"/>
          <w:highlight w:val="none"/>
          <w:lang w:val="en-US" w:eastAsia="zh-CN"/>
        </w:rPr>
        <w:t>曲阳县水利局项目资金支出明细表</w:t>
      </w:r>
      <w:r>
        <w:rPr>
          <w:rFonts w:hint="eastAsia" w:ascii="仿宋_GB2312" w:eastAsia="仿宋_GB2312" w:cs="Times New Roman"/>
          <w:b w:val="0"/>
          <w:bCs w:val="0"/>
          <w:color w:val="000000"/>
          <w:sz w:val="24"/>
          <w:szCs w:val="24"/>
          <w:highlight w:val="none"/>
        </w:rPr>
        <w:t xml:space="preserve">                                                     </w:t>
      </w:r>
    </w:p>
    <w:p>
      <w:pPr>
        <w:widowControl/>
        <w:spacing w:line="560" w:lineRule="exact"/>
        <w:jc w:val="center"/>
        <w:textAlignment w:val="center"/>
        <w:rPr>
          <w:rFonts w:ascii="仿宋_GB2312" w:eastAsia="仿宋_GB2312" w:cs="Times New Roman"/>
          <w:b w:val="0"/>
          <w:bCs w:val="0"/>
          <w:color w:val="000000"/>
          <w:sz w:val="24"/>
          <w:szCs w:val="24"/>
          <w:highlight w:val="none"/>
        </w:rPr>
      </w:pPr>
      <w:r>
        <w:rPr>
          <w:rFonts w:hint="eastAsia" w:ascii="仿宋_GB2312" w:eastAsia="仿宋_GB2312" w:cs="Times New Roman"/>
          <w:b w:val="0"/>
          <w:bCs w:val="0"/>
          <w:color w:val="000000"/>
          <w:sz w:val="24"/>
          <w:szCs w:val="24"/>
          <w:highlight w:val="none"/>
          <w:lang w:val="en-US" w:eastAsia="zh-CN"/>
        </w:rPr>
        <w:t xml:space="preserve">                                                    </w:t>
      </w:r>
      <w:r>
        <w:rPr>
          <w:rFonts w:hint="eastAsia" w:ascii="仿宋_GB2312" w:eastAsia="仿宋_GB2312" w:cs="Times New Roman"/>
          <w:b w:val="0"/>
          <w:bCs w:val="0"/>
          <w:color w:val="000000"/>
          <w:sz w:val="24"/>
          <w:szCs w:val="24"/>
          <w:highlight w:val="none"/>
        </w:rPr>
        <w:t>单位：万元</w:t>
      </w:r>
    </w:p>
    <w:tbl>
      <w:tblPr>
        <w:tblStyle w:val="16"/>
        <w:tblW w:w="4271" w:type="pct"/>
        <w:tblInd w:w="1025" w:type="dxa"/>
        <w:tblLayout w:type="fixed"/>
        <w:tblCellMar>
          <w:top w:w="0" w:type="dxa"/>
          <w:left w:w="108" w:type="dxa"/>
          <w:bottom w:w="0" w:type="dxa"/>
          <w:right w:w="108" w:type="dxa"/>
        </w:tblCellMar>
      </w:tblPr>
      <w:tblGrid>
        <w:gridCol w:w="696"/>
        <w:gridCol w:w="3077"/>
        <w:gridCol w:w="2650"/>
        <w:gridCol w:w="1994"/>
      </w:tblGrid>
      <w:tr>
        <w:trPr>
          <w:trHeight w:val="632" w:hRule="atLeast"/>
        </w:trPr>
        <w:tc>
          <w:tcPr>
            <w:tcW w:w="413"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仿宋_GB2312" w:eastAsia="仿宋_GB2312" w:cs="Times New Roman"/>
                <w:b w:val="0"/>
                <w:bCs w:val="0"/>
                <w:color w:val="000000"/>
                <w:sz w:val="24"/>
                <w:szCs w:val="24"/>
                <w:highlight w:val="none"/>
                <w:lang w:val="en-US" w:eastAsia="zh-CN"/>
              </w:rPr>
            </w:pPr>
            <w:r>
              <w:rPr>
                <w:rFonts w:hint="eastAsia" w:ascii="仿宋_GB2312" w:eastAsia="仿宋_GB2312" w:cs="Times New Roman"/>
                <w:b w:val="0"/>
                <w:bCs w:val="0"/>
                <w:color w:val="000000"/>
                <w:sz w:val="24"/>
                <w:szCs w:val="24"/>
                <w:highlight w:val="none"/>
                <w:lang w:val="en-US" w:eastAsia="zh-CN"/>
              </w:rPr>
              <w:t>序号</w:t>
            </w:r>
          </w:p>
        </w:tc>
        <w:tc>
          <w:tcPr>
            <w:tcW w:w="1828" w:type="pct"/>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eastAsia="仿宋_GB2312" w:cs="Times New Roman"/>
                <w:b w:val="0"/>
                <w:bCs w:val="0"/>
                <w:color w:val="000000"/>
                <w:sz w:val="24"/>
                <w:szCs w:val="24"/>
                <w:highlight w:val="none"/>
                <w:lang w:val="en-US" w:eastAsia="zh-CN"/>
              </w:rPr>
            </w:pPr>
            <w:r>
              <w:rPr>
                <w:rFonts w:hint="eastAsia" w:ascii="仿宋_GB2312" w:eastAsia="仿宋_GB2312" w:cs="Times New Roman"/>
                <w:b w:val="0"/>
                <w:bCs w:val="0"/>
                <w:color w:val="000000"/>
                <w:sz w:val="24"/>
                <w:szCs w:val="24"/>
                <w:highlight w:val="none"/>
                <w:lang w:val="en-US" w:eastAsia="zh-CN"/>
              </w:rPr>
              <w:t>内容</w:t>
            </w:r>
          </w:p>
        </w:tc>
        <w:tc>
          <w:tcPr>
            <w:tcW w:w="1574" w:type="pct"/>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eastAsia="仿宋_GB2312" w:cs="Times New Roman"/>
                <w:b w:val="0"/>
                <w:bCs w:val="0"/>
                <w:color w:val="000000"/>
                <w:sz w:val="24"/>
                <w:szCs w:val="24"/>
                <w:highlight w:val="none"/>
                <w:lang w:val="en-US" w:eastAsia="zh-CN"/>
              </w:rPr>
            </w:pPr>
            <w:r>
              <w:rPr>
                <w:rFonts w:hint="eastAsia" w:ascii="仿宋_GB2312" w:eastAsia="仿宋_GB2312" w:cs="Times New Roman"/>
                <w:b w:val="0"/>
                <w:bCs w:val="0"/>
                <w:color w:val="000000"/>
                <w:sz w:val="24"/>
                <w:szCs w:val="24"/>
                <w:highlight w:val="none"/>
                <w:lang w:val="en-US" w:eastAsia="zh-CN"/>
              </w:rPr>
              <w:t>累计支付金额</w:t>
            </w:r>
          </w:p>
        </w:tc>
        <w:tc>
          <w:tcPr>
            <w:tcW w:w="1184" w:type="pct"/>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eastAsia="仿宋_GB2312" w:cs="Times New Roman"/>
                <w:b w:val="0"/>
                <w:bCs w:val="0"/>
                <w:color w:val="000000"/>
                <w:sz w:val="24"/>
                <w:szCs w:val="24"/>
                <w:highlight w:val="none"/>
                <w:lang w:val="en-US" w:eastAsia="zh-CN"/>
              </w:rPr>
            </w:pPr>
            <w:r>
              <w:rPr>
                <w:rFonts w:hint="eastAsia" w:ascii="仿宋_GB2312" w:eastAsia="仿宋_GB2312" w:cs="Times New Roman"/>
                <w:b w:val="0"/>
                <w:bCs w:val="0"/>
                <w:color w:val="000000"/>
                <w:sz w:val="24"/>
                <w:szCs w:val="24"/>
                <w:highlight w:val="none"/>
                <w:lang w:val="en-US" w:eastAsia="zh-CN"/>
              </w:rPr>
              <w:t>备注</w:t>
            </w:r>
          </w:p>
        </w:tc>
      </w:tr>
      <w:tr>
        <w:tblPrEx>
          <w:tblCellMar>
            <w:top w:w="0" w:type="dxa"/>
            <w:left w:w="108" w:type="dxa"/>
            <w:bottom w:w="0" w:type="dxa"/>
            <w:right w:w="108" w:type="dxa"/>
          </w:tblCellMar>
        </w:tblPrEx>
        <w:trPr>
          <w:trHeight w:val="632" w:hRule="atLeast"/>
        </w:trPr>
        <w:tc>
          <w:tcPr>
            <w:tcW w:w="413"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仿宋_GB2312" w:eastAsia="仿宋_GB2312" w:cs="Times New Roman"/>
                <w:b w:val="0"/>
                <w:bCs w:val="0"/>
                <w:color w:val="000000"/>
                <w:sz w:val="24"/>
                <w:szCs w:val="24"/>
                <w:highlight w:val="none"/>
                <w:lang w:val="en-US" w:eastAsia="zh-CN"/>
              </w:rPr>
            </w:pPr>
            <w:r>
              <w:rPr>
                <w:rFonts w:hint="eastAsia" w:ascii="仿宋_GB2312" w:eastAsia="仿宋_GB2312" w:cs="Times New Roman"/>
                <w:b w:val="0"/>
                <w:bCs w:val="0"/>
                <w:color w:val="000000"/>
                <w:sz w:val="24"/>
                <w:szCs w:val="24"/>
                <w:highlight w:val="none"/>
                <w:lang w:val="en-US" w:eastAsia="zh-CN"/>
              </w:rPr>
              <w:t>1</w:t>
            </w:r>
          </w:p>
        </w:tc>
        <w:tc>
          <w:tcPr>
            <w:tcW w:w="1828" w:type="pct"/>
            <w:tcBorders>
              <w:top w:val="single" w:color="auto" w:sz="4" w:space="0"/>
              <w:left w:val="nil"/>
              <w:bottom w:val="single" w:color="auto" w:sz="4" w:space="0"/>
              <w:right w:val="single" w:color="auto" w:sz="4" w:space="0"/>
            </w:tcBorders>
            <w:noWrap/>
            <w:vAlign w:val="center"/>
          </w:tcPr>
          <w:p>
            <w:pPr>
              <w:widowControl/>
              <w:jc w:val="center"/>
              <w:rPr>
                <w:rFonts w:hint="default" w:ascii="仿宋_GB2312" w:eastAsia="仿宋_GB2312" w:cs="Times New Roman"/>
                <w:b w:val="0"/>
                <w:bCs w:val="0"/>
                <w:color w:val="000000"/>
                <w:sz w:val="24"/>
                <w:szCs w:val="24"/>
                <w:highlight w:val="none"/>
                <w:lang w:val="en-US" w:eastAsia="zh-CN"/>
              </w:rPr>
            </w:pPr>
            <w:r>
              <w:rPr>
                <w:rFonts w:hint="eastAsia" w:ascii="仿宋_GB2312" w:eastAsia="仿宋_GB2312" w:cs="Times New Roman"/>
                <w:b w:val="0"/>
                <w:bCs w:val="0"/>
                <w:color w:val="000000"/>
                <w:sz w:val="24"/>
                <w:szCs w:val="24"/>
                <w:highlight w:val="none"/>
                <w:lang w:val="en-US" w:eastAsia="zh-CN"/>
              </w:rPr>
              <w:t>设计费</w:t>
            </w:r>
          </w:p>
        </w:tc>
        <w:tc>
          <w:tcPr>
            <w:tcW w:w="1574" w:type="pct"/>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eastAsia="仿宋_GB2312" w:cs="Times New Roman"/>
                <w:b w:val="0"/>
                <w:bCs w:val="0"/>
                <w:color w:val="000000"/>
                <w:sz w:val="24"/>
                <w:szCs w:val="24"/>
                <w:highlight w:val="none"/>
                <w:lang w:val="en-US" w:eastAsia="zh-CN"/>
              </w:rPr>
            </w:pPr>
            <w:r>
              <w:rPr>
                <w:rFonts w:hint="default" w:ascii="仿宋_GB2312" w:hAnsi="宋体" w:eastAsia="仿宋_GB2312" w:cs="仿宋_GB2312"/>
                <w:i w:val="0"/>
                <w:iCs w:val="0"/>
                <w:color w:val="000000"/>
                <w:kern w:val="0"/>
                <w:sz w:val="24"/>
                <w:szCs w:val="24"/>
                <w:u w:val="none"/>
                <w:lang w:val="en-US" w:eastAsia="zh-CN" w:bidi="ar"/>
              </w:rPr>
              <w:t xml:space="preserve">48.20 </w:t>
            </w:r>
          </w:p>
        </w:tc>
        <w:tc>
          <w:tcPr>
            <w:tcW w:w="1184" w:type="pct"/>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eastAsia="仿宋_GB2312" w:cs="Times New Roman"/>
                <w:b w:val="0"/>
                <w:bCs w:val="0"/>
                <w:color w:val="000000"/>
                <w:sz w:val="24"/>
                <w:szCs w:val="24"/>
                <w:highlight w:val="none"/>
                <w:lang w:val="en-US" w:eastAsia="zh-CN"/>
              </w:rPr>
            </w:pPr>
          </w:p>
        </w:tc>
      </w:tr>
      <w:tr>
        <w:trPr>
          <w:trHeight w:val="632" w:hRule="atLeast"/>
        </w:trPr>
        <w:tc>
          <w:tcPr>
            <w:tcW w:w="413"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仿宋_GB2312" w:eastAsia="仿宋_GB2312" w:cs="Times New Roman"/>
                <w:b w:val="0"/>
                <w:bCs w:val="0"/>
                <w:color w:val="000000"/>
                <w:sz w:val="24"/>
                <w:szCs w:val="24"/>
                <w:highlight w:val="none"/>
                <w:lang w:val="en-US" w:eastAsia="zh-CN"/>
              </w:rPr>
            </w:pPr>
            <w:r>
              <w:rPr>
                <w:rFonts w:hint="eastAsia" w:ascii="仿宋_GB2312" w:eastAsia="仿宋_GB2312" w:cs="Times New Roman"/>
                <w:b w:val="0"/>
                <w:bCs w:val="0"/>
                <w:color w:val="000000"/>
                <w:sz w:val="24"/>
                <w:szCs w:val="24"/>
                <w:highlight w:val="none"/>
                <w:lang w:val="en-US" w:eastAsia="zh-CN"/>
              </w:rPr>
              <w:t>2</w:t>
            </w:r>
          </w:p>
        </w:tc>
        <w:tc>
          <w:tcPr>
            <w:tcW w:w="1828" w:type="pct"/>
            <w:tcBorders>
              <w:top w:val="single" w:color="auto" w:sz="4" w:space="0"/>
              <w:left w:val="nil"/>
              <w:bottom w:val="single" w:color="auto" w:sz="4" w:space="0"/>
              <w:right w:val="single" w:color="auto" w:sz="4" w:space="0"/>
            </w:tcBorders>
            <w:noWrap/>
            <w:vAlign w:val="center"/>
          </w:tcPr>
          <w:p>
            <w:pPr>
              <w:widowControl/>
              <w:jc w:val="center"/>
              <w:rPr>
                <w:rFonts w:hint="default" w:ascii="仿宋_GB2312" w:eastAsia="仿宋_GB2312" w:cs="Times New Roman"/>
                <w:b w:val="0"/>
                <w:bCs w:val="0"/>
                <w:color w:val="000000"/>
                <w:sz w:val="24"/>
                <w:szCs w:val="24"/>
                <w:highlight w:val="none"/>
                <w:lang w:val="en-US" w:eastAsia="zh-CN"/>
              </w:rPr>
            </w:pPr>
            <w:r>
              <w:rPr>
                <w:rFonts w:hint="eastAsia" w:ascii="仿宋_GB2312" w:eastAsia="仿宋_GB2312" w:cs="Times New Roman"/>
                <w:b w:val="0"/>
                <w:bCs w:val="0"/>
                <w:color w:val="000000"/>
                <w:sz w:val="24"/>
                <w:szCs w:val="24"/>
                <w:highlight w:val="none"/>
                <w:lang w:val="en-US" w:eastAsia="zh-CN"/>
              </w:rPr>
              <w:t>工程款</w:t>
            </w:r>
          </w:p>
        </w:tc>
        <w:tc>
          <w:tcPr>
            <w:tcW w:w="1574" w:type="pct"/>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eastAsia="仿宋_GB2312" w:cs="Times New Roman"/>
                <w:b w:val="0"/>
                <w:bCs w:val="0"/>
                <w:color w:val="000000"/>
                <w:sz w:val="24"/>
                <w:szCs w:val="24"/>
                <w:highlight w:val="none"/>
                <w:lang w:val="en-US" w:eastAsia="zh-CN"/>
              </w:rPr>
            </w:pPr>
            <w:r>
              <w:rPr>
                <w:rFonts w:hint="default" w:ascii="仿宋_GB2312" w:hAnsi="宋体" w:eastAsia="仿宋_GB2312" w:cs="仿宋_GB2312"/>
                <w:i w:val="0"/>
                <w:iCs w:val="0"/>
                <w:color w:val="000000"/>
                <w:kern w:val="0"/>
                <w:sz w:val="24"/>
                <w:szCs w:val="24"/>
                <w:u w:val="none"/>
                <w:lang w:val="en-US" w:eastAsia="zh-CN" w:bidi="ar"/>
              </w:rPr>
              <w:t xml:space="preserve">1,551.01 </w:t>
            </w:r>
          </w:p>
        </w:tc>
        <w:tc>
          <w:tcPr>
            <w:tcW w:w="1184" w:type="pct"/>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eastAsia="仿宋_GB2312" w:cs="Times New Roman"/>
                <w:b w:val="0"/>
                <w:bCs w:val="0"/>
                <w:color w:val="000000"/>
                <w:sz w:val="24"/>
                <w:szCs w:val="24"/>
                <w:highlight w:val="none"/>
                <w:lang w:val="en-US" w:eastAsia="zh-CN"/>
              </w:rPr>
            </w:pPr>
          </w:p>
        </w:tc>
      </w:tr>
      <w:tr>
        <w:trPr>
          <w:trHeight w:val="632" w:hRule="atLeast"/>
        </w:trPr>
        <w:tc>
          <w:tcPr>
            <w:tcW w:w="413"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仿宋_GB2312" w:eastAsia="仿宋_GB2312" w:cs="Times New Roman"/>
                <w:b w:val="0"/>
                <w:bCs w:val="0"/>
                <w:color w:val="000000"/>
                <w:sz w:val="24"/>
                <w:szCs w:val="24"/>
                <w:highlight w:val="none"/>
                <w:lang w:val="en-US" w:eastAsia="zh-CN"/>
              </w:rPr>
            </w:pPr>
            <w:r>
              <w:rPr>
                <w:rFonts w:hint="eastAsia" w:ascii="仿宋_GB2312" w:eastAsia="仿宋_GB2312" w:cs="Times New Roman"/>
                <w:b w:val="0"/>
                <w:bCs w:val="0"/>
                <w:color w:val="000000"/>
                <w:sz w:val="24"/>
                <w:szCs w:val="24"/>
                <w:highlight w:val="none"/>
                <w:lang w:val="en-US" w:eastAsia="zh-CN"/>
              </w:rPr>
              <w:t>3</w:t>
            </w:r>
          </w:p>
        </w:tc>
        <w:tc>
          <w:tcPr>
            <w:tcW w:w="1828" w:type="pct"/>
            <w:tcBorders>
              <w:top w:val="single" w:color="auto" w:sz="4" w:space="0"/>
              <w:left w:val="nil"/>
              <w:bottom w:val="single" w:color="auto" w:sz="4" w:space="0"/>
              <w:right w:val="single" w:color="auto" w:sz="4" w:space="0"/>
            </w:tcBorders>
            <w:noWrap/>
            <w:vAlign w:val="center"/>
          </w:tcPr>
          <w:p>
            <w:pPr>
              <w:widowControl/>
              <w:jc w:val="center"/>
              <w:rPr>
                <w:rFonts w:hint="default" w:ascii="仿宋_GB2312" w:eastAsia="仿宋_GB2312" w:cs="Times New Roman"/>
                <w:b w:val="0"/>
                <w:bCs w:val="0"/>
                <w:color w:val="000000"/>
                <w:sz w:val="24"/>
                <w:szCs w:val="24"/>
                <w:highlight w:val="none"/>
                <w:lang w:val="en-US" w:eastAsia="zh-CN"/>
              </w:rPr>
            </w:pPr>
            <w:r>
              <w:rPr>
                <w:rFonts w:hint="eastAsia" w:ascii="仿宋_GB2312" w:eastAsia="仿宋_GB2312" w:cs="Times New Roman"/>
                <w:b w:val="0"/>
                <w:bCs w:val="0"/>
                <w:color w:val="000000"/>
                <w:sz w:val="24"/>
                <w:szCs w:val="24"/>
                <w:highlight w:val="none"/>
                <w:lang w:val="en-US" w:eastAsia="zh-CN"/>
              </w:rPr>
              <w:t>监理费</w:t>
            </w:r>
          </w:p>
        </w:tc>
        <w:tc>
          <w:tcPr>
            <w:tcW w:w="1574" w:type="pct"/>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eastAsia="仿宋_GB2312" w:cs="Times New Roman"/>
                <w:b w:val="0"/>
                <w:bCs w:val="0"/>
                <w:color w:val="000000"/>
                <w:sz w:val="24"/>
                <w:szCs w:val="24"/>
                <w:highlight w:val="none"/>
                <w:lang w:val="en-US" w:eastAsia="zh-CN"/>
              </w:rPr>
            </w:pPr>
            <w:r>
              <w:rPr>
                <w:rFonts w:hint="default" w:ascii="仿宋_GB2312" w:hAnsi="宋体" w:eastAsia="仿宋_GB2312" w:cs="仿宋_GB2312"/>
                <w:i w:val="0"/>
                <w:iCs w:val="0"/>
                <w:color w:val="000000"/>
                <w:kern w:val="0"/>
                <w:sz w:val="24"/>
                <w:szCs w:val="24"/>
                <w:u w:val="none"/>
                <w:lang w:val="en-US" w:eastAsia="zh-CN" w:bidi="ar"/>
              </w:rPr>
              <w:t xml:space="preserve">24.00 </w:t>
            </w:r>
          </w:p>
        </w:tc>
        <w:tc>
          <w:tcPr>
            <w:tcW w:w="1184" w:type="pct"/>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eastAsia="仿宋_GB2312" w:cs="Times New Roman"/>
                <w:b w:val="0"/>
                <w:bCs w:val="0"/>
                <w:color w:val="000000"/>
                <w:sz w:val="24"/>
                <w:szCs w:val="24"/>
                <w:highlight w:val="none"/>
                <w:lang w:val="en-US" w:eastAsia="zh-CN"/>
              </w:rPr>
            </w:pPr>
          </w:p>
        </w:tc>
      </w:tr>
      <w:tr>
        <w:trPr>
          <w:trHeight w:val="686" w:hRule="atLeast"/>
        </w:trPr>
        <w:tc>
          <w:tcPr>
            <w:tcW w:w="413" w:type="pct"/>
            <w:tcBorders>
              <w:top w:val="single" w:color="auto" w:sz="4" w:space="0"/>
              <w:left w:val="single" w:color="auto" w:sz="4" w:space="0"/>
              <w:bottom w:val="single" w:color="auto" w:sz="4" w:space="0"/>
              <w:right w:val="single" w:color="auto" w:sz="4" w:space="0"/>
            </w:tcBorders>
            <w:noWrap/>
            <w:vAlign w:val="center"/>
          </w:tcPr>
          <w:p>
            <w:pPr>
              <w:jc w:val="center"/>
              <w:rPr>
                <w:rFonts w:hint="eastAsia" w:ascii="仿宋_GB2312" w:eastAsia="仿宋_GB2312" w:cs="Times New Roman"/>
                <w:b w:val="0"/>
                <w:bCs w:val="0"/>
                <w:color w:val="000000"/>
                <w:sz w:val="24"/>
                <w:szCs w:val="24"/>
                <w:highlight w:val="none"/>
                <w:lang w:val="en-US" w:eastAsia="zh-CN"/>
              </w:rPr>
            </w:pPr>
            <w:r>
              <w:rPr>
                <w:rFonts w:hint="eastAsia" w:ascii="仿宋_GB2312" w:eastAsia="仿宋_GB2312" w:cs="Times New Roman"/>
                <w:b w:val="0"/>
                <w:bCs w:val="0"/>
                <w:color w:val="000000"/>
                <w:sz w:val="24"/>
                <w:szCs w:val="24"/>
                <w:highlight w:val="none"/>
                <w:lang w:val="en-US" w:eastAsia="zh-CN"/>
              </w:rPr>
              <w:t>4</w:t>
            </w:r>
          </w:p>
        </w:tc>
        <w:tc>
          <w:tcPr>
            <w:tcW w:w="1828"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仿宋_GB2312" w:eastAsia="仿宋_GB2312" w:cs="Times New Roman"/>
                <w:b w:val="0"/>
                <w:bCs w:val="0"/>
                <w:color w:val="000000"/>
                <w:sz w:val="24"/>
                <w:szCs w:val="24"/>
                <w:highlight w:val="none"/>
                <w:lang w:val="en-US" w:eastAsia="zh-CN"/>
              </w:rPr>
            </w:pPr>
            <w:r>
              <w:rPr>
                <w:rFonts w:hint="eastAsia" w:ascii="仿宋_GB2312" w:eastAsia="仿宋_GB2312" w:cs="Times New Roman"/>
                <w:b w:val="0"/>
                <w:bCs w:val="0"/>
                <w:color w:val="000000"/>
                <w:sz w:val="24"/>
                <w:szCs w:val="24"/>
                <w:highlight w:val="none"/>
                <w:lang w:val="en-US" w:eastAsia="zh-CN"/>
              </w:rPr>
              <w:t>技术服务费</w:t>
            </w:r>
          </w:p>
        </w:tc>
        <w:tc>
          <w:tcPr>
            <w:tcW w:w="1574"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13</w:t>
            </w:r>
            <w:r>
              <w:rPr>
                <w:rFonts w:hint="default" w:ascii="仿宋_GB2312" w:hAnsi="宋体" w:eastAsia="仿宋_GB2312" w:cs="仿宋_GB2312"/>
                <w:i w:val="0"/>
                <w:iCs w:val="0"/>
                <w:color w:val="000000"/>
                <w:kern w:val="0"/>
                <w:sz w:val="24"/>
                <w:szCs w:val="24"/>
                <w:u w:val="none"/>
                <w:lang w:val="en-US" w:eastAsia="zh-CN" w:bidi="ar"/>
              </w:rPr>
              <w:t xml:space="preserve">.00 </w:t>
            </w:r>
          </w:p>
        </w:tc>
        <w:tc>
          <w:tcPr>
            <w:tcW w:w="1184"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4"/>
                <w:szCs w:val="24"/>
                <w:u w:val="none"/>
                <w:lang w:val="en-US" w:eastAsia="zh-CN" w:bidi="ar"/>
              </w:rPr>
            </w:pPr>
          </w:p>
        </w:tc>
      </w:tr>
      <w:tr>
        <w:trPr>
          <w:trHeight w:val="686" w:hRule="atLeast"/>
        </w:trPr>
        <w:tc>
          <w:tcPr>
            <w:tcW w:w="413" w:type="pct"/>
            <w:tcBorders>
              <w:top w:val="single" w:color="auto" w:sz="4" w:space="0"/>
              <w:left w:val="single" w:color="auto" w:sz="4" w:space="0"/>
              <w:bottom w:val="single" w:color="auto" w:sz="4" w:space="0"/>
              <w:right w:val="single" w:color="auto" w:sz="4" w:space="0"/>
            </w:tcBorders>
            <w:noWrap/>
            <w:vAlign w:val="center"/>
          </w:tcPr>
          <w:p>
            <w:pPr>
              <w:jc w:val="center"/>
              <w:rPr>
                <w:rFonts w:hint="eastAsia" w:ascii="仿宋_GB2312" w:eastAsia="仿宋_GB2312" w:cs="Times New Roman"/>
                <w:b w:val="0"/>
                <w:bCs w:val="0"/>
                <w:color w:val="000000"/>
                <w:sz w:val="24"/>
                <w:szCs w:val="24"/>
                <w:highlight w:val="none"/>
                <w:lang w:val="en-US" w:eastAsia="zh-CN"/>
              </w:rPr>
            </w:pPr>
            <w:r>
              <w:rPr>
                <w:rFonts w:hint="eastAsia" w:ascii="仿宋_GB2312" w:eastAsia="仿宋_GB2312" w:cs="Times New Roman"/>
                <w:b w:val="0"/>
                <w:bCs w:val="0"/>
                <w:color w:val="000000"/>
                <w:sz w:val="24"/>
                <w:szCs w:val="24"/>
                <w:highlight w:val="none"/>
                <w:lang w:val="en-US" w:eastAsia="zh-CN"/>
              </w:rPr>
              <w:t>5</w:t>
            </w:r>
          </w:p>
        </w:tc>
        <w:tc>
          <w:tcPr>
            <w:tcW w:w="1828"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仿宋_GB2312" w:eastAsia="仿宋_GB2312" w:cs="Times New Roman"/>
                <w:b w:val="0"/>
                <w:bCs w:val="0"/>
                <w:color w:val="000000"/>
                <w:sz w:val="24"/>
                <w:szCs w:val="24"/>
                <w:highlight w:val="none"/>
                <w:lang w:val="en-US" w:eastAsia="zh-CN"/>
              </w:rPr>
            </w:pPr>
            <w:r>
              <w:rPr>
                <w:rFonts w:hint="eastAsia" w:ascii="仿宋_GB2312" w:eastAsia="仿宋_GB2312" w:cs="Times New Roman"/>
                <w:b w:val="0"/>
                <w:bCs w:val="0"/>
                <w:color w:val="000000"/>
                <w:sz w:val="24"/>
                <w:szCs w:val="24"/>
                <w:highlight w:val="none"/>
                <w:lang w:val="en-US" w:eastAsia="zh-CN"/>
              </w:rPr>
              <w:t>审计费</w:t>
            </w:r>
          </w:p>
        </w:tc>
        <w:tc>
          <w:tcPr>
            <w:tcW w:w="1574"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4"/>
                <w:szCs w:val="24"/>
                <w:u w:val="none"/>
                <w:lang w:val="en-US" w:eastAsia="zh-CN" w:bidi="ar"/>
              </w:rPr>
            </w:pPr>
            <w:r>
              <w:rPr>
                <w:rFonts w:hint="default" w:ascii="仿宋_GB2312" w:hAnsi="宋体" w:eastAsia="仿宋_GB2312" w:cs="仿宋_GB2312"/>
                <w:i w:val="0"/>
                <w:iCs w:val="0"/>
                <w:color w:val="000000"/>
                <w:kern w:val="0"/>
                <w:sz w:val="24"/>
                <w:szCs w:val="24"/>
                <w:u w:val="none"/>
                <w:lang w:val="en-US" w:eastAsia="zh-CN" w:bidi="ar"/>
              </w:rPr>
              <w:t xml:space="preserve">2.00 </w:t>
            </w:r>
          </w:p>
        </w:tc>
        <w:tc>
          <w:tcPr>
            <w:tcW w:w="1184"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4"/>
                <w:szCs w:val="24"/>
                <w:u w:val="none"/>
                <w:lang w:val="en-US" w:eastAsia="zh-CN" w:bidi="ar"/>
              </w:rPr>
            </w:pPr>
          </w:p>
        </w:tc>
      </w:tr>
      <w:tr>
        <w:trPr>
          <w:trHeight w:val="686" w:hRule="atLeast"/>
        </w:trPr>
        <w:tc>
          <w:tcPr>
            <w:tcW w:w="413" w:type="pct"/>
            <w:tcBorders>
              <w:top w:val="single" w:color="auto" w:sz="4" w:space="0"/>
              <w:left w:val="single" w:color="auto" w:sz="4" w:space="0"/>
              <w:bottom w:val="single" w:color="auto" w:sz="4" w:space="0"/>
              <w:right w:val="single" w:color="auto" w:sz="4" w:space="0"/>
            </w:tcBorders>
            <w:noWrap/>
            <w:vAlign w:val="center"/>
          </w:tcPr>
          <w:p>
            <w:pPr>
              <w:rPr>
                <w:rFonts w:hint="eastAsia" w:ascii="仿宋_GB2312" w:eastAsia="仿宋_GB2312" w:cs="Times New Roman"/>
                <w:b w:val="0"/>
                <w:bCs w:val="0"/>
                <w:color w:val="000000"/>
                <w:sz w:val="24"/>
                <w:szCs w:val="24"/>
                <w:highlight w:val="none"/>
                <w:lang w:val="en-US" w:eastAsia="zh-CN"/>
              </w:rPr>
            </w:pPr>
          </w:p>
        </w:tc>
        <w:tc>
          <w:tcPr>
            <w:tcW w:w="1828"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eastAsia="仿宋_GB2312" w:cs="Times New Roman"/>
                <w:b/>
                <w:bCs/>
                <w:color w:val="000000"/>
                <w:sz w:val="24"/>
                <w:szCs w:val="24"/>
                <w:highlight w:val="none"/>
                <w:lang w:val="en-US" w:eastAsia="zh-CN"/>
              </w:rPr>
            </w:pPr>
            <w:r>
              <w:rPr>
                <w:rFonts w:hint="eastAsia" w:ascii="仿宋_GB2312" w:eastAsia="仿宋_GB2312" w:cs="Times New Roman"/>
                <w:b/>
                <w:bCs/>
                <w:color w:val="000000"/>
                <w:sz w:val="24"/>
                <w:szCs w:val="24"/>
                <w:highlight w:val="none"/>
                <w:lang w:val="en-US" w:eastAsia="zh-CN"/>
              </w:rPr>
              <w:t>合计</w:t>
            </w:r>
          </w:p>
        </w:tc>
        <w:tc>
          <w:tcPr>
            <w:tcW w:w="1574"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4"/>
                <w:szCs w:val="24"/>
                <w:u w:val="none"/>
                <w:lang w:val="en-US" w:eastAsia="zh-CN" w:bidi="ar"/>
              </w:rPr>
            </w:pPr>
            <w:r>
              <w:rPr>
                <w:rFonts w:hint="eastAsia" w:ascii="仿宋_GB2312" w:hAnsi="宋体" w:eastAsia="仿宋_GB2312" w:cs="仿宋_GB2312"/>
                <w:b/>
                <w:bCs/>
                <w:i w:val="0"/>
                <w:iCs w:val="0"/>
                <w:color w:val="000000"/>
                <w:kern w:val="0"/>
                <w:sz w:val="24"/>
                <w:szCs w:val="24"/>
                <w:u w:val="none"/>
                <w:lang w:val="en-US" w:eastAsia="zh-CN" w:bidi="ar"/>
              </w:rPr>
              <w:t>1638.21</w:t>
            </w:r>
          </w:p>
        </w:tc>
        <w:tc>
          <w:tcPr>
            <w:tcW w:w="1184" w:type="pct"/>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4"/>
                <w:szCs w:val="24"/>
                <w:u w:val="none"/>
                <w:lang w:val="en-US" w:eastAsia="zh-CN" w:bidi="ar"/>
              </w:rPr>
            </w:pPr>
          </w:p>
        </w:tc>
      </w:tr>
    </w:tbl>
    <w:p>
      <w:pPr>
        <w:pStyle w:val="2"/>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left="562" w:leftChars="0"/>
        <w:jc w:val="left"/>
        <w:textAlignment w:val="auto"/>
        <w:rPr>
          <w:rFonts w:hint="eastAsia" w:ascii="仿宋" w:hAnsi="仿宋" w:eastAsia="仿宋" w:cs="仿宋"/>
          <w:b/>
          <w:bCs/>
          <w:sz w:val="30"/>
          <w:szCs w:val="30"/>
          <w:highlight w:val="none"/>
          <w:lang w:val="en-US" w:eastAsia="zh-CN"/>
        </w:rPr>
      </w:pPr>
      <w:bookmarkStart w:id="18" w:name="_Toc14351"/>
      <w:bookmarkStart w:id="19" w:name="_Toc83631030"/>
      <w:bookmarkStart w:id="20" w:name="_Toc18734"/>
      <w:bookmarkStart w:id="21" w:name="_Toc21592"/>
      <w:bookmarkStart w:id="22" w:name="_Toc83630320"/>
      <w:bookmarkStart w:id="23" w:name="_Toc21403"/>
      <w:r>
        <w:rPr>
          <w:rFonts w:hint="eastAsia" w:ascii="仿宋" w:hAnsi="仿宋" w:eastAsia="仿宋" w:cs="仿宋"/>
          <w:b/>
          <w:bCs/>
          <w:sz w:val="30"/>
          <w:szCs w:val="30"/>
          <w:highlight w:val="none"/>
          <w:lang w:val="en-US" w:eastAsia="zh-CN"/>
        </w:rPr>
        <w:t>四、绩效评价工作开展情况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（一）绩效评价目的</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为了进一步强化部门支出责任，提高部门绩效意识，优化资源配置，控制节约成本，切实提供项目资金管理水平和使用效益，及时掌握项目在执行过程中产生的效果和存在的不足，特别是在资金使用方面，将评价结果与当年预算安排挂钩，作为预算合法有效执行的重要保障，并作为完善政策、分配资金、改善管理的重要依据。</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绩效评价设计过程</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1</w:t>
      </w:r>
      <w:r>
        <w:rPr>
          <w:rFonts w:hint="eastAsia" w:ascii="仿宋" w:hAnsi="仿宋" w:eastAsia="仿宋" w:cs="仿宋"/>
          <w:sz w:val="30"/>
          <w:szCs w:val="30"/>
          <w:highlight w:val="none"/>
          <w:lang w:eastAsia="zh-CN"/>
        </w:rPr>
        <w:t>.收集资料</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工作组在项目实施单位收集、整理被评价项目基础资料及相关信息，对项目情况进行初步了解。</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lang w:eastAsia="zh-CN"/>
        </w:rPr>
        <w:t>.绩效评价具体实施</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我们通过查看项目相关政策文件，项目</w:t>
      </w:r>
      <w:r>
        <w:rPr>
          <w:rFonts w:hint="eastAsia" w:ascii="仿宋" w:hAnsi="仿宋" w:eastAsia="仿宋" w:cs="仿宋"/>
          <w:sz w:val="30"/>
          <w:szCs w:val="30"/>
          <w:highlight w:val="none"/>
          <w:lang w:val="en-US" w:eastAsia="zh-CN"/>
        </w:rPr>
        <w:t>的相关管理制度</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档案资料、</w:t>
      </w:r>
      <w:r>
        <w:rPr>
          <w:rFonts w:hint="eastAsia" w:ascii="仿宋" w:hAnsi="仿宋" w:eastAsia="仿宋" w:cs="仿宋"/>
          <w:sz w:val="30"/>
          <w:szCs w:val="30"/>
          <w:highlight w:val="none"/>
          <w:lang w:eastAsia="zh-CN"/>
        </w:rPr>
        <w:t>资金</w:t>
      </w:r>
      <w:r>
        <w:rPr>
          <w:rFonts w:hint="eastAsia" w:ascii="仿宋" w:hAnsi="仿宋" w:eastAsia="仿宋" w:cs="仿宋"/>
          <w:sz w:val="30"/>
          <w:szCs w:val="30"/>
          <w:highlight w:val="none"/>
          <w:lang w:val="en-US" w:eastAsia="zh-CN"/>
        </w:rPr>
        <w:t>收付明细账</w:t>
      </w:r>
      <w:r>
        <w:rPr>
          <w:rFonts w:hint="eastAsia" w:ascii="仿宋" w:hAnsi="仿宋" w:eastAsia="仿宋" w:cs="仿宋"/>
          <w:sz w:val="30"/>
          <w:szCs w:val="30"/>
          <w:highlight w:val="none"/>
          <w:lang w:eastAsia="zh-CN"/>
        </w:rPr>
        <w:t>等相关资料，评价项目实施的效果，并按照评价指标体系对相应事项进行分数评定。</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3.撰写绩效报告</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工作组根据现场核实、数据分析情况，撰写绩效</w:t>
      </w:r>
      <w:r>
        <w:rPr>
          <w:rFonts w:hint="eastAsia" w:ascii="仿宋" w:hAnsi="仿宋" w:eastAsia="仿宋" w:cs="仿宋"/>
          <w:sz w:val="30"/>
          <w:szCs w:val="30"/>
          <w:highlight w:val="none"/>
          <w:lang w:val="en-US" w:eastAsia="zh-CN"/>
        </w:rPr>
        <w:t>评价报告，</w:t>
      </w:r>
      <w:r>
        <w:rPr>
          <w:rFonts w:hint="eastAsia" w:ascii="仿宋" w:hAnsi="仿宋" w:eastAsia="仿宋" w:cs="仿宋"/>
          <w:sz w:val="30"/>
          <w:szCs w:val="30"/>
          <w:highlight w:val="none"/>
          <w:lang w:eastAsia="zh-CN"/>
        </w:rPr>
        <w:t>经过内部讨论、与项目实施单位交换沟通，形成绩效评价项目报告初稿。</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（三）绩效评价框架</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1.绩效评价原则</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（1）价值导向原则：财政支出绩效评价体系应能够反映财政支出的经济性、效益性、有效性原则，体现财政部门和项目主管部门的价值导向。</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（2）重要性原则：根据指标在整个指标体系的地位和作用进行筛选，选择最具代表性、最能反映评价要求的指标。</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（3）可比性原则：在相似项目之间有共同的指标，不同项目之间的衡量结果可以相互比较。</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（4）综合性原则：将定性指标和定量指标相结合，定性分析是定量分析的基础，定量分析是定性分析的深化，两者相结合系统反映财政支出所产生的社会效益。</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（5）经济性原则：指标的选取要考虑现实条件及可操作性，数据的获得应符合成本效益原则，在合理成本的基础上收集信息。</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2.绩效评价的评价方法</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本次评价采取定量和定性评价相结合、综合评价相结合的方式，运用审查法和现场查勘法开展绩效评价工作。</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（1）审查法：通过审查被评价单位的项目档案、项目</w:t>
      </w:r>
      <w:r>
        <w:rPr>
          <w:rFonts w:hint="eastAsia" w:ascii="仿宋" w:hAnsi="仿宋" w:eastAsia="仿宋" w:cs="仿宋"/>
          <w:sz w:val="30"/>
          <w:szCs w:val="30"/>
          <w:highlight w:val="none"/>
          <w:lang w:val="en-US" w:eastAsia="zh-CN"/>
        </w:rPr>
        <w:t>管理制度</w:t>
      </w:r>
      <w:r>
        <w:rPr>
          <w:rFonts w:hint="eastAsia" w:ascii="仿宋" w:hAnsi="仿宋" w:eastAsia="仿宋" w:cs="仿宋"/>
          <w:sz w:val="30"/>
          <w:szCs w:val="30"/>
          <w:highlight w:val="none"/>
          <w:lang w:eastAsia="zh-CN"/>
        </w:rPr>
        <w:t>、资金</w:t>
      </w:r>
      <w:r>
        <w:rPr>
          <w:rFonts w:hint="eastAsia" w:ascii="仿宋" w:hAnsi="仿宋" w:eastAsia="仿宋" w:cs="仿宋"/>
          <w:sz w:val="30"/>
          <w:szCs w:val="30"/>
          <w:highlight w:val="none"/>
          <w:lang w:val="en-US" w:eastAsia="zh-CN"/>
        </w:rPr>
        <w:t>支付凭证</w:t>
      </w:r>
      <w:r>
        <w:rPr>
          <w:rFonts w:hint="eastAsia" w:ascii="仿宋" w:hAnsi="仿宋" w:eastAsia="仿宋" w:cs="仿宋"/>
          <w:sz w:val="30"/>
          <w:szCs w:val="30"/>
          <w:highlight w:val="none"/>
          <w:lang w:eastAsia="zh-CN"/>
        </w:rPr>
        <w:t>、资金支付</w:t>
      </w:r>
      <w:r>
        <w:rPr>
          <w:rFonts w:hint="eastAsia" w:ascii="仿宋" w:hAnsi="仿宋" w:eastAsia="仿宋" w:cs="仿宋"/>
          <w:sz w:val="30"/>
          <w:szCs w:val="30"/>
          <w:highlight w:val="none"/>
          <w:lang w:val="en-US" w:eastAsia="zh-CN"/>
        </w:rPr>
        <w:t>明细账</w:t>
      </w:r>
      <w:r>
        <w:rPr>
          <w:rFonts w:hint="eastAsia" w:ascii="仿宋" w:hAnsi="仿宋" w:eastAsia="仿宋" w:cs="仿宋"/>
          <w:sz w:val="30"/>
          <w:szCs w:val="30"/>
          <w:highlight w:val="none"/>
          <w:lang w:eastAsia="zh-CN"/>
        </w:rPr>
        <w:t>等项目资料，分析资金支出的合理性和合规性。</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（2）现场查勘法：通过对项目的现场查勘，了解目标的实施情况，进而评价项目绩效目标的完成情况。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3.绩效评价标准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绩效评价标准：是指衡量财政支出绩效目标完成程度的尺度，绩效评价标准。具体包括：</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（1）计划标准：是指以预先制定的目标、计划、预算、标准等数据作为评价的标准。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（2）行业标准：是指参照国家权威部门公布的行业指标数据制定的评价标准。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（3）历史标准：是指参照同类指标的历史数据制定的评价标准。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（4）其他标准：其他有参考价值的标准。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4.绩效评价依据</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bookmarkStart w:id="24" w:name="_Toc12911"/>
      <w:bookmarkStart w:id="25" w:name="_Toc16243"/>
      <w:bookmarkStart w:id="26" w:name="_Toc5980"/>
      <w:r>
        <w:rPr>
          <w:rFonts w:hint="eastAsia" w:ascii="仿宋" w:hAnsi="仿宋" w:eastAsia="仿宋" w:cs="仿宋"/>
          <w:sz w:val="30"/>
          <w:szCs w:val="30"/>
          <w:highlight w:val="none"/>
        </w:rPr>
        <w:t>（1）《中华人民共和国预算法》(主席令第21号)；</w:t>
      </w:r>
      <w:r>
        <w:rPr>
          <w:rFonts w:hint="eastAsia" w:ascii="仿宋" w:hAnsi="仿宋" w:eastAsia="仿宋" w:cs="仿宋"/>
          <w:sz w:val="30"/>
          <w:szCs w:val="30"/>
          <w:highlight w:val="none"/>
        </w:rPr>
        <w:br w:type="textWrapping"/>
      </w:r>
      <w:r>
        <w:rPr>
          <w:rFonts w:hint="eastAsia" w:ascii="仿宋" w:hAnsi="仿宋" w:eastAsia="仿宋" w:cs="仿宋"/>
          <w:sz w:val="30"/>
          <w:szCs w:val="30"/>
          <w:highlight w:val="none"/>
        </w:rPr>
        <w:t xml:space="preserve">    （2）</w:t>
      </w:r>
      <w:r>
        <w:rPr>
          <w:rFonts w:hint="eastAsia" w:ascii="仿宋" w:hAnsi="仿宋" w:eastAsia="仿宋" w:cs="仿宋"/>
          <w:sz w:val="30"/>
          <w:szCs w:val="30"/>
          <w:highlight w:val="none"/>
          <w:lang w:val="en-US" w:eastAsia="zh-CN"/>
        </w:rPr>
        <w:t xml:space="preserve">《中共中央国务院关于全面实施预算绩效管理的意见》 </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3</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《项目支出绩效评价管理办法》(财预[2020]10号)</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4</w:t>
      </w:r>
      <w:r>
        <w:rPr>
          <w:rFonts w:hint="eastAsia" w:ascii="仿宋" w:hAnsi="仿宋" w:eastAsia="仿宋" w:cs="仿宋"/>
          <w:sz w:val="30"/>
          <w:szCs w:val="30"/>
          <w:highlight w:val="none"/>
        </w:rPr>
        <w:t>）《河北省财政支出绩效评价管理办法》（冀财预〔2011〕68号）；</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rPr>
        <w:t>）《关于印发〈财政支出绩效评价管理暂行办法〉的通知》（财预〔2011〕285号）；</w:t>
      </w:r>
      <w:r>
        <w:rPr>
          <w:rFonts w:hint="eastAsia" w:ascii="仿宋" w:hAnsi="仿宋" w:eastAsia="仿宋" w:cs="仿宋"/>
          <w:sz w:val="30"/>
          <w:szCs w:val="30"/>
          <w:highlight w:val="none"/>
        </w:rPr>
        <w:br w:type="textWrapping"/>
      </w:r>
      <w:r>
        <w:rPr>
          <w:rFonts w:hint="eastAsia" w:ascii="仿宋" w:hAnsi="仿宋" w:eastAsia="仿宋" w:cs="仿宋"/>
          <w:sz w:val="30"/>
          <w:szCs w:val="30"/>
          <w:highlight w:val="none"/>
          <w:lang w:val="en-US" w:eastAsia="zh-CN"/>
        </w:rPr>
        <w:t xml:space="preserve">    </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 xml:space="preserve">）《关于印发&lt;预算绩效评价共性指标体系框架&gt;的通知》（财预〔2013〕53号）； </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）《河北省项目支出绩效指标框架体系》（冀财预[2016]</w:t>
      </w:r>
      <w:r>
        <w:rPr>
          <w:rFonts w:hint="eastAsia" w:ascii="仿宋" w:hAnsi="仿宋" w:eastAsia="仿宋" w:cs="仿宋"/>
          <w:sz w:val="30"/>
          <w:szCs w:val="30"/>
          <w:highlight w:val="none"/>
          <w:lang w:eastAsia="zh-CN"/>
        </w:rPr>
        <w:t>94</w:t>
      </w:r>
      <w:r>
        <w:rPr>
          <w:rFonts w:hint="eastAsia" w:ascii="仿宋" w:hAnsi="仿宋" w:eastAsia="仿宋" w:cs="仿宋"/>
          <w:sz w:val="30"/>
          <w:szCs w:val="30"/>
          <w:highlight w:val="none"/>
        </w:rPr>
        <w:t>号）；</w:t>
      </w:r>
    </w:p>
    <w:p>
      <w:pPr>
        <w:pageBreakBefore w:val="0"/>
        <w:kinsoku/>
        <w:wordWrap/>
        <w:overflowPunct/>
        <w:topLinePunct w:val="0"/>
        <w:autoSpaceDE/>
        <w:autoSpaceDN/>
        <w:bidi w:val="0"/>
        <w:adjustRightInd/>
        <w:snapToGrid/>
        <w:spacing w:line="560" w:lineRule="exact"/>
        <w:ind w:firstLine="600" w:firstLineChars="200"/>
        <w:rPr>
          <w:rFonts w:hint="default" w:ascii="仿宋" w:hAnsi="仿宋" w:eastAsia="仿宋" w:cs="仿宋"/>
          <w:sz w:val="30"/>
          <w:szCs w:val="30"/>
          <w:highlight w:val="none"/>
          <w:lang w:val="en-US"/>
        </w:rPr>
      </w:pPr>
      <w:r>
        <w:rPr>
          <w:rFonts w:hint="eastAsia" w:ascii="仿宋" w:hAnsi="仿宋" w:eastAsia="仿宋" w:cs="仿宋"/>
          <w:sz w:val="30"/>
          <w:szCs w:val="30"/>
          <w:highlight w:val="none"/>
          <w:lang w:val="en-US" w:eastAsia="zh-CN"/>
        </w:rPr>
        <w:t>（8）相关预算指标文及其他文件依据。</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lang w:eastAsia="zh-CN"/>
        </w:rPr>
        <w:t>绩效评价指标体系</w:t>
      </w:r>
      <w:bookmarkEnd w:id="24"/>
      <w:bookmarkEnd w:id="25"/>
      <w:bookmarkEnd w:id="26"/>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1</w:t>
      </w:r>
      <w:r>
        <w:rPr>
          <w:rFonts w:hint="eastAsia" w:ascii="仿宋" w:hAnsi="仿宋" w:eastAsia="仿宋" w:cs="仿宋"/>
          <w:sz w:val="30"/>
          <w:szCs w:val="30"/>
          <w:highlight w:val="none"/>
          <w:lang w:eastAsia="zh-CN"/>
        </w:rPr>
        <w:t>）指标设定</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绩效指标指用于测量公共支出效果的指数或指数体系。绩效指标可以是某一独立指标，也可以是由多项指标组成的体系。科学的绩效指标是实现公共管理科学化的前提。</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评价指标体系是根据财政支出项目进行评价的目的、财政支出项目的绩效内容，以及财政支出指标体系的设计原则，采用适当的方法，确定财政支出项目的绩效评价指标，然后，运用适当的方法，确定各个指标相对于项目总体绩效的重要性，并用数量化的方法表示出来，即赋予每个指标一定的权重；确定各个评价指标的参照标准，即明确指标的标准值。</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lang w:eastAsia="zh-CN"/>
        </w:rPr>
        <w:t>）指标权重设定</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该项目管理类指标占全部权重的</w:t>
      </w:r>
      <w:r>
        <w:rPr>
          <w:rFonts w:hint="eastAsia" w:ascii="仿宋" w:hAnsi="仿宋" w:eastAsia="仿宋" w:cs="仿宋"/>
          <w:sz w:val="30"/>
          <w:szCs w:val="30"/>
          <w:highlight w:val="none"/>
          <w:lang w:val="en-US" w:eastAsia="zh-CN"/>
        </w:rPr>
        <w:t>60</w:t>
      </w:r>
      <w:r>
        <w:rPr>
          <w:rFonts w:hint="eastAsia" w:ascii="仿宋" w:hAnsi="仿宋" w:eastAsia="仿宋" w:cs="仿宋"/>
          <w:sz w:val="30"/>
          <w:szCs w:val="30"/>
          <w:highlight w:val="none"/>
          <w:lang w:eastAsia="zh-CN"/>
        </w:rPr>
        <w:t>%，包括项目立项、资金落实、项目业务管理、项目财务管理；项目绩效类指标占全部权重的</w:t>
      </w:r>
      <w:r>
        <w:rPr>
          <w:rFonts w:hint="eastAsia" w:ascii="仿宋" w:hAnsi="仿宋" w:eastAsia="仿宋" w:cs="仿宋"/>
          <w:sz w:val="30"/>
          <w:szCs w:val="30"/>
          <w:highlight w:val="none"/>
          <w:lang w:val="en-US" w:eastAsia="zh-CN"/>
        </w:rPr>
        <w:t>40</w:t>
      </w:r>
      <w:r>
        <w:rPr>
          <w:rFonts w:hint="eastAsia" w:ascii="仿宋" w:hAnsi="仿宋" w:eastAsia="仿宋" w:cs="仿宋"/>
          <w:sz w:val="30"/>
          <w:szCs w:val="30"/>
          <w:highlight w:val="none"/>
          <w:lang w:eastAsia="zh-CN"/>
        </w:rPr>
        <w:t>%，其中项目产出类指标占</w:t>
      </w:r>
      <w:r>
        <w:rPr>
          <w:rFonts w:hint="eastAsia" w:ascii="仿宋" w:hAnsi="仿宋" w:eastAsia="仿宋" w:cs="仿宋"/>
          <w:sz w:val="30"/>
          <w:szCs w:val="30"/>
          <w:highlight w:val="none"/>
          <w:lang w:val="en-US" w:eastAsia="zh-CN"/>
        </w:rPr>
        <w:t>15</w:t>
      </w:r>
      <w:r>
        <w:rPr>
          <w:rFonts w:hint="eastAsia" w:ascii="仿宋" w:hAnsi="仿宋" w:eastAsia="仿宋" w:cs="仿宋"/>
          <w:sz w:val="30"/>
          <w:szCs w:val="30"/>
          <w:highlight w:val="none"/>
          <w:lang w:eastAsia="zh-CN"/>
        </w:rPr>
        <w:t>%，项目效果类指标占</w:t>
      </w:r>
      <w:r>
        <w:rPr>
          <w:rFonts w:hint="eastAsia" w:ascii="仿宋" w:hAnsi="仿宋" w:eastAsia="仿宋" w:cs="仿宋"/>
          <w:sz w:val="30"/>
          <w:szCs w:val="30"/>
          <w:highlight w:val="none"/>
          <w:lang w:val="en-US" w:eastAsia="zh-CN"/>
        </w:rPr>
        <w:t>25</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 xml:space="preserve"> </w:t>
      </w:r>
      <w:bookmarkStart w:id="27" w:name="_Toc27907"/>
      <w:bookmarkStart w:id="28" w:name="_Toc6963"/>
      <w:bookmarkStart w:id="29" w:name="_Toc22342"/>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lang w:eastAsia="zh-CN"/>
        </w:rPr>
        <w:t>评分方法和评分等级</w:t>
      </w:r>
      <w:bookmarkEnd w:id="27"/>
      <w:bookmarkEnd w:id="28"/>
      <w:bookmarkEnd w:id="29"/>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1</w:t>
      </w:r>
      <w:r>
        <w:rPr>
          <w:rFonts w:hint="eastAsia" w:ascii="仿宋" w:hAnsi="仿宋" w:eastAsia="仿宋" w:cs="仿宋"/>
          <w:sz w:val="30"/>
          <w:szCs w:val="30"/>
          <w:highlight w:val="none"/>
          <w:lang w:eastAsia="zh-CN"/>
        </w:rPr>
        <w:t>）评分方法</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①按照《财政支出绩效评价管理暂行办法》的相关要求和国务院、省、市、县出台的的相关规定作为评价标准，采取定量和定性评价相结合的方法，对项目资料进行审核、分析。</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②评价中做到重点突出</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在评价工作中，评价人员紧紧抓住评价工作的重点环节，严格按照相关文件和评价方案的要求，实事求是、客观公正地进行绩效评价工作，取得了详实、客观的评价资料。</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③客观分析</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首先，根据评价项目的实际情况与指标体系进行分析、比对，各项指标根据预期绩效目标值，评判实际达到的绩效目标，并给出适当得分。主要关注以下几方面：项目是否实现了年度绩效目标、项目是否在长期绩效目标上实现了预期进展、是否有助于政府战略目标和部门目标的实现等。然后，根据项目评价综合得分得出综合绩效评价等级，依据各项评价结果，综合各方面因素，填写项目绩效评价综合意见。</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lang w:eastAsia="zh-CN"/>
        </w:rPr>
        <w:t>）评价等级</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指标体系设定满分为100分，绩效评价分值≥9</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lang w:eastAsia="zh-CN"/>
        </w:rPr>
        <w:t>为优；80≤分值&lt;9</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lang w:eastAsia="zh-CN"/>
        </w:rPr>
        <w:t>为良；60≤分值&lt;80为合格；60分以下为不合格。按照绩效评价指标对评价结果进行逐级、逐项分析，形成综合评价得分及等级。</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bookmarkStart w:id="30" w:name="_Toc12583"/>
      <w:bookmarkStart w:id="31" w:name="_Toc5968"/>
      <w:bookmarkStart w:id="32" w:name="_Toc31732"/>
      <w:bookmarkStart w:id="33" w:name="_Toc501368350"/>
      <w:r>
        <w:rPr>
          <w:rFonts w:hint="eastAsia" w:ascii="仿宋" w:hAnsi="仿宋" w:eastAsia="仿宋" w:cs="仿宋"/>
          <w:sz w:val="30"/>
          <w:szCs w:val="30"/>
          <w:highlight w:val="none"/>
          <w:lang w:val="en-US" w:eastAsia="zh-CN"/>
        </w:rPr>
        <w:t>（四）</w:t>
      </w:r>
      <w:bookmarkEnd w:id="30"/>
      <w:bookmarkEnd w:id="31"/>
      <w:bookmarkEnd w:id="32"/>
      <w:bookmarkEnd w:id="33"/>
      <w:r>
        <w:rPr>
          <w:rFonts w:hint="eastAsia" w:ascii="仿宋" w:hAnsi="仿宋" w:eastAsia="仿宋" w:cs="仿宋"/>
          <w:sz w:val="30"/>
          <w:szCs w:val="30"/>
          <w:highlight w:val="none"/>
          <w:lang w:val="en-US" w:eastAsia="zh-CN"/>
        </w:rPr>
        <w:t>证据收集方法</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评价小组对项目资料进行收集、整理</w:t>
      </w:r>
      <w:r>
        <w:rPr>
          <w:rFonts w:hint="eastAsia" w:ascii="仿宋" w:hAnsi="仿宋" w:eastAsia="仿宋" w:cs="仿宋"/>
          <w:sz w:val="30"/>
          <w:szCs w:val="30"/>
          <w:highlight w:val="none"/>
          <w:lang w:eastAsia="zh-CN"/>
        </w:rPr>
        <w:t>，并进行分析，然后将获取的资料与从现场勘查中获得的资料汇集起来，对同一指标在不同文件资料中的证据进行对比、印证、核实和补充，经过验证和确定后得到了准确、可靠和有效的证据。最后，评价小组对证据进行了判断分析，形成评价依据。</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（五）绩效评价实施过程</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前期准备阶段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主要是组建评价工作小组，了解评价项目基本情况，设计有关基础数据表格，下发项目执行单位需要准备的资料清单等。</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信息采集复核阶段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项目执行单位进行初步准备后，评价小组先后深入项目执行单位以实地察看、面访、查阅相关资料、核查财务凭证及账簿等多种形式采集信息，复核基础数据和评价证据，并多次就相关资料的补充、完善进行沟通。</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指标体系设计论证阶段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评价小组在收集各类基础数据，制作基础表格后，根据指定的评价方法，结合项目特点，开始设计项目产出和项目效益类指标。通过评价小组的集体商议，初步形成了既能体现评价意图又切合实际的系列指标。进一步修改完善指标体系，合理确定各指标权重，制定评分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数据分析和报告形成阶段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完成系列基础性、前置性工作后，评价小组开始集中精力进行数据分析及指标计算比较，按规范格式撰写绩效评价报告初稿，并送有关方面征求意见，进一步修改后出具正式报告。</w:t>
      </w:r>
    </w:p>
    <w:bookmarkEnd w:id="18"/>
    <w:bookmarkEnd w:id="19"/>
    <w:bookmarkEnd w:id="20"/>
    <w:bookmarkEnd w:id="21"/>
    <w:bookmarkEnd w:id="22"/>
    <w:bookmarkEnd w:id="23"/>
    <w:p>
      <w:pPr>
        <w:pStyle w:val="3"/>
        <w:spacing w:beforeAutospacing="0" w:afterAutospacing="0" w:line="360" w:lineRule="auto"/>
        <w:ind w:firstLine="602" w:firstLineChars="200"/>
        <w:rPr>
          <w:rFonts w:hint="eastAsia" w:ascii="仿宋" w:hAnsi="仿宋" w:eastAsia="仿宋" w:cs="仿宋"/>
          <w:b w:val="0"/>
          <w:kern w:val="2"/>
          <w:sz w:val="30"/>
          <w:szCs w:val="30"/>
          <w:highlight w:val="none"/>
          <w:lang w:val="en-US" w:eastAsia="zh-CN" w:bidi="ar-SA"/>
        </w:rPr>
      </w:pPr>
      <w:bookmarkStart w:id="34" w:name="_Toc32473"/>
      <w:bookmarkStart w:id="35" w:name="_Toc28493"/>
      <w:bookmarkStart w:id="36" w:name="_Toc501368358"/>
      <w:bookmarkStart w:id="37" w:name="_Toc8822"/>
      <w:bookmarkStart w:id="38" w:name="_Toc32445"/>
      <w:bookmarkStart w:id="39" w:name="_Toc83631040"/>
      <w:bookmarkStart w:id="40" w:name="_Toc12058"/>
      <w:bookmarkStart w:id="41" w:name="_Toc501368359"/>
      <w:bookmarkStart w:id="42" w:name="_Toc83630330"/>
      <w:bookmarkStart w:id="43" w:name="_Toc12908"/>
      <w:r>
        <w:rPr>
          <w:rFonts w:hint="eastAsia" w:ascii="仿宋" w:hAnsi="仿宋" w:eastAsia="仿宋" w:cs="仿宋"/>
          <w:b/>
          <w:bCs/>
          <w:kern w:val="2"/>
          <w:sz w:val="30"/>
          <w:szCs w:val="30"/>
          <w:highlight w:val="none"/>
          <w:lang w:val="en-US" w:eastAsia="zh-CN" w:bidi="ar-SA"/>
        </w:rPr>
        <w:t>五、项目执行及绩效实现情况</w:t>
      </w:r>
      <w:bookmarkEnd w:id="34"/>
      <w:bookmarkEnd w:id="35"/>
      <w:bookmarkEnd w:id="36"/>
      <w:bookmarkEnd w:id="37"/>
    </w:p>
    <w:p>
      <w:pPr>
        <w:spacing w:line="360" w:lineRule="auto"/>
        <w:ind w:firstLine="600" w:firstLineChars="200"/>
        <w:jc w:val="left"/>
        <w:rPr>
          <w:rFonts w:hint="eastAsia" w:ascii="仿宋" w:hAnsi="仿宋" w:eastAsia="仿宋" w:cs="仿宋"/>
          <w:b w:val="0"/>
          <w:kern w:val="2"/>
          <w:sz w:val="30"/>
          <w:szCs w:val="30"/>
          <w:highlight w:val="none"/>
          <w:lang w:val="en-US" w:eastAsia="zh-CN" w:bidi="ar-SA"/>
        </w:rPr>
      </w:pPr>
      <w:r>
        <w:rPr>
          <w:rFonts w:hint="eastAsia" w:ascii="仿宋" w:hAnsi="仿宋" w:eastAsia="仿宋" w:cs="仿宋"/>
          <w:b w:val="0"/>
          <w:kern w:val="2"/>
          <w:sz w:val="30"/>
          <w:szCs w:val="30"/>
          <w:highlight w:val="none"/>
          <w:lang w:val="en-US" w:eastAsia="zh-CN" w:bidi="ar-SA"/>
        </w:rPr>
        <w:t>通过对该单位提供的项目资料和现场实地检查，该项目综合得分96.8分，评价等级为“优”。各项得分情况明细如下：</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（一）项目立项（</w:t>
      </w:r>
      <w:r>
        <w:rPr>
          <w:rFonts w:hint="eastAsia" w:ascii="仿宋" w:hAnsi="仿宋" w:eastAsia="仿宋" w:cs="仿宋"/>
          <w:b w:val="0"/>
          <w:bCs w:val="0"/>
          <w:sz w:val="30"/>
          <w:szCs w:val="30"/>
          <w:highlight w:val="none"/>
          <w:lang w:val="en-US" w:eastAsia="zh-CN"/>
        </w:rPr>
        <w:t>20</w:t>
      </w:r>
      <w:r>
        <w:rPr>
          <w:rFonts w:hint="eastAsia" w:ascii="仿宋" w:hAnsi="仿宋" w:eastAsia="仿宋" w:cs="仿宋"/>
          <w:b w:val="0"/>
          <w:bCs w:val="0"/>
          <w:sz w:val="30"/>
          <w:szCs w:val="30"/>
          <w:highlight w:val="none"/>
        </w:rPr>
        <w:t>分）</w:t>
      </w:r>
      <w:bookmarkEnd w:id="38"/>
      <w:bookmarkEnd w:id="39"/>
      <w:bookmarkEnd w:id="40"/>
      <w:bookmarkEnd w:id="41"/>
      <w:bookmarkEnd w:id="42"/>
      <w:bookmarkEnd w:id="43"/>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一级指标主要反映项目立项是否符合国家法规、政策规定，符合社会经济发展战略规划，项目决策是否满足政府职能，用于调节经济、市场监管、提供公共产品和服务，绩效目标的制定是否合理，绩效指标的制定是否清晰、细化、量化、可衡量。</w:t>
      </w:r>
    </w:p>
    <w:tbl>
      <w:tblPr>
        <w:tblStyle w:val="16"/>
        <w:tblW w:w="4996" w:type="pct"/>
        <w:jc w:val="center"/>
        <w:tblLayout w:type="autofit"/>
        <w:tblCellMar>
          <w:top w:w="15" w:type="dxa"/>
          <w:left w:w="15" w:type="dxa"/>
          <w:bottom w:w="15" w:type="dxa"/>
          <w:right w:w="15" w:type="dxa"/>
        </w:tblCellMar>
      </w:tblPr>
      <w:tblGrid>
        <w:gridCol w:w="2202"/>
        <w:gridCol w:w="2223"/>
        <w:gridCol w:w="2393"/>
        <w:gridCol w:w="1506"/>
        <w:gridCol w:w="1336"/>
      </w:tblGrid>
      <w:tr>
        <w:tblPrEx>
          <w:tblCellMar>
            <w:top w:w="15" w:type="dxa"/>
            <w:left w:w="15" w:type="dxa"/>
            <w:bottom w:w="15" w:type="dxa"/>
            <w:right w:w="15" w:type="dxa"/>
          </w:tblCellMar>
        </w:tblPrEx>
        <w:trPr>
          <w:trHeight w:val="482" w:hRule="exact"/>
          <w:jc w:val="center"/>
        </w:trPr>
        <w:tc>
          <w:tcPr>
            <w:tcW w:w="1140"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一级指标</w:t>
            </w:r>
          </w:p>
        </w:tc>
        <w:tc>
          <w:tcPr>
            <w:tcW w:w="1150"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二级指标</w:t>
            </w: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三级指标</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分数权重</w:t>
            </w:r>
          </w:p>
        </w:tc>
        <w:tc>
          <w:tcPr>
            <w:tcW w:w="691"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得分</w:t>
            </w:r>
          </w:p>
        </w:tc>
      </w:tr>
      <w:tr>
        <w:tblPrEx>
          <w:tblCellMar>
            <w:top w:w="15" w:type="dxa"/>
            <w:left w:w="15" w:type="dxa"/>
            <w:bottom w:w="15" w:type="dxa"/>
            <w:right w:w="15" w:type="dxa"/>
          </w:tblCellMar>
        </w:tblPrEx>
        <w:trPr>
          <w:trHeight w:val="529" w:hRule="exact"/>
          <w:jc w:val="center"/>
        </w:trPr>
        <w:tc>
          <w:tcPr>
            <w:tcW w:w="1140" w:type="pct"/>
            <w:vMerge w:val="restar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项目立项</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20</w:t>
            </w:r>
            <w:r>
              <w:rPr>
                <w:rFonts w:hint="eastAsia" w:ascii="仿宋" w:hAnsi="仿宋" w:eastAsia="仿宋" w:cs="仿宋"/>
                <w:color w:val="000000"/>
                <w:kern w:val="0"/>
                <w:sz w:val="24"/>
                <w:szCs w:val="24"/>
                <w:highlight w:val="none"/>
              </w:rPr>
              <w:t>分)</w:t>
            </w:r>
          </w:p>
        </w:tc>
        <w:tc>
          <w:tcPr>
            <w:tcW w:w="1150" w:type="pct"/>
            <w:vMerge w:val="restar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决策机制（</w:t>
            </w:r>
            <w:r>
              <w:rPr>
                <w:rFonts w:hint="eastAsia" w:ascii="仿宋" w:hAnsi="仿宋" w:eastAsia="仿宋" w:cs="仿宋"/>
                <w:color w:val="000000"/>
                <w:kern w:val="0"/>
                <w:sz w:val="24"/>
                <w:szCs w:val="24"/>
                <w:highlight w:val="none"/>
                <w:lang w:val="en-US" w:eastAsia="zh-CN"/>
              </w:rPr>
              <w:t>15</w:t>
            </w:r>
            <w:r>
              <w:rPr>
                <w:rFonts w:hint="eastAsia" w:ascii="仿宋" w:hAnsi="仿宋" w:eastAsia="仿宋" w:cs="仿宋"/>
                <w:color w:val="000000"/>
                <w:kern w:val="0"/>
                <w:sz w:val="24"/>
                <w:szCs w:val="24"/>
                <w:highlight w:val="none"/>
              </w:rPr>
              <w:t>分）</w:t>
            </w: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项目设立的依据</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lang w:eastAsia="zh-CN"/>
              </w:rPr>
            </w:pPr>
            <w:r>
              <w:rPr>
                <w:rFonts w:hint="eastAsia" w:ascii="仿宋" w:hAnsi="仿宋" w:eastAsia="仿宋" w:cs="仿宋"/>
                <w:color w:val="000000"/>
                <w:kern w:val="0"/>
                <w:sz w:val="24"/>
                <w:szCs w:val="24"/>
                <w:highlight w:val="none"/>
                <w:lang w:val="en-US" w:eastAsia="zh-CN"/>
              </w:rPr>
              <w:t>8</w:t>
            </w:r>
          </w:p>
        </w:tc>
        <w:tc>
          <w:tcPr>
            <w:tcW w:w="133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kern w:val="0"/>
                <w:sz w:val="24"/>
                <w:szCs w:val="24"/>
                <w:highlight w:val="none"/>
                <w:lang w:val="en-US" w:eastAsia="zh-CN"/>
              </w:rPr>
              <w:t>8</w:t>
            </w:r>
          </w:p>
        </w:tc>
      </w:tr>
      <w:tr>
        <w:tblPrEx>
          <w:tblCellMar>
            <w:top w:w="15" w:type="dxa"/>
            <w:left w:w="15" w:type="dxa"/>
            <w:bottom w:w="15" w:type="dxa"/>
            <w:right w:w="15" w:type="dxa"/>
          </w:tblCellMar>
        </w:tblPrEx>
        <w:trPr>
          <w:trHeight w:val="691" w:hRule="exact"/>
          <w:jc w:val="center"/>
        </w:trPr>
        <w:tc>
          <w:tcPr>
            <w:tcW w:w="114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15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项目决策必要性</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lang w:eastAsia="zh-CN"/>
              </w:rPr>
            </w:pPr>
            <w:r>
              <w:rPr>
                <w:rFonts w:hint="eastAsia" w:ascii="仿宋" w:hAnsi="仿宋" w:eastAsia="仿宋" w:cs="仿宋"/>
                <w:color w:val="000000"/>
                <w:kern w:val="0"/>
                <w:sz w:val="24"/>
                <w:szCs w:val="24"/>
                <w:highlight w:val="none"/>
                <w:lang w:val="en-US" w:eastAsia="zh-CN"/>
              </w:rPr>
              <w:t>7</w:t>
            </w:r>
          </w:p>
        </w:tc>
        <w:tc>
          <w:tcPr>
            <w:tcW w:w="133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eastAsia="zh-CN"/>
              </w:rPr>
              <w:t>7</w:t>
            </w:r>
          </w:p>
        </w:tc>
      </w:tr>
      <w:tr>
        <w:tblPrEx>
          <w:tblCellMar>
            <w:top w:w="15" w:type="dxa"/>
            <w:left w:w="15" w:type="dxa"/>
            <w:bottom w:w="15" w:type="dxa"/>
            <w:right w:w="15" w:type="dxa"/>
          </w:tblCellMar>
        </w:tblPrEx>
        <w:trPr>
          <w:trHeight w:val="561" w:hRule="exact"/>
          <w:jc w:val="center"/>
        </w:trPr>
        <w:tc>
          <w:tcPr>
            <w:tcW w:w="114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150" w:type="pct"/>
            <w:vMerge w:val="restar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绩效目标（</w:t>
            </w:r>
            <w:r>
              <w:rPr>
                <w:rFonts w:hint="eastAsia" w:ascii="仿宋" w:hAnsi="仿宋" w:eastAsia="仿宋" w:cs="仿宋"/>
                <w:color w:val="000000"/>
                <w:kern w:val="0"/>
                <w:sz w:val="24"/>
                <w:szCs w:val="24"/>
                <w:highlight w:val="none"/>
                <w:lang w:val="en-US" w:eastAsia="zh-CN"/>
              </w:rPr>
              <w:t>5</w:t>
            </w:r>
            <w:r>
              <w:rPr>
                <w:rFonts w:hint="eastAsia" w:ascii="仿宋" w:hAnsi="仿宋" w:eastAsia="仿宋" w:cs="仿宋"/>
                <w:color w:val="000000"/>
                <w:kern w:val="0"/>
                <w:sz w:val="24"/>
                <w:szCs w:val="24"/>
                <w:highlight w:val="none"/>
              </w:rPr>
              <w:t>分）</w:t>
            </w: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合理性</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lang w:eastAsia="zh-CN"/>
              </w:rPr>
            </w:pPr>
            <w:r>
              <w:rPr>
                <w:rFonts w:hint="eastAsia" w:ascii="仿宋" w:hAnsi="仿宋" w:eastAsia="仿宋" w:cs="仿宋"/>
                <w:color w:val="000000"/>
                <w:kern w:val="0"/>
                <w:sz w:val="24"/>
                <w:szCs w:val="24"/>
                <w:highlight w:val="none"/>
                <w:lang w:val="en-US" w:eastAsia="zh-CN"/>
              </w:rPr>
              <w:t>3</w:t>
            </w:r>
          </w:p>
        </w:tc>
        <w:tc>
          <w:tcPr>
            <w:tcW w:w="133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eastAsia="zh-CN"/>
              </w:rPr>
              <w:t>3</w:t>
            </w:r>
          </w:p>
        </w:tc>
      </w:tr>
      <w:tr>
        <w:tblPrEx>
          <w:tblCellMar>
            <w:top w:w="15" w:type="dxa"/>
            <w:left w:w="15" w:type="dxa"/>
            <w:bottom w:w="15" w:type="dxa"/>
            <w:right w:w="15" w:type="dxa"/>
          </w:tblCellMar>
        </w:tblPrEx>
        <w:trPr>
          <w:trHeight w:val="572" w:hRule="exact"/>
          <w:jc w:val="center"/>
        </w:trPr>
        <w:tc>
          <w:tcPr>
            <w:tcW w:w="114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15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明确性</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lang w:eastAsia="zh-CN"/>
              </w:rPr>
            </w:pPr>
            <w:r>
              <w:rPr>
                <w:rFonts w:hint="eastAsia" w:ascii="仿宋" w:hAnsi="仿宋" w:eastAsia="仿宋" w:cs="仿宋"/>
                <w:color w:val="000000"/>
                <w:kern w:val="0"/>
                <w:sz w:val="24"/>
                <w:szCs w:val="24"/>
                <w:highlight w:val="none"/>
                <w:lang w:val="en-US" w:eastAsia="zh-CN"/>
              </w:rPr>
              <w:t>2</w:t>
            </w:r>
          </w:p>
        </w:tc>
        <w:tc>
          <w:tcPr>
            <w:tcW w:w="133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eastAsia="zh-CN"/>
              </w:rPr>
              <w:t>2</w:t>
            </w:r>
          </w:p>
        </w:tc>
      </w:tr>
      <w:tr>
        <w:tblPrEx>
          <w:tblCellMar>
            <w:top w:w="15" w:type="dxa"/>
            <w:left w:w="15" w:type="dxa"/>
            <w:bottom w:w="15" w:type="dxa"/>
            <w:right w:w="15" w:type="dxa"/>
          </w:tblCellMar>
        </w:tblPrEx>
        <w:trPr>
          <w:trHeight w:val="492" w:hRule="exact"/>
          <w:jc w:val="center"/>
        </w:trPr>
        <w:tc>
          <w:tcPr>
            <w:tcW w:w="3528" w:type="pct"/>
            <w:gridSpan w:val="3"/>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合  计</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20</w:t>
            </w:r>
          </w:p>
        </w:tc>
        <w:tc>
          <w:tcPr>
            <w:tcW w:w="133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20</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1.决策机制（</w:t>
      </w:r>
      <w:r>
        <w:rPr>
          <w:rFonts w:hint="eastAsia" w:ascii="仿宋" w:hAnsi="仿宋" w:eastAsia="仿宋" w:cs="仿宋"/>
          <w:sz w:val="30"/>
          <w:szCs w:val="30"/>
          <w:highlight w:val="none"/>
          <w:lang w:val="en-US" w:eastAsia="zh-CN"/>
        </w:rPr>
        <w:t>15</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该指标包含2个三级指标，主要评价项目立项是否符合国家法规、政策规定，符合社会经济发展战略规划；项目决策是否满足政府职能，用于调节经济、市场监管、提供公共产品和服务</w:t>
      </w:r>
      <w:r>
        <w:rPr>
          <w:rFonts w:hint="eastAsia" w:ascii="仿宋" w:hAnsi="仿宋" w:eastAsia="仿宋" w:cs="仿宋"/>
          <w:sz w:val="30"/>
          <w:szCs w:val="30"/>
          <w:highlight w:val="none"/>
          <w:lang w:eastAsia="zh-CN"/>
        </w:rPr>
        <w:t>。</w:t>
      </w:r>
    </w:p>
    <w:p>
      <w:pPr>
        <w:pageBreakBefore w:val="0"/>
        <w:numPr>
          <w:ilvl w:val="0"/>
          <w:numId w:val="1"/>
        </w:numPr>
        <w:kinsoku/>
        <w:wordWrap/>
        <w:overflowPunct/>
        <w:topLinePunct w:val="0"/>
        <w:autoSpaceDE/>
        <w:autoSpaceDN/>
        <w:bidi w:val="0"/>
        <w:adjustRightInd/>
        <w:snapToGrid/>
        <w:spacing w:line="560" w:lineRule="exact"/>
        <w:ind w:firstLine="300" w:firstLineChars="1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项目设立的依据（</w:t>
      </w:r>
      <w:r>
        <w:rPr>
          <w:rFonts w:hint="eastAsia" w:ascii="仿宋" w:hAnsi="仿宋" w:eastAsia="仿宋" w:cs="仿宋"/>
          <w:sz w:val="30"/>
          <w:szCs w:val="30"/>
          <w:highlight w:val="none"/>
          <w:lang w:val="en-US" w:eastAsia="zh-CN"/>
        </w:rPr>
        <w:t>8</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 xml:space="preserve">   该指标主要评价该项目立项是否符合国家法规、政策规定，符合社会经济发展战略规划</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bookmarkStart w:id="44" w:name="_Toc83630331"/>
      <w:bookmarkStart w:id="45" w:name="_Toc25534"/>
      <w:bookmarkStart w:id="46" w:name="_Toc83631041"/>
      <w:bookmarkStart w:id="47" w:name="_Toc83630427"/>
      <w:bookmarkStart w:id="48" w:name="_Toc21059"/>
      <w:r>
        <w:rPr>
          <w:rFonts w:hint="eastAsia" w:ascii="仿宋" w:hAnsi="仿宋" w:eastAsia="仿宋" w:cs="仿宋"/>
          <w:sz w:val="30"/>
          <w:szCs w:val="30"/>
          <w:highlight w:val="none"/>
        </w:rPr>
        <w:t>经检查，该项目设立的主要依据</w:t>
      </w:r>
      <w:r>
        <w:rPr>
          <w:rFonts w:hint="eastAsia" w:ascii="仿宋" w:hAnsi="仿宋" w:eastAsia="仿宋" w:cs="仿宋"/>
          <w:sz w:val="30"/>
          <w:szCs w:val="30"/>
          <w:highlight w:val="none"/>
          <w:lang w:eastAsia="zh-CN"/>
        </w:rPr>
        <w:t>：</w:t>
      </w:r>
      <w:bookmarkEnd w:id="44"/>
      <w:bookmarkEnd w:id="45"/>
      <w:bookmarkEnd w:id="46"/>
      <w:bookmarkEnd w:id="47"/>
      <w:bookmarkEnd w:id="48"/>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保定市水库移民后期扶持工作领导小组办公室关于2021年大中型水库移民后期扶持资金项目计划及勘测设计费的批复</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保移办【2021】2号</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保定市水利局关于曲阳县2021奶奶大中型水库移民后期扶持项目计划及实施方案的批复</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保水发【2021】211号）、《河北省财政厅 河北省水利厅关于印发&lt;河北省大中型水库移民后期扶持基金项目资金管理实施细则&gt;》（冀财农【2017】180号）、</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河北省财政厅关于提前下达2021年大中型水库移民后期扶持资金预算的通知</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冀财农【2020】127号</w:t>
      </w:r>
      <w:r>
        <w:rPr>
          <w:rFonts w:hint="eastAsia" w:ascii="仿宋" w:hAnsi="仿宋" w:eastAsia="仿宋" w:cs="仿宋"/>
          <w:sz w:val="30"/>
          <w:szCs w:val="30"/>
          <w:highlight w:val="none"/>
          <w:lang w:eastAsia="zh-CN"/>
        </w:rPr>
        <w:t>）等。</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我们认为该项目设定依据充分，目标设定明确、合理、科学、可行，符合国家法规、政策规定，符合社会经济发展战略规划。</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8</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（2）项目决策必要性（</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该指标主要评价项目内容设置与国家及地方政策、规划、社会需求等相关内容相符程度，决策过程是否规范，用以反映和考核项目决策的必要性。</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bookmarkStart w:id="49" w:name="_Toc83631042"/>
      <w:bookmarkStart w:id="50" w:name="_Toc83630428"/>
      <w:bookmarkStart w:id="51" w:name="_Toc83630332"/>
      <w:bookmarkStart w:id="52" w:name="_Toc32149"/>
      <w:bookmarkStart w:id="53" w:name="_Toc24207"/>
      <w:r>
        <w:rPr>
          <w:rFonts w:hint="eastAsia" w:ascii="仿宋" w:hAnsi="仿宋" w:eastAsia="仿宋" w:cs="仿宋"/>
          <w:sz w:val="30"/>
          <w:szCs w:val="30"/>
          <w:highlight w:val="none"/>
          <w:lang w:eastAsia="zh-CN"/>
        </w:rPr>
        <w:t>通过项目实施，</w:t>
      </w:r>
      <w:bookmarkEnd w:id="49"/>
      <w:bookmarkEnd w:id="50"/>
      <w:bookmarkEnd w:id="51"/>
      <w:bookmarkEnd w:id="52"/>
      <w:bookmarkEnd w:id="53"/>
      <w:r>
        <w:rPr>
          <w:rFonts w:hint="eastAsia" w:ascii="仿宋" w:hAnsi="仿宋" w:eastAsia="仿宋" w:cs="仿宋"/>
          <w:sz w:val="30"/>
          <w:szCs w:val="30"/>
          <w:highlight w:val="none"/>
          <w:lang w:val="en-US" w:eastAsia="zh-CN"/>
        </w:rPr>
        <w:t>缓解了项目区行路难、经济发展慢、人居环境差等诸多问题，受益人口达29642人，全面建设社会主义新农村，构建和谐社会，加快移民奔小康步伐、完善移民村庄基础设施、改善移民人居环境、增强村集体经济实力、提高村民经济收益，针对移民村突出问题。工程体现了党和政府对农村人口的关爱和温暖，密切了党群关系，对促进精神文明建设，维护社会稳定有非常重大的意义。</w:t>
      </w:r>
    </w:p>
    <w:p>
      <w:pPr>
        <w:pageBreakBefore w:val="0"/>
        <w:kinsoku/>
        <w:wordWrap/>
        <w:overflowPunct/>
        <w:topLinePunct w:val="0"/>
        <w:autoSpaceDE/>
        <w:autoSpaceDN/>
        <w:bidi w:val="0"/>
        <w:adjustRightInd/>
        <w:snapToGrid/>
        <w:spacing w:line="560" w:lineRule="exact"/>
        <w:ind w:firstLine="600" w:firstLineChars="200"/>
        <w:outlineLvl w:val="0"/>
        <w:rPr>
          <w:rFonts w:hint="eastAsia" w:ascii="仿宋" w:hAnsi="仿宋" w:eastAsia="仿宋" w:cs="仿宋"/>
          <w:sz w:val="30"/>
          <w:szCs w:val="30"/>
          <w:highlight w:val="none"/>
        </w:rPr>
      </w:pPr>
      <w:bookmarkStart w:id="54" w:name="_Toc83630333"/>
      <w:bookmarkStart w:id="55" w:name="_Toc83631043"/>
      <w:bookmarkStart w:id="56" w:name="_Toc83630429"/>
      <w:bookmarkStart w:id="57" w:name="_Toc26878"/>
      <w:bookmarkStart w:id="58" w:name="_Toc5914"/>
      <w:r>
        <w:rPr>
          <w:rFonts w:hint="eastAsia" w:ascii="仿宋" w:hAnsi="仿宋" w:eastAsia="仿宋" w:cs="仿宋"/>
          <w:sz w:val="30"/>
          <w:szCs w:val="30"/>
          <w:highlight w:val="none"/>
        </w:rPr>
        <w:t>为此我们认为该项目决策的评价结论为必要。</w:t>
      </w:r>
      <w:bookmarkEnd w:id="54"/>
      <w:bookmarkEnd w:id="55"/>
      <w:bookmarkEnd w:id="56"/>
      <w:bookmarkEnd w:id="57"/>
      <w:bookmarkEnd w:id="58"/>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2.绩效目标（</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该指标共包含2个三级指标，主要评价项目绩效目标依据是否充分，项目绩效指标是否清晰、细化、量化、可衡量。</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（1）合理性（</w:t>
      </w:r>
      <w:r>
        <w:rPr>
          <w:rFonts w:hint="eastAsia" w:ascii="仿宋" w:hAnsi="仿宋" w:eastAsia="仿宋" w:cs="仿宋"/>
          <w:sz w:val="30"/>
          <w:szCs w:val="30"/>
          <w:highlight w:val="none"/>
          <w:lang w:val="en-US" w:eastAsia="zh-CN"/>
        </w:rPr>
        <w:t>3</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 xml:space="preserve">    该指标主要评价项目绩效目标依据是否充分，与客观实际相符的情况。</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rPr>
      </w:pPr>
      <w:r>
        <w:rPr>
          <w:rFonts w:hint="eastAsia" w:ascii="仿宋" w:hAnsi="仿宋" w:eastAsia="仿宋" w:cs="仿宋"/>
          <w:sz w:val="30"/>
          <w:szCs w:val="30"/>
          <w:highlight w:val="none"/>
        </w:rPr>
        <w:t>经检查，</w:t>
      </w:r>
      <w:r>
        <w:rPr>
          <w:rFonts w:hint="eastAsia" w:ascii="仿宋" w:hAnsi="仿宋" w:eastAsia="仿宋" w:cs="仿宋"/>
          <w:sz w:val="30"/>
          <w:szCs w:val="30"/>
          <w:highlight w:val="none"/>
          <w:lang w:val="en-US" w:eastAsia="zh-CN"/>
        </w:rPr>
        <w:t>该项目绩效目标是依据《河北省财政厅关于提前下达2021年大中型水库移民后期扶持资金预算的通知》（冀财农【2020】127号）等文件制定的，绩效目标依据较充分。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3</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（2）明确性（</w:t>
      </w: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该指标主要评价项目绩效指标是否清晰、细化、量化、可衡量，及其与当年工作任务的匹配情况。</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经检查，该项目根据</w:t>
      </w:r>
      <w:r>
        <w:rPr>
          <w:rFonts w:hint="eastAsia" w:ascii="仿宋" w:hAnsi="仿宋" w:eastAsia="仿宋" w:cs="仿宋"/>
          <w:sz w:val="30"/>
          <w:szCs w:val="30"/>
          <w:highlight w:val="none"/>
          <w:lang w:eastAsia="zh-CN"/>
        </w:rPr>
        <w:t>曲阳县财政局</w:t>
      </w:r>
      <w:r>
        <w:rPr>
          <w:rFonts w:hint="eastAsia" w:ascii="仿宋" w:hAnsi="仿宋" w:eastAsia="仿宋" w:cs="仿宋"/>
          <w:sz w:val="30"/>
          <w:szCs w:val="30"/>
          <w:highlight w:val="none"/>
        </w:rPr>
        <w:t>下发的《关于开展202</w:t>
      </w:r>
      <w:r>
        <w:rPr>
          <w:rFonts w:hint="eastAsia" w:ascii="仿宋" w:hAnsi="仿宋" w:eastAsia="仿宋" w:cs="仿宋"/>
          <w:sz w:val="30"/>
          <w:szCs w:val="30"/>
          <w:highlight w:val="none"/>
          <w:lang w:val="en-US" w:eastAsia="zh-CN"/>
        </w:rPr>
        <w:t>1</w:t>
      </w:r>
      <w:r>
        <w:rPr>
          <w:rFonts w:hint="eastAsia" w:ascii="仿宋" w:hAnsi="仿宋" w:eastAsia="仿宋" w:cs="仿宋"/>
          <w:sz w:val="30"/>
          <w:szCs w:val="30"/>
          <w:highlight w:val="none"/>
        </w:rPr>
        <w:t>年</w:t>
      </w:r>
      <w:r>
        <w:rPr>
          <w:rFonts w:hint="eastAsia" w:ascii="仿宋" w:hAnsi="仿宋" w:eastAsia="仿宋" w:cs="仿宋"/>
          <w:sz w:val="30"/>
          <w:szCs w:val="30"/>
          <w:highlight w:val="none"/>
          <w:lang w:eastAsia="zh-CN"/>
        </w:rPr>
        <w:t>大中型水库移民后期扶持资金项目</w:t>
      </w:r>
      <w:r>
        <w:rPr>
          <w:rFonts w:hint="eastAsia" w:ascii="仿宋" w:hAnsi="仿宋" w:eastAsia="仿宋" w:cs="仿宋"/>
          <w:sz w:val="30"/>
          <w:szCs w:val="30"/>
          <w:highlight w:val="none"/>
        </w:rPr>
        <w:t>绩效评价工作的通知》，在项</w:t>
      </w:r>
      <w:r>
        <w:rPr>
          <w:rFonts w:hint="eastAsia" w:ascii="仿宋" w:hAnsi="仿宋" w:eastAsia="仿宋" w:cs="仿宋"/>
          <w:sz w:val="30"/>
          <w:szCs w:val="30"/>
        </w:rPr>
        <w:t>目绩效评价指标体系表中制定了项目产出指标和项目效益指标，绩效指标清晰、细化、量化、可衡量且与当年工作任务匹配</w:t>
      </w:r>
      <w:r>
        <w:rPr>
          <w:rFonts w:hint="eastAsia" w:ascii="仿宋" w:hAnsi="仿宋" w:eastAsia="仿宋" w:cs="仿宋"/>
          <w:sz w:val="30"/>
          <w:szCs w:val="30"/>
          <w:highlight w:val="none"/>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rPr>
        <w:t>分。</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b w:val="0"/>
          <w:bCs w:val="0"/>
          <w:sz w:val="30"/>
          <w:szCs w:val="30"/>
          <w:highlight w:val="none"/>
        </w:rPr>
      </w:pPr>
      <w:bookmarkStart w:id="59" w:name="_Toc21302"/>
      <w:bookmarkStart w:id="60" w:name="_Toc27328"/>
      <w:bookmarkStart w:id="61" w:name="_Toc83630334"/>
      <w:bookmarkStart w:id="62" w:name="_Toc8907"/>
      <w:bookmarkStart w:id="63" w:name="_Toc83631044"/>
      <w:r>
        <w:rPr>
          <w:rFonts w:hint="eastAsia" w:ascii="仿宋" w:hAnsi="仿宋" w:eastAsia="仿宋" w:cs="仿宋"/>
          <w:b w:val="0"/>
          <w:bCs w:val="0"/>
          <w:sz w:val="30"/>
          <w:szCs w:val="30"/>
          <w:highlight w:val="none"/>
        </w:rPr>
        <w:t>（二）项目过程管理（40分）</w:t>
      </w:r>
      <w:bookmarkEnd w:id="59"/>
      <w:bookmarkEnd w:id="60"/>
      <w:bookmarkEnd w:id="61"/>
      <w:bookmarkEnd w:id="62"/>
      <w:bookmarkEnd w:id="63"/>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一级指标包含项目财务管理和项目业务管理2个二级指标，主要反映该项目在实施过程中，财务管理是否规范、资金使用是否合规、项目业务管理是否按照相关规定执行，以保障财政资金的安全性和项目顺利实施。</w:t>
      </w:r>
    </w:p>
    <w:tbl>
      <w:tblPr>
        <w:tblStyle w:val="16"/>
        <w:tblW w:w="49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2078"/>
        <w:gridCol w:w="1852"/>
        <w:gridCol w:w="2835"/>
        <w:gridCol w:w="1510"/>
        <w:gridCol w:w="1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7" w:hRule="exact"/>
          <w:jc w:val="center"/>
        </w:trPr>
        <w:tc>
          <w:tcPr>
            <w:tcW w:w="107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一级指标</w:t>
            </w:r>
          </w:p>
        </w:tc>
        <w:tc>
          <w:tcPr>
            <w:tcW w:w="959"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二级指标</w:t>
            </w:r>
          </w:p>
        </w:tc>
        <w:tc>
          <w:tcPr>
            <w:tcW w:w="1467"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三级指标</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分数权重</w:t>
            </w:r>
          </w:p>
        </w:tc>
        <w:tc>
          <w:tcPr>
            <w:tcW w:w="714"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2" w:hRule="exact"/>
          <w:jc w:val="center"/>
        </w:trPr>
        <w:tc>
          <w:tcPr>
            <w:tcW w:w="1076" w:type="pct"/>
            <w:vMerge w:val="restar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项目过程管理</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（40分）</w:t>
            </w:r>
          </w:p>
        </w:tc>
        <w:tc>
          <w:tcPr>
            <w:tcW w:w="959" w:type="pct"/>
            <w:vMerge w:val="restar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项目财务管理</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24</w:t>
            </w:r>
            <w:r>
              <w:rPr>
                <w:rFonts w:hint="eastAsia" w:ascii="仿宋" w:hAnsi="仿宋" w:eastAsia="仿宋" w:cs="仿宋"/>
                <w:color w:val="000000"/>
                <w:kern w:val="0"/>
                <w:sz w:val="24"/>
                <w:szCs w:val="24"/>
                <w:highlight w:val="none"/>
              </w:rPr>
              <w:t>分）</w:t>
            </w:r>
          </w:p>
        </w:tc>
        <w:tc>
          <w:tcPr>
            <w:tcW w:w="1467"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资金实际使用率</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6</w:t>
            </w:r>
          </w:p>
        </w:tc>
        <w:tc>
          <w:tcPr>
            <w:tcW w:w="714"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51"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467"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会计核算</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6</w:t>
            </w:r>
          </w:p>
        </w:tc>
        <w:tc>
          <w:tcPr>
            <w:tcW w:w="714"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9"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467"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资金支出合规性</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6</w:t>
            </w:r>
          </w:p>
        </w:tc>
        <w:tc>
          <w:tcPr>
            <w:tcW w:w="714"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6"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959" w:type="pct"/>
            <w:vMerge w:val="continue"/>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p>
        </w:tc>
        <w:tc>
          <w:tcPr>
            <w:tcW w:w="1467"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预算执行率</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6</w:t>
            </w:r>
          </w:p>
        </w:tc>
        <w:tc>
          <w:tcPr>
            <w:tcW w:w="714"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6"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959" w:type="pct"/>
            <w:vMerge w:val="restar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项目业务管理</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16</w:t>
            </w:r>
            <w:r>
              <w:rPr>
                <w:rFonts w:hint="eastAsia" w:ascii="仿宋" w:hAnsi="仿宋" w:eastAsia="仿宋" w:cs="仿宋"/>
                <w:color w:val="000000"/>
                <w:kern w:val="0"/>
                <w:sz w:val="24"/>
                <w:szCs w:val="24"/>
                <w:highlight w:val="none"/>
              </w:rPr>
              <w:t>分）</w:t>
            </w:r>
          </w:p>
        </w:tc>
        <w:tc>
          <w:tcPr>
            <w:tcW w:w="1467"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管理制度是否健全</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5</w:t>
            </w:r>
          </w:p>
        </w:tc>
        <w:tc>
          <w:tcPr>
            <w:tcW w:w="714"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75"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467"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制度执行有效性</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rPr>
              <w:t>5</w:t>
            </w:r>
          </w:p>
        </w:tc>
        <w:tc>
          <w:tcPr>
            <w:tcW w:w="714"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59"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467"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项目档案资料完整性</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6</w:t>
            </w:r>
          </w:p>
        </w:tc>
        <w:tc>
          <w:tcPr>
            <w:tcW w:w="714"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2" w:hRule="exact"/>
          <w:jc w:val="center"/>
        </w:trPr>
        <w:tc>
          <w:tcPr>
            <w:tcW w:w="3503" w:type="pct"/>
            <w:gridSpan w:val="3"/>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合  计</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40</w:t>
            </w:r>
          </w:p>
        </w:tc>
        <w:tc>
          <w:tcPr>
            <w:tcW w:w="714"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36.8</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1.项目财务管理（</w:t>
      </w:r>
      <w:r>
        <w:rPr>
          <w:rFonts w:hint="eastAsia" w:ascii="仿宋" w:hAnsi="仿宋" w:eastAsia="仿宋" w:cs="仿宋"/>
          <w:sz w:val="30"/>
          <w:szCs w:val="30"/>
          <w:highlight w:val="none"/>
          <w:lang w:val="en-US" w:eastAsia="zh-CN"/>
        </w:rPr>
        <w:t>24</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 xml:space="preserve">    （1）资金实际使用率（</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该指标主要评价实际使用</w:t>
      </w:r>
      <w:r>
        <w:rPr>
          <w:rFonts w:hint="eastAsia" w:ascii="仿宋" w:hAnsi="仿宋" w:eastAsia="仿宋" w:cs="仿宋"/>
          <w:sz w:val="30"/>
          <w:szCs w:val="30"/>
          <w:highlight w:val="none"/>
          <w:lang w:val="en-US" w:eastAsia="zh-CN"/>
        </w:rPr>
        <w:t>项目</w:t>
      </w:r>
      <w:r>
        <w:rPr>
          <w:rFonts w:hint="eastAsia" w:ascii="仿宋" w:hAnsi="仿宋" w:eastAsia="仿宋" w:cs="仿宋"/>
          <w:sz w:val="30"/>
          <w:szCs w:val="30"/>
          <w:highlight w:val="none"/>
        </w:rPr>
        <w:t>资金数额占</w:t>
      </w:r>
      <w:r>
        <w:rPr>
          <w:rFonts w:hint="eastAsia" w:ascii="仿宋" w:hAnsi="仿宋" w:eastAsia="仿宋" w:cs="仿宋"/>
          <w:sz w:val="30"/>
          <w:szCs w:val="30"/>
          <w:highlight w:val="none"/>
          <w:lang w:val="en-US" w:eastAsia="zh-CN"/>
        </w:rPr>
        <w:t>项目</w:t>
      </w:r>
      <w:r>
        <w:rPr>
          <w:rFonts w:hint="eastAsia" w:ascii="仿宋" w:hAnsi="仿宋" w:eastAsia="仿宋" w:cs="仿宋"/>
          <w:sz w:val="30"/>
          <w:szCs w:val="30"/>
          <w:highlight w:val="none"/>
        </w:rPr>
        <w:t>资金实际拨付额比例。</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经检查，</w:t>
      </w: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lang w:eastAsia="zh-CN"/>
        </w:rPr>
        <w:t>02</w:t>
      </w:r>
      <w:r>
        <w:rPr>
          <w:rFonts w:hint="eastAsia" w:ascii="仿宋" w:hAnsi="仿宋" w:eastAsia="仿宋" w:cs="仿宋"/>
          <w:sz w:val="30"/>
          <w:szCs w:val="30"/>
          <w:highlight w:val="none"/>
          <w:lang w:val="en-US" w:eastAsia="zh-CN"/>
        </w:rPr>
        <w:t>1</w:t>
      </w:r>
      <w:r>
        <w:rPr>
          <w:rFonts w:hint="eastAsia" w:ascii="仿宋" w:hAnsi="仿宋" w:eastAsia="仿宋" w:cs="仿宋"/>
          <w:sz w:val="30"/>
          <w:szCs w:val="30"/>
          <w:highlight w:val="none"/>
          <w:lang w:eastAsia="zh-CN"/>
        </w:rPr>
        <w:t>年度共安排</w:t>
      </w:r>
      <w:r>
        <w:rPr>
          <w:rFonts w:hint="eastAsia" w:ascii="仿宋" w:hAnsi="仿宋" w:eastAsia="仿宋" w:cs="仿宋"/>
          <w:sz w:val="30"/>
          <w:szCs w:val="30"/>
          <w:highlight w:val="none"/>
          <w:lang w:val="en-US" w:eastAsia="zh-CN"/>
        </w:rPr>
        <w:t>项目</w:t>
      </w:r>
      <w:r>
        <w:rPr>
          <w:rFonts w:hint="eastAsia" w:ascii="仿宋" w:hAnsi="仿宋" w:eastAsia="仿宋" w:cs="仿宋"/>
          <w:sz w:val="30"/>
          <w:szCs w:val="30"/>
          <w:highlight w:val="none"/>
        </w:rPr>
        <w:t>资金</w:t>
      </w:r>
      <w:r>
        <w:rPr>
          <w:rFonts w:hint="eastAsia" w:ascii="仿宋" w:hAnsi="仿宋" w:eastAsia="仿宋" w:cs="仿宋"/>
          <w:sz w:val="30"/>
          <w:szCs w:val="30"/>
          <w:highlight w:val="none"/>
          <w:lang w:val="en-US" w:eastAsia="zh-CN"/>
        </w:rPr>
        <w:t>1636.21</w:t>
      </w:r>
      <w:r>
        <w:rPr>
          <w:rFonts w:hint="eastAsia" w:ascii="仿宋" w:hAnsi="仿宋" w:eastAsia="仿宋" w:cs="仿宋"/>
          <w:sz w:val="30"/>
          <w:szCs w:val="30"/>
          <w:highlight w:val="none"/>
          <w:lang w:eastAsia="zh-CN"/>
        </w:rPr>
        <w:t>万元，</w:t>
      </w:r>
      <w:r>
        <w:rPr>
          <w:rFonts w:hint="eastAsia" w:ascii="仿宋" w:hAnsi="仿宋" w:eastAsia="仿宋" w:cs="仿宋"/>
          <w:sz w:val="30"/>
          <w:szCs w:val="30"/>
          <w:highlight w:val="none"/>
        </w:rPr>
        <w:t>202</w:t>
      </w:r>
      <w:r>
        <w:rPr>
          <w:rFonts w:hint="eastAsia" w:ascii="仿宋" w:hAnsi="仿宋" w:eastAsia="仿宋" w:cs="仿宋"/>
          <w:sz w:val="30"/>
          <w:szCs w:val="30"/>
          <w:highlight w:val="none"/>
          <w:lang w:val="en-US" w:eastAsia="zh-CN"/>
        </w:rPr>
        <w:t>1</w:t>
      </w:r>
      <w:r>
        <w:rPr>
          <w:rFonts w:hint="eastAsia" w:ascii="仿宋" w:hAnsi="仿宋" w:eastAsia="仿宋" w:cs="仿宋"/>
          <w:sz w:val="30"/>
          <w:szCs w:val="30"/>
          <w:highlight w:val="none"/>
        </w:rPr>
        <w:t>年度</w:t>
      </w:r>
      <w:r>
        <w:rPr>
          <w:rFonts w:hint="eastAsia" w:ascii="仿宋" w:hAnsi="仿宋" w:eastAsia="仿宋" w:cs="仿宋"/>
          <w:sz w:val="30"/>
          <w:szCs w:val="30"/>
          <w:highlight w:val="none"/>
          <w:lang w:val="en-US" w:eastAsia="zh-CN"/>
        </w:rPr>
        <w:t>共使用项目资金1636.21</w:t>
      </w:r>
      <w:r>
        <w:rPr>
          <w:rFonts w:hint="eastAsia" w:ascii="仿宋" w:hAnsi="仿宋" w:eastAsia="仿宋" w:cs="仿宋"/>
          <w:sz w:val="30"/>
          <w:szCs w:val="30"/>
          <w:highlight w:val="none"/>
          <w:lang w:eastAsia="zh-CN"/>
        </w:rPr>
        <w:t>万元</w:t>
      </w:r>
      <w:r>
        <w:rPr>
          <w:rFonts w:hint="eastAsia" w:ascii="仿宋" w:hAnsi="仿宋" w:eastAsia="仿宋" w:cs="仿宋"/>
          <w:sz w:val="30"/>
          <w:szCs w:val="30"/>
          <w:highlight w:val="none"/>
        </w:rPr>
        <w:t>，实际使用专项资金数额占专项资金拨付额的比例为</w:t>
      </w:r>
      <w:r>
        <w:rPr>
          <w:rFonts w:hint="eastAsia" w:ascii="仿宋" w:hAnsi="仿宋" w:eastAsia="仿宋" w:cs="仿宋"/>
          <w:sz w:val="30"/>
          <w:szCs w:val="30"/>
          <w:highlight w:val="none"/>
          <w:lang w:val="en-US" w:eastAsia="zh-CN"/>
        </w:rPr>
        <w:t>100</w:t>
      </w:r>
      <w:r>
        <w:rPr>
          <w:rFonts w:hint="eastAsia" w:ascii="仿宋" w:hAnsi="仿宋" w:eastAsia="仿宋" w:cs="仿宋"/>
          <w:sz w:val="30"/>
          <w:szCs w:val="30"/>
          <w:highlight w:val="none"/>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该项指标实际得分</w:t>
      </w:r>
      <w:r>
        <w:rPr>
          <w:rFonts w:hint="eastAsia" w:ascii="仿宋" w:hAnsi="仿宋" w:eastAsia="仿宋" w:cs="仿宋"/>
          <w:sz w:val="30"/>
          <w:szCs w:val="30"/>
          <w:highlight w:val="none"/>
          <w:lang w:val="en-US" w:eastAsia="zh-CN"/>
        </w:rPr>
        <w:t>6*100</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（2）会计核算（</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该指标主要评价会计核算是否严格遵守有关法规及制度规定，会计核算是否规范，专项资金支付申报、审批流程是否完善、支付依据是否合法。</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经检查，</w:t>
      </w:r>
      <w:r>
        <w:rPr>
          <w:rFonts w:hint="eastAsia" w:ascii="仿宋" w:hAnsi="仿宋" w:eastAsia="仿宋" w:cs="仿宋"/>
          <w:sz w:val="30"/>
          <w:szCs w:val="30"/>
          <w:highlight w:val="none"/>
          <w:lang w:val="en-US" w:eastAsia="zh-CN"/>
        </w:rPr>
        <w:t>曲阳县水利局</w:t>
      </w:r>
      <w:r>
        <w:rPr>
          <w:rFonts w:hint="eastAsia" w:ascii="仿宋" w:hAnsi="仿宋" w:eastAsia="仿宋" w:cs="仿宋"/>
          <w:sz w:val="30"/>
          <w:szCs w:val="30"/>
          <w:highlight w:val="none"/>
          <w:lang w:eastAsia="zh-CN"/>
        </w:rPr>
        <w:t>会计核算严格遵守《政府会计制度》的相关规定，科目使用正确，核算规范；各项补贴资金的支付申报、审批流程完善，支付依据充分合法。</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该项指标实际得分</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（3）资金支出合规性（</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该指标主要评价专项资金是否严格按照资金管理办法的用途支出，是否有截留、挤占、挪用等违规行为。</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经检查，该项目资金严格按照专项资金管理办法的规定支出，专款专用，不存在截留、挤占、挪用等违规行为。</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4</w:t>
      </w:r>
      <w:r>
        <w:rPr>
          <w:rFonts w:hint="eastAsia" w:ascii="仿宋" w:hAnsi="仿宋" w:eastAsia="仿宋" w:cs="仿宋"/>
          <w:sz w:val="30"/>
          <w:szCs w:val="30"/>
          <w:lang w:eastAsia="zh-CN"/>
        </w:rPr>
        <w:t>）</w:t>
      </w:r>
      <w:r>
        <w:rPr>
          <w:rFonts w:hint="eastAsia" w:ascii="仿宋" w:hAnsi="仿宋" w:eastAsia="仿宋" w:cs="仿宋"/>
          <w:sz w:val="30"/>
          <w:szCs w:val="30"/>
        </w:rPr>
        <w:t>预算执行率（</w:t>
      </w:r>
      <w:r>
        <w:rPr>
          <w:rFonts w:hint="eastAsia" w:ascii="仿宋" w:hAnsi="仿宋" w:eastAsia="仿宋" w:cs="仿宋"/>
          <w:sz w:val="30"/>
          <w:szCs w:val="30"/>
          <w:lang w:val="en-US" w:eastAsia="zh-CN"/>
        </w:rPr>
        <w:t>6</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该指标主要评价实际使用专项资金数额占</w:t>
      </w:r>
      <w:r>
        <w:rPr>
          <w:rFonts w:hint="eastAsia" w:ascii="仿宋" w:hAnsi="仿宋" w:eastAsia="仿宋" w:cs="仿宋"/>
          <w:sz w:val="30"/>
          <w:szCs w:val="30"/>
          <w:lang w:val="en-US" w:eastAsia="zh-CN"/>
        </w:rPr>
        <w:t>预算专项资金额</w:t>
      </w:r>
      <w:r>
        <w:rPr>
          <w:rFonts w:hint="eastAsia" w:ascii="仿宋" w:hAnsi="仿宋" w:eastAsia="仿宋" w:cs="仿宋"/>
          <w:sz w:val="30"/>
          <w:szCs w:val="30"/>
        </w:rPr>
        <w:t>比例。</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经检查，202</w:t>
      </w:r>
      <w:r>
        <w:rPr>
          <w:rFonts w:hint="eastAsia" w:ascii="仿宋" w:hAnsi="仿宋" w:eastAsia="仿宋" w:cs="仿宋"/>
          <w:sz w:val="30"/>
          <w:szCs w:val="30"/>
          <w:lang w:val="en-US" w:eastAsia="zh-CN"/>
        </w:rPr>
        <w:t>1</w:t>
      </w:r>
      <w:r>
        <w:rPr>
          <w:rFonts w:hint="eastAsia" w:ascii="仿宋" w:hAnsi="仿宋" w:eastAsia="仿宋" w:cs="仿宋"/>
          <w:sz w:val="30"/>
          <w:szCs w:val="30"/>
        </w:rPr>
        <w:t>年</w:t>
      </w:r>
      <w:r>
        <w:rPr>
          <w:rFonts w:hint="eastAsia" w:ascii="仿宋" w:hAnsi="仿宋" w:eastAsia="仿宋" w:cs="仿宋"/>
          <w:sz w:val="30"/>
          <w:szCs w:val="30"/>
          <w:lang w:val="en-US" w:eastAsia="zh-CN"/>
        </w:rPr>
        <w:t>专项</w:t>
      </w:r>
      <w:r>
        <w:rPr>
          <w:rFonts w:hint="eastAsia" w:ascii="仿宋" w:hAnsi="仿宋" w:eastAsia="仿宋" w:cs="仿宋"/>
          <w:sz w:val="30"/>
          <w:szCs w:val="30"/>
        </w:rPr>
        <w:t>资金</w:t>
      </w:r>
      <w:r>
        <w:rPr>
          <w:rFonts w:hint="eastAsia" w:ascii="仿宋" w:hAnsi="仿宋" w:eastAsia="仿宋" w:cs="仿宋"/>
          <w:sz w:val="30"/>
          <w:szCs w:val="30"/>
          <w:lang w:val="en-US" w:eastAsia="zh-CN"/>
        </w:rPr>
        <w:t>1636.21</w:t>
      </w:r>
      <w:r>
        <w:rPr>
          <w:rFonts w:hint="eastAsia" w:ascii="仿宋" w:hAnsi="仿宋" w:eastAsia="仿宋" w:cs="仿宋"/>
          <w:sz w:val="30"/>
          <w:szCs w:val="30"/>
        </w:rPr>
        <w:t>万元用于该项目，202</w:t>
      </w:r>
      <w:r>
        <w:rPr>
          <w:rFonts w:hint="eastAsia" w:ascii="仿宋" w:hAnsi="仿宋" w:eastAsia="仿宋" w:cs="仿宋"/>
          <w:sz w:val="30"/>
          <w:szCs w:val="30"/>
          <w:lang w:val="en-US" w:eastAsia="zh-CN"/>
        </w:rPr>
        <w:t>1</w:t>
      </w:r>
      <w:r>
        <w:rPr>
          <w:rFonts w:hint="eastAsia" w:ascii="仿宋" w:hAnsi="仿宋" w:eastAsia="仿宋" w:cs="仿宋"/>
          <w:sz w:val="30"/>
          <w:szCs w:val="30"/>
        </w:rPr>
        <w:t>年度该项目</w:t>
      </w:r>
      <w:r>
        <w:rPr>
          <w:rFonts w:hint="eastAsia" w:ascii="仿宋" w:hAnsi="仿宋" w:eastAsia="仿宋" w:cs="仿宋"/>
          <w:sz w:val="30"/>
          <w:szCs w:val="30"/>
          <w:lang w:val="en-US" w:eastAsia="zh-CN"/>
        </w:rPr>
        <w:t>预算资金1689</w:t>
      </w:r>
      <w:r>
        <w:rPr>
          <w:rFonts w:hint="eastAsia" w:ascii="仿宋" w:hAnsi="仿宋" w:eastAsia="仿宋" w:cs="仿宋"/>
          <w:sz w:val="30"/>
          <w:szCs w:val="30"/>
        </w:rPr>
        <w:t>万元，实际使用专项资金数额占预算专项资金额的比例为</w:t>
      </w:r>
      <w:r>
        <w:rPr>
          <w:rFonts w:hint="eastAsia" w:ascii="仿宋" w:hAnsi="仿宋" w:eastAsia="仿宋" w:cs="仿宋"/>
          <w:sz w:val="30"/>
          <w:szCs w:val="30"/>
          <w:lang w:val="en-US" w:eastAsia="zh-CN"/>
        </w:rPr>
        <w:t>96.87</w:t>
      </w:r>
      <w:r>
        <w:rPr>
          <w:rFonts w:hint="eastAsia" w:ascii="仿宋" w:hAnsi="仿宋" w:eastAsia="仿宋" w:cs="仿宋"/>
          <w:sz w:val="30"/>
          <w:szCs w:val="30"/>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该项指标实际得分</w:t>
      </w:r>
      <w:r>
        <w:rPr>
          <w:rFonts w:hint="eastAsia" w:ascii="仿宋" w:hAnsi="仿宋" w:eastAsia="仿宋" w:cs="仿宋"/>
          <w:sz w:val="30"/>
          <w:szCs w:val="30"/>
          <w:highlight w:val="none"/>
          <w:lang w:val="en-US" w:eastAsia="zh-CN"/>
        </w:rPr>
        <w:t>6*96.87%=5.8</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2.项目业务管理（</w:t>
      </w:r>
      <w:r>
        <w:rPr>
          <w:rFonts w:hint="eastAsia" w:ascii="仿宋" w:hAnsi="仿宋" w:eastAsia="仿宋" w:cs="仿宋"/>
          <w:sz w:val="30"/>
          <w:szCs w:val="30"/>
          <w:highlight w:val="none"/>
          <w:lang w:val="en-US" w:eastAsia="zh-CN"/>
        </w:rPr>
        <w:t>16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bookmarkStart w:id="64" w:name="_Toc21112"/>
      <w:bookmarkStart w:id="65" w:name="_Toc30993"/>
      <w:bookmarkStart w:id="66" w:name="_Toc6507"/>
      <w:bookmarkStart w:id="67" w:name="_Toc83630335"/>
      <w:bookmarkStart w:id="68" w:name="_Toc83631045"/>
      <w:r>
        <w:rPr>
          <w:rFonts w:hint="eastAsia" w:ascii="仿宋" w:hAnsi="仿宋" w:eastAsia="仿宋" w:cs="仿宋"/>
          <w:sz w:val="30"/>
          <w:szCs w:val="30"/>
          <w:highlight w:val="none"/>
        </w:rPr>
        <w:t>（1）</w:t>
      </w:r>
      <w:r>
        <w:rPr>
          <w:rFonts w:hint="eastAsia" w:ascii="仿宋" w:hAnsi="仿宋" w:eastAsia="仿宋" w:cs="仿宋"/>
          <w:sz w:val="30"/>
          <w:szCs w:val="30"/>
          <w:highlight w:val="none"/>
          <w:lang w:val="en-US" w:eastAsia="zh-CN"/>
        </w:rPr>
        <w:t>管理制度是否健全</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该指标主要评价项目制定的管理制度和措施是否全面、明确、合理</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能否保障项目顺利实施</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经检查，</w:t>
      </w:r>
      <w:r>
        <w:rPr>
          <w:rFonts w:hint="eastAsia" w:ascii="仿宋" w:hAnsi="仿宋" w:eastAsia="仿宋" w:cs="仿宋"/>
          <w:sz w:val="30"/>
          <w:szCs w:val="30"/>
          <w:highlight w:val="none"/>
          <w:lang w:val="en-US" w:eastAsia="zh-CN"/>
        </w:rPr>
        <w:t>项目按照河北省水利厅关于</w:t>
      </w:r>
      <w:r>
        <w:rPr>
          <w:rFonts w:hint="eastAsia" w:ascii="仿宋" w:hAnsi="仿宋" w:eastAsia="仿宋" w:cs="仿宋"/>
          <w:sz w:val="30"/>
          <w:szCs w:val="30"/>
          <w:highlight w:val="none"/>
        </w:rPr>
        <w:t>印发《</w:t>
      </w:r>
      <w:r>
        <w:rPr>
          <w:rFonts w:hint="eastAsia" w:ascii="仿宋" w:hAnsi="仿宋" w:eastAsia="仿宋" w:cs="仿宋"/>
          <w:sz w:val="30"/>
          <w:szCs w:val="30"/>
          <w:highlight w:val="none"/>
          <w:lang w:val="en-US" w:eastAsia="zh-CN"/>
        </w:rPr>
        <w:t>河北省水库移民后期扶持项目管理办法</w:t>
      </w:r>
      <w:r>
        <w:rPr>
          <w:rFonts w:hint="eastAsia" w:ascii="仿宋" w:hAnsi="仿宋" w:eastAsia="仿宋" w:cs="仿宋"/>
          <w:sz w:val="30"/>
          <w:szCs w:val="30"/>
          <w:highlight w:val="none"/>
        </w:rPr>
        <w:t>》的通知</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冀水移[</w:t>
      </w:r>
      <w:r>
        <w:rPr>
          <w:rFonts w:hint="eastAsia" w:ascii="仿宋" w:hAnsi="仿宋" w:eastAsia="仿宋" w:cs="仿宋"/>
          <w:sz w:val="30"/>
          <w:szCs w:val="30"/>
          <w:highlight w:val="none"/>
        </w:rPr>
        <w:t>20</w:t>
      </w:r>
      <w:r>
        <w:rPr>
          <w:rFonts w:hint="eastAsia" w:ascii="仿宋" w:hAnsi="仿宋" w:eastAsia="仿宋" w:cs="仿宋"/>
          <w:sz w:val="30"/>
          <w:szCs w:val="30"/>
          <w:highlight w:val="none"/>
          <w:lang w:val="en-US" w:eastAsia="zh-CN"/>
        </w:rPr>
        <w:t>19</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9号</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文件要求实施。</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但评价发现，未针对该项目制定总体的实施管理办法，专项资金管理办法等相关制度，项目制度建设需进一步加强。</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3</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w:t>
      </w:r>
      <w:r>
        <w:rPr>
          <w:rFonts w:hint="eastAsia" w:ascii="仿宋" w:hAnsi="仿宋" w:eastAsia="仿宋" w:cs="仿宋"/>
          <w:sz w:val="30"/>
          <w:szCs w:val="30"/>
          <w:highlight w:val="none"/>
          <w:lang w:val="en-US" w:eastAsia="zh-CN"/>
        </w:rPr>
        <w:t>制度执行有效性</w:t>
      </w:r>
      <w:r>
        <w:rPr>
          <w:rFonts w:hint="eastAsia" w:ascii="仿宋" w:hAnsi="仿宋" w:eastAsia="仿宋" w:cs="仿宋"/>
          <w:sz w:val="30"/>
          <w:szCs w:val="30"/>
          <w:highlight w:val="none"/>
        </w:rPr>
        <w:t>（5分）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该指标主要评价项目实施是否符合相关法律法规、业务管理制度的规定</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经</w:t>
      </w:r>
      <w:r>
        <w:rPr>
          <w:rFonts w:hint="eastAsia" w:ascii="仿宋" w:hAnsi="仿宋" w:eastAsia="仿宋" w:cs="仿宋"/>
          <w:sz w:val="30"/>
          <w:szCs w:val="30"/>
          <w:highlight w:val="none"/>
          <w:lang w:val="en-US" w:eastAsia="zh-CN"/>
        </w:rPr>
        <w:t>评价</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项目实施</w:t>
      </w:r>
      <w:r>
        <w:rPr>
          <w:rFonts w:hint="eastAsia" w:ascii="仿宋" w:hAnsi="仿宋" w:eastAsia="仿宋" w:cs="仿宋"/>
          <w:sz w:val="30"/>
          <w:szCs w:val="30"/>
          <w:highlight w:val="none"/>
        </w:rPr>
        <w:t>符合相关法律法规、业务管理制度的规定</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该指标得分</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3</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项目档案资料完整性（</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该指标主要评价项目档案资料是否齐全，保存是否完整。</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该项目档案资料较齐全，保存较完整</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但曲阳县水利局针对该项目的实施管理办法</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专项</w:t>
      </w:r>
      <w:r>
        <w:rPr>
          <w:rFonts w:hint="eastAsia" w:ascii="仿宋" w:hAnsi="仿宋" w:eastAsia="仿宋" w:cs="仿宋"/>
          <w:sz w:val="30"/>
          <w:szCs w:val="30"/>
          <w:highlight w:val="none"/>
          <w:lang w:eastAsia="zh-CN"/>
        </w:rPr>
        <w:t>资金管理办法等未提供</w:t>
      </w:r>
      <w:r>
        <w:rPr>
          <w:rFonts w:hint="eastAsia" w:ascii="仿宋" w:hAnsi="仿宋" w:eastAsia="仿宋" w:cs="仿宋"/>
          <w:sz w:val="30"/>
          <w:szCs w:val="30"/>
          <w:highlight w:val="none"/>
          <w:lang w:val="en-US"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rPr>
        <w:t>分。</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sz w:val="30"/>
          <w:szCs w:val="30"/>
          <w:highlight w:val="none"/>
        </w:rPr>
      </w:pPr>
      <w:r>
        <w:rPr>
          <w:rFonts w:hint="eastAsia" w:ascii="仿宋" w:hAnsi="仿宋" w:eastAsia="仿宋" w:cs="仿宋"/>
          <w:b w:val="0"/>
          <w:bCs w:val="0"/>
          <w:sz w:val="30"/>
          <w:szCs w:val="30"/>
          <w:highlight w:val="none"/>
        </w:rPr>
        <w:t>（三）项目产出（</w:t>
      </w:r>
      <w:r>
        <w:rPr>
          <w:rFonts w:hint="eastAsia" w:ascii="仿宋" w:hAnsi="仿宋" w:eastAsia="仿宋" w:cs="仿宋"/>
          <w:b w:val="0"/>
          <w:bCs w:val="0"/>
          <w:sz w:val="30"/>
          <w:szCs w:val="30"/>
          <w:highlight w:val="none"/>
          <w:lang w:val="en-US" w:eastAsia="zh-CN"/>
        </w:rPr>
        <w:t>20</w:t>
      </w:r>
      <w:r>
        <w:rPr>
          <w:rFonts w:hint="eastAsia" w:ascii="仿宋" w:hAnsi="仿宋" w:eastAsia="仿宋" w:cs="仿宋"/>
          <w:b w:val="0"/>
          <w:bCs w:val="0"/>
          <w:sz w:val="30"/>
          <w:szCs w:val="30"/>
          <w:highlight w:val="none"/>
        </w:rPr>
        <w:t>分）</w:t>
      </w:r>
      <w:bookmarkEnd w:id="64"/>
      <w:bookmarkEnd w:id="65"/>
      <w:bookmarkEnd w:id="66"/>
      <w:bookmarkEnd w:id="67"/>
      <w:bookmarkEnd w:id="68"/>
    </w:p>
    <w:p>
      <w:pPr>
        <w:spacing w:line="360" w:lineRule="auto"/>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该一级指标包含1个二级指标</w:t>
      </w:r>
      <w:r>
        <w:rPr>
          <w:rFonts w:hint="eastAsia" w:ascii="仿宋" w:hAnsi="仿宋" w:eastAsia="仿宋" w:cs="仿宋"/>
          <w:sz w:val="30"/>
          <w:szCs w:val="30"/>
          <w:highlight w:val="none"/>
          <w:lang w:val="en-US" w:eastAsia="zh-CN"/>
        </w:rPr>
        <w:t>3</w:t>
      </w:r>
      <w:r>
        <w:rPr>
          <w:rFonts w:hint="eastAsia" w:ascii="仿宋" w:hAnsi="仿宋" w:eastAsia="仿宋" w:cs="仿宋"/>
          <w:sz w:val="30"/>
          <w:szCs w:val="30"/>
          <w:highlight w:val="none"/>
        </w:rPr>
        <w:t>个三级指标，主要</w:t>
      </w:r>
      <w:r>
        <w:rPr>
          <w:rFonts w:hint="eastAsia" w:ascii="仿宋" w:hAnsi="仿宋" w:eastAsia="仿宋" w:cs="仿宋"/>
          <w:sz w:val="30"/>
          <w:szCs w:val="30"/>
          <w:highlight w:val="none"/>
          <w:lang w:val="en-US" w:eastAsia="zh-CN"/>
        </w:rPr>
        <w:t>从实际完成率、完成及时率、质量达标率</w:t>
      </w:r>
      <w:r>
        <w:rPr>
          <w:rFonts w:hint="eastAsia" w:ascii="仿宋" w:hAnsi="仿宋" w:eastAsia="仿宋" w:cs="仿宋"/>
          <w:sz w:val="30"/>
          <w:szCs w:val="30"/>
          <w:highlight w:val="none"/>
        </w:rPr>
        <w:t>是否达到预期</w:t>
      </w:r>
      <w:r>
        <w:rPr>
          <w:rFonts w:hint="eastAsia" w:ascii="仿宋" w:hAnsi="仿宋" w:eastAsia="仿宋" w:cs="仿宋"/>
          <w:sz w:val="30"/>
          <w:szCs w:val="30"/>
          <w:highlight w:val="none"/>
          <w:lang w:val="en-US" w:eastAsia="zh-CN"/>
        </w:rPr>
        <w:t>目标</w:t>
      </w:r>
      <w:r>
        <w:rPr>
          <w:rFonts w:hint="eastAsia" w:ascii="仿宋" w:hAnsi="仿宋" w:eastAsia="仿宋" w:cs="仿宋"/>
          <w:sz w:val="30"/>
          <w:szCs w:val="30"/>
          <w:highlight w:val="none"/>
        </w:rPr>
        <w:t>。</w:t>
      </w:r>
    </w:p>
    <w:tbl>
      <w:tblPr>
        <w:tblStyle w:val="16"/>
        <w:tblW w:w="4992" w:type="pct"/>
        <w:jc w:val="center"/>
        <w:tblLayout w:type="autofit"/>
        <w:tblCellMar>
          <w:top w:w="15" w:type="dxa"/>
          <w:left w:w="15" w:type="dxa"/>
          <w:bottom w:w="15" w:type="dxa"/>
          <w:right w:w="15" w:type="dxa"/>
        </w:tblCellMar>
      </w:tblPr>
      <w:tblGrid>
        <w:gridCol w:w="1650"/>
        <w:gridCol w:w="2026"/>
        <w:gridCol w:w="3441"/>
        <w:gridCol w:w="1460"/>
        <w:gridCol w:w="1076"/>
      </w:tblGrid>
      <w:tr>
        <w:tblPrEx>
          <w:tblCellMar>
            <w:top w:w="15" w:type="dxa"/>
            <w:left w:w="15" w:type="dxa"/>
            <w:bottom w:w="15" w:type="dxa"/>
            <w:right w:w="15" w:type="dxa"/>
          </w:tblCellMar>
        </w:tblPrEx>
        <w:trPr>
          <w:trHeight w:val="507" w:hRule="exact"/>
          <w:jc w:val="center"/>
        </w:trPr>
        <w:tc>
          <w:tcPr>
            <w:tcW w:w="855" w:type="pct"/>
            <w:tcBorders>
              <w:top w:val="single" w:color="000000" w:sz="4" w:space="0"/>
              <w:left w:val="single" w:color="000000"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一级指标</w:t>
            </w:r>
          </w:p>
        </w:tc>
        <w:tc>
          <w:tcPr>
            <w:tcW w:w="1049" w:type="pct"/>
            <w:tcBorders>
              <w:top w:val="single" w:color="000000" w:sz="4" w:space="0"/>
              <w:left w:val="single" w:color="000000"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二级指标</w:t>
            </w:r>
          </w:p>
        </w:tc>
        <w:tc>
          <w:tcPr>
            <w:tcW w:w="1781" w:type="pct"/>
            <w:tcBorders>
              <w:top w:val="single" w:color="000000" w:sz="4" w:space="0"/>
              <w:left w:val="single" w:color="000000"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三级指标</w:t>
            </w:r>
          </w:p>
        </w:tc>
        <w:tc>
          <w:tcPr>
            <w:tcW w:w="756" w:type="pct"/>
            <w:tcBorders>
              <w:top w:val="single" w:color="000000" w:sz="4" w:space="0"/>
              <w:left w:val="single" w:color="000000"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分数权重</w:t>
            </w:r>
          </w:p>
        </w:tc>
        <w:tc>
          <w:tcPr>
            <w:tcW w:w="557" w:type="pct"/>
            <w:tcBorders>
              <w:top w:val="single" w:color="000000" w:sz="4" w:space="0"/>
              <w:left w:val="single" w:color="000000"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得分</w:t>
            </w:r>
          </w:p>
        </w:tc>
      </w:tr>
      <w:tr>
        <w:tblPrEx>
          <w:tblCellMar>
            <w:top w:w="15" w:type="dxa"/>
            <w:left w:w="15" w:type="dxa"/>
            <w:bottom w:w="15" w:type="dxa"/>
            <w:right w:w="15" w:type="dxa"/>
          </w:tblCellMar>
        </w:tblPrEx>
        <w:trPr>
          <w:trHeight w:val="738" w:hRule="exact"/>
          <w:jc w:val="center"/>
        </w:trPr>
        <w:tc>
          <w:tcPr>
            <w:tcW w:w="855" w:type="pct"/>
            <w:vMerge w:val="restar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项目产出</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20</w:t>
            </w:r>
            <w:r>
              <w:rPr>
                <w:rFonts w:hint="eastAsia" w:ascii="仿宋" w:hAnsi="仿宋" w:eastAsia="仿宋" w:cs="仿宋"/>
                <w:color w:val="000000"/>
                <w:kern w:val="0"/>
                <w:sz w:val="24"/>
                <w:szCs w:val="24"/>
                <w:highlight w:val="none"/>
              </w:rPr>
              <w:t>分）</w:t>
            </w:r>
          </w:p>
        </w:tc>
        <w:tc>
          <w:tcPr>
            <w:tcW w:w="1049"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数量指标（6分）</w:t>
            </w:r>
          </w:p>
        </w:tc>
        <w:tc>
          <w:tcPr>
            <w:tcW w:w="1781"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工程项目数量</w:t>
            </w:r>
          </w:p>
        </w:tc>
        <w:tc>
          <w:tcPr>
            <w:tcW w:w="756"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6</w:t>
            </w:r>
          </w:p>
        </w:tc>
        <w:tc>
          <w:tcPr>
            <w:tcW w:w="1076"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6</w:t>
            </w:r>
          </w:p>
        </w:tc>
      </w:tr>
      <w:tr>
        <w:tblPrEx>
          <w:tblCellMar>
            <w:top w:w="15" w:type="dxa"/>
            <w:left w:w="15" w:type="dxa"/>
            <w:bottom w:w="15" w:type="dxa"/>
            <w:right w:w="15" w:type="dxa"/>
          </w:tblCellMar>
        </w:tblPrEx>
        <w:trPr>
          <w:trHeight w:val="828" w:hRule="exact"/>
          <w:jc w:val="center"/>
        </w:trPr>
        <w:tc>
          <w:tcPr>
            <w:tcW w:w="855" w:type="pct"/>
            <w:vMerge w:val="continue"/>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049"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时效指标（6分）</w:t>
            </w:r>
          </w:p>
        </w:tc>
        <w:tc>
          <w:tcPr>
            <w:tcW w:w="1781"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完成及时率</w:t>
            </w:r>
          </w:p>
        </w:tc>
        <w:tc>
          <w:tcPr>
            <w:tcW w:w="756"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6</w:t>
            </w:r>
          </w:p>
        </w:tc>
        <w:tc>
          <w:tcPr>
            <w:tcW w:w="1076"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6</w:t>
            </w:r>
          </w:p>
        </w:tc>
      </w:tr>
      <w:tr>
        <w:tblPrEx>
          <w:tblCellMar>
            <w:top w:w="15" w:type="dxa"/>
            <w:left w:w="15" w:type="dxa"/>
            <w:bottom w:w="15" w:type="dxa"/>
            <w:right w:w="15" w:type="dxa"/>
          </w:tblCellMar>
        </w:tblPrEx>
        <w:trPr>
          <w:trHeight w:val="828" w:hRule="exact"/>
          <w:jc w:val="center"/>
        </w:trPr>
        <w:tc>
          <w:tcPr>
            <w:tcW w:w="855" w:type="pct"/>
            <w:vMerge w:val="continue"/>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049"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质量指标（8分）</w:t>
            </w:r>
          </w:p>
        </w:tc>
        <w:tc>
          <w:tcPr>
            <w:tcW w:w="1781"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验收合格率</w:t>
            </w:r>
          </w:p>
        </w:tc>
        <w:tc>
          <w:tcPr>
            <w:tcW w:w="756" w:type="pct"/>
            <w:tcBorders>
              <w:top w:val="single" w:color="auto" w:sz="4" w:space="0"/>
              <w:left w:val="single" w:color="auto"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8</w:t>
            </w:r>
          </w:p>
        </w:tc>
        <w:tc>
          <w:tcPr>
            <w:tcW w:w="1076" w:type="dxa"/>
            <w:tcBorders>
              <w:top w:val="single" w:color="auto"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8</w:t>
            </w:r>
          </w:p>
        </w:tc>
      </w:tr>
      <w:tr>
        <w:tblPrEx>
          <w:tblCellMar>
            <w:top w:w="15" w:type="dxa"/>
            <w:left w:w="15" w:type="dxa"/>
            <w:bottom w:w="15" w:type="dxa"/>
            <w:right w:w="15" w:type="dxa"/>
          </w:tblCellMar>
        </w:tblPrEx>
        <w:trPr>
          <w:trHeight w:val="609" w:hRule="exact"/>
          <w:jc w:val="center"/>
        </w:trPr>
        <w:tc>
          <w:tcPr>
            <w:tcW w:w="3686" w:type="pct"/>
            <w:gridSpan w:val="3"/>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合  计</w:t>
            </w:r>
          </w:p>
        </w:tc>
        <w:tc>
          <w:tcPr>
            <w:tcW w:w="756" w:type="pct"/>
            <w:tcBorders>
              <w:top w:val="single" w:color="000000" w:sz="4" w:space="0"/>
              <w:left w:val="single" w:color="auto"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20</w:t>
            </w:r>
          </w:p>
        </w:tc>
        <w:tc>
          <w:tcPr>
            <w:tcW w:w="55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rPr>
            </w:pPr>
            <w:r>
              <w:rPr>
                <w:rFonts w:hint="eastAsia" w:ascii="仿宋" w:hAnsi="仿宋" w:eastAsia="仿宋" w:cs="仿宋"/>
                <w:color w:val="000000"/>
                <w:kern w:val="0"/>
                <w:sz w:val="24"/>
                <w:szCs w:val="24"/>
                <w:highlight w:val="none"/>
                <w:lang w:val="en-US" w:eastAsia="zh-CN"/>
              </w:rPr>
              <w:t>20</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bookmarkStart w:id="69" w:name="_Toc833"/>
      <w:bookmarkStart w:id="70" w:name="_Toc1929"/>
      <w:bookmarkStart w:id="71" w:name="_Toc83630336"/>
      <w:bookmarkStart w:id="72" w:name="_Toc83631046"/>
      <w:bookmarkStart w:id="73" w:name="_Toc16415"/>
      <w:r>
        <w:rPr>
          <w:rFonts w:hint="eastAsia" w:ascii="仿宋" w:hAnsi="仿宋" w:eastAsia="仿宋" w:cs="仿宋"/>
          <w:sz w:val="30"/>
          <w:szCs w:val="30"/>
          <w:highlight w:val="none"/>
          <w:lang w:val="en-US" w:eastAsia="zh-CN"/>
        </w:rPr>
        <w:t>1.工程项目数量（6分）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该指标主要评价项目实施的实际产出数是否达到计划产出数，用以反映和考核项目产出数量目标的实现程度。</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该项目计划</w:t>
      </w:r>
      <w:r>
        <w:rPr>
          <w:rFonts w:hint="eastAsia" w:ascii="仿宋" w:hAnsi="仿宋" w:eastAsia="仿宋" w:cs="仿宋"/>
          <w:sz w:val="30"/>
          <w:szCs w:val="30"/>
          <w:highlight w:val="none"/>
          <w:lang w:eastAsia="zh-CN"/>
        </w:rPr>
        <w:t>对</w:t>
      </w:r>
      <w:r>
        <w:rPr>
          <w:rFonts w:hint="eastAsia" w:ascii="仿宋" w:hAnsi="仿宋" w:eastAsia="仿宋" w:cs="仿宋"/>
          <w:sz w:val="30"/>
          <w:szCs w:val="30"/>
          <w:highlight w:val="none"/>
          <w:lang w:val="en-US" w:eastAsia="zh-CN"/>
        </w:rPr>
        <w:t>曲阳县4个乡镇共17个村实施美丽家园工程、水利配套工程、文化活动广场工程、道路工程、产业转型升级工程等共计20个工程项目</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实际20个工程项目已全部完成。</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该项指标实际得分6分。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2.完成及时率（6分）</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该指标主要评价项目实际提前完成时间与计划完成时间的比率，用以反映和考核项目产出时效目标的实现程度。</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截止评价日，曲阳县水利局已于2021年底前全部完成17个村的移民后期扶持工程项目。该项目已完成部分的完成及时率为100%。</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该项指标实际得分6分。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3.验收合格率（8分）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该指标主要评价项目完成的质量达标产出数与实际产出数的比率，用以反映和考核项目产出质量目标的实现程度。</w:t>
      </w:r>
    </w:p>
    <w:p>
      <w:pPr>
        <w:pageBreakBefore w:val="0"/>
        <w:kinsoku/>
        <w:wordWrap/>
        <w:overflowPunct/>
        <w:topLinePunct w:val="0"/>
        <w:autoSpaceDE/>
        <w:autoSpaceDN/>
        <w:bidi w:val="0"/>
        <w:adjustRightInd/>
        <w:snapToGrid/>
        <w:spacing w:line="560" w:lineRule="exact"/>
        <w:ind w:left="596" w:leftChars="284" w:firstLine="0" w:firstLineChars="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经检查，截止评价日，该项目已完成项目验收工作，且全部验收合格。该项指标实际得分8分。</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（四）项目效果（</w:t>
      </w:r>
      <w:r>
        <w:rPr>
          <w:rFonts w:hint="eastAsia" w:ascii="仿宋" w:hAnsi="仿宋" w:eastAsia="仿宋" w:cs="仿宋"/>
          <w:b w:val="0"/>
          <w:bCs w:val="0"/>
          <w:sz w:val="30"/>
          <w:szCs w:val="30"/>
          <w:highlight w:val="none"/>
          <w:lang w:val="en-US" w:eastAsia="zh-CN"/>
        </w:rPr>
        <w:t>20</w:t>
      </w:r>
      <w:r>
        <w:rPr>
          <w:rFonts w:hint="eastAsia" w:ascii="仿宋" w:hAnsi="仿宋" w:eastAsia="仿宋" w:cs="仿宋"/>
          <w:b w:val="0"/>
          <w:bCs w:val="0"/>
          <w:sz w:val="30"/>
          <w:szCs w:val="30"/>
          <w:highlight w:val="none"/>
        </w:rPr>
        <w:t>分）</w:t>
      </w:r>
      <w:bookmarkEnd w:id="69"/>
      <w:bookmarkEnd w:id="70"/>
      <w:bookmarkEnd w:id="71"/>
      <w:bookmarkEnd w:id="72"/>
      <w:bookmarkEnd w:id="73"/>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该一级指标包含项目效益1个二级指标和经济效益、社会效益2个三级指标。主要评价项目实施后所产生的各种效益，包括项目实施对经济发展和社会发展所带来的直接或间接影响情况。</w:t>
      </w:r>
    </w:p>
    <w:tbl>
      <w:tblPr>
        <w:tblStyle w:val="16"/>
        <w:tblW w:w="0" w:type="auto"/>
        <w:jc w:val="center"/>
        <w:tblLayout w:type="fixed"/>
        <w:tblCellMar>
          <w:top w:w="15" w:type="dxa"/>
          <w:left w:w="15" w:type="dxa"/>
          <w:bottom w:w="15" w:type="dxa"/>
          <w:right w:w="15" w:type="dxa"/>
        </w:tblCellMar>
      </w:tblPr>
      <w:tblGrid>
        <w:gridCol w:w="1591"/>
        <w:gridCol w:w="1489"/>
        <w:gridCol w:w="2588"/>
        <w:gridCol w:w="1434"/>
        <w:gridCol w:w="1490"/>
      </w:tblGrid>
      <w:tr>
        <w:tblPrEx>
          <w:tblCellMar>
            <w:top w:w="15" w:type="dxa"/>
            <w:left w:w="15" w:type="dxa"/>
            <w:bottom w:w="15" w:type="dxa"/>
            <w:right w:w="15" w:type="dxa"/>
          </w:tblCellMar>
        </w:tblPrEx>
        <w:trPr>
          <w:trHeight w:val="454" w:hRule="exact"/>
          <w:jc w:val="center"/>
        </w:trPr>
        <w:tc>
          <w:tcPr>
            <w:tcW w:w="15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一级指标</w:t>
            </w:r>
          </w:p>
        </w:tc>
        <w:tc>
          <w:tcPr>
            <w:tcW w:w="148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二级指标</w:t>
            </w:r>
          </w:p>
        </w:tc>
        <w:tc>
          <w:tcPr>
            <w:tcW w:w="258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三级指标</w:t>
            </w:r>
          </w:p>
        </w:tc>
        <w:tc>
          <w:tcPr>
            <w:tcW w:w="14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分数权重</w:t>
            </w:r>
          </w:p>
        </w:tc>
        <w:tc>
          <w:tcPr>
            <w:tcW w:w="14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得分</w:t>
            </w:r>
          </w:p>
        </w:tc>
      </w:tr>
      <w:tr>
        <w:tblPrEx>
          <w:tblCellMar>
            <w:top w:w="15" w:type="dxa"/>
            <w:left w:w="15" w:type="dxa"/>
            <w:bottom w:w="15" w:type="dxa"/>
            <w:right w:w="15" w:type="dxa"/>
          </w:tblCellMar>
        </w:tblPrEx>
        <w:trPr>
          <w:trHeight w:val="584" w:hRule="exact"/>
          <w:jc w:val="center"/>
        </w:trPr>
        <w:tc>
          <w:tcPr>
            <w:tcW w:w="159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项目效果</w:t>
            </w:r>
          </w:p>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w:t>
            </w:r>
            <w:r>
              <w:rPr>
                <w:rFonts w:hint="eastAsia" w:ascii="仿宋" w:hAnsi="仿宋" w:eastAsia="仿宋" w:cs="仿宋"/>
                <w:color w:val="000000"/>
                <w:kern w:val="0"/>
                <w:sz w:val="24"/>
                <w:szCs w:val="24"/>
                <w:highlight w:val="none"/>
                <w:lang w:val="en-US" w:eastAsia="zh-CN" w:bidi="ar"/>
              </w:rPr>
              <w:t>0</w:t>
            </w:r>
            <w:r>
              <w:rPr>
                <w:rFonts w:hint="eastAsia" w:ascii="仿宋" w:hAnsi="仿宋" w:eastAsia="仿宋" w:cs="仿宋"/>
                <w:color w:val="000000"/>
                <w:kern w:val="0"/>
                <w:sz w:val="24"/>
                <w:szCs w:val="24"/>
                <w:highlight w:val="none"/>
                <w:lang w:bidi="ar"/>
              </w:rPr>
              <w:t>分）</w:t>
            </w:r>
          </w:p>
        </w:tc>
        <w:tc>
          <w:tcPr>
            <w:tcW w:w="148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项目效益</w:t>
            </w:r>
          </w:p>
        </w:tc>
        <w:tc>
          <w:tcPr>
            <w:tcW w:w="258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经济效益</w:t>
            </w:r>
          </w:p>
        </w:tc>
        <w:tc>
          <w:tcPr>
            <w:tcW w:w="14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kern w:val="0"/>
                <w:sz w:val="24"/>
                <w:szCs w:val="24"/>
                <w:highlight w:val="none"/>
                <w:lang w:val="en-US" w:eastAsia="zh-CN" w:bidi="ar"/>
              </w:rPr>
              <w:t>10</w:t>
            </w:r>
          </w:p>
        </w:tc>
        <w:tc>
          <w:tcPr>
            <w:tcW w:w="14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kern w:val="0"/>
                <w:sz w:val="24"/>
                <w:szCs w:val="24"/>
                <w:highlight w:val="none"/>
                <w:lang w:val="en-US" w:eastAsia="zh-CN" w:bidi="ar"/>
              </w:rPr>
              <w:t>10</w:t>
            </w:r>
          </w:p>
        </w:tc>
      </w:tr>
      <w:tr>
        <w:tblPrEx>
          <w:tblCellMar>
            <w:top w:w="15" w:type="dxa"/>
            <w:left w:w="15" w:type="dxa"/>
            <w:bottom w:w="15" w:type="dxa"/>
            <w:right w:w="15" w:type="dxa"/>
          </w:tblCellMar>
        </w:tblPrEx>
        <w:trPr>
          <w:trHeight w:val="554" w:hRule="exact"/>
          <w:jc w:val="center"/>
        </w:trPr>
        <w:tc>
          <w:tcPr>
            <w:tcW w:w="159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highlight w:val="none"/>
              </w:rPr>
            </w:pPr>
          </w:p>
        </w:tc>
        <w:tc>
          <w:tcPr>
            <w:tcW w:w="148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highlight w:val="none"/>
              </w:rPr>
            </w:pPr>
          </w:p>
        </w:tc>
        <w:tc>
          <w:tcPr>
            <w:tcW w:w="258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社会效益</w:t>
            </w:r>
          </w:p>
        </w:tc>
        <w:tc>
          <w:tcPr>
            <w:tcW w:w="14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10</w:t>
            </w:r>
          </w:p>
        </w:tc>
        <w:tc>
          <w:tcPr>
            <w:tcW w:w="14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10</w:t>
            </w:r>
          </w:p>
        </w:tc>
      </w:tr>
      <w:tr>
        <w:tblPrEx>
          <w:tblCellMar>
            <w:top w:w="15" w:type="dxa"/>
            <w:left w:w="15" w:type="dxa"/>
            <w:bottom w:w="15" w:type="dxa"/>
            <w:right w:w="15" w:type="dxa"/>
          </w:tblCellMar>
        </w:tblPrEx>
        <w:trPr>
          <w:trHeight w:val="454" w:hRule="exact"/>
          <w:jc w:val="center"/>
        </w:trPr>
        <w:tc>
          <w:tcPr>
            <w:tcW w:w="5668"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合  计</w:t>
            </w:r>
          </w:p>
        </w:tc>
        <w:tc>
          <w:tcPr>
            <w:tcW w:w="14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20</w:t>
            </w:r>
          </w:p>
        </w:tc>
        <w:tc>
          <w:tcPr>
            <w:tcW w:w="14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20</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1.经济效益（10分）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该指标主要评价该项目实施对经济发展所带来的直接或间接影响情况。</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评价，项目建成投产后可以改善项目区灌溉用水条件，有利于改善种植结构，农作路硬化后将大大降低农产品和经济作物的运输成本和时间，从而促进当地群众收入增加，产业转型升级项目实施后，增加村民就业岗位，增强村集体经济实力，符合国家相关产业政策要求，从长远看取得国民经济效益较好。</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该项指标实际得分10分。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2.社会效益（10分）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该指标主要评价该项目实施对社会发展所带来的直接或间接影响情况。</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评价，通过项目的实施，改善村民生活环境，改善了村民居住生活条件，提升村容村貌，增加村民幸福感，促进精神文明建设，提高人民健康水平，为维护社会稳定、和谐发展发挥了积极作用，取得了较好的社会效益。</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该项指标实际得分10分。</w:t>
      </w:r>
    </w:p>
    <w:p>
      <w:pPr>
        <w:pStyle w:val="3"/>
        <w:pageBreakBefore w:val="0"/>
        <w:kinsoku/>
        <w:wordWrap/>
        <w:overflowPunct/>
        <w:topLinePunct w:val="0"/>
        <w:autoSpaceDE/>
        <w:autoSpaceDN/>
        <w:bidi w:val="0"/>
        <w:adjustRightInd/>
        <w:snapToGrid/>
        <w:spacing w:beforeAutospacing="0" w:afterAutospacing="0" w:line="560" w:lineRule="exact"/>
        <w:ind w:firstLine="643" w:firstLineChars="200"/>
        <w:rPr>
          <w:rFonts w:hint="eastAsia" w:ascii="仿宋" w:hAnsi="仿宋" w:eastAsia="仿宋" w:cs="仿宋"/>
          <w:sz w:val="32"/>
          <w:szCs w:val="32"/>
          <w:highlight w:val="none"/>
        </w:rPr>
      </w:pPr>
      <w:bookmarkStart w:id="74" w:name="_Toc6602"/>
      <w:bookmarkStart w:id="75" w:name="_Toc501368363"/>
      <w:bookmarkStart w:id="76" w:name="_Toc83630434"/>
      <w:bookmarkStart w:id="77" w:name="_Toc12802"/>
      <w:bookmarkStart w:id="78" w:name="_Toc24878"/>
      <w:bookmarkStart w:id="79" w:name="_Toc10985"/>
      <w:bookmarkStart w:id="80" w:name="_Toc2211"/>
      <w:bookmarkStart w:id="81" w:name="_Toc83631048"/>
      <w:r>
        <w:rPr>
          <w:rFonts w:hint="eastAsia" w:ascii="仿宋" w:hAnsi="仿宋" w:eastAsia="仿宋" w:cs="仿宋"/>
          <w:sz w:val="32"/>
          <w:szCs w:val="32"/>
          <w:highlight w:val="none"/>
          <w:lang w:val="en-US" w:eastAsia="zh-CN"/>
        </w:rPr>
        <w:t>六</w:t>
      </w:r>
      <w:r>
        <w:rPr>
          <w:rFonts w:hint="eastAsia" w:ascii="仿宋" w:hAnsi="仿宋" w:eastAsia="仿宋" w:cs="仿宋"/>
          <w:sz w:val="32"/>
          <w:szCs w:val="32"/>
          <w:highlight w:val="none"/>
        </w:rPr>
        <w:t>、项目综合评价</w:t>
      </w:r>
      <w:bookmarkEnd w:id="74"/>
      <w:bookmarkEnd w:id="75"/>
      <w:r>
        <w:rPr>
          <w:rFonts w:hint="eastAsia" w:ascii="仿宋" w:hAnsi="仿宋" w:eastAsia="仿宋" w:cs="仿宋"/>
          <w:sz w:val="32"/>
          <w:szCs w:val="32"/>
          <w:highlight w:val="none"/>
        </w:rPr>
        <w:t>结论和评价等级</w:t>
      </w:r>
      <w:bookmarkEnd w:id="76"/>
      <w:bookmarkEnd w:id="77"/>
      <w:bookmarkEnd w:id="78"/>
      <w:bookmarkEnd w:id="79"/>
      <w:bookmarkEnd w:id="80"/>
      <w:bookmarkEnd w:id="81"/>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bookmarkStart w:id="82" w:name="_Toc501368364"/>
      <w:r>
        <w:rPr>
          <w:rFonts w:hint="eastAsia" w:ascii="仿宋" w:hAnsi="仿宋" w:eastAsia="仿宋" w:cs="仿宋"/>
          <w:sz w:val="30"/>
          <w:szCs w:val="30"/>
          <w:highlight w:val="none"/>
        </w:rPr>
        <w:t>1.</w:t>
      </w:r>
      <w:r>
        <w:rPr>
          <w:rFonts w:hint="eastAsia" w:ascii="仿宋" w:hAnsi="仿宋" w:eastAsia="仿宋" w:cs="仿宋"/>
          <w:sz w:val="30"/>
          <w:szCs w:val="30"/>
          <w:highlight w:val="none"/>
          <w:lang w:val="en-US" w:eastAsia="zh-CN"/>
        </w:rPr>
        <w:t>确定</w:t>
      </w:r>
      <w:r>
        <w:rPr>
          <w:rFonts w:hint="eastAsia" w:ascii="仿宋" w:hAnsi="仿宋" w:eastAsia="仿宋" w:cs="仿宋"/>
          <w:sz w:val="30"/>
          <w:szCs w:val="30"/>
          <w:highlight w:val="none"/>
        </w:rPr>
        <w:t>评</w:t>
      </w:r>
      <w:bookmarkEnd w:id="82"/>
      <w:r>
        <w:rPr>
          <w:rFonts w:hint="eastAsia" w:ascii="仿宋" w:hAnsi="仿宋" w:eastAsia="仿宋" w:cs="仿宋"/>
          <w:sz w:val="30"/>
          <w:szCs w:val="30"/>
          <w:highlight w:val="none"/>
          <w:lang w:val="en-US" w:eastAsia="zh-CN"/>
        </w:rPr>
        <w:t>价分值：96.8分</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rPr>
        <w:t>2.评价等级</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优</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3.项目综合评价结论</w:t>
      </w:r>
    </w:p>
    <w:p>
      <w:pPr>
        <w:pageBreakBefore w:val="0"/>
        <w:kinsoku/>
        <w:wordWrap/>
        <w:overflowPunct/>
        <w:topLinePunct w:val="0"/>
        <w:autoSpaceDE/>
        <w:autoSpaceDN/>
        <w:bidi w:val="0"/>
        <w:adjustRightInd/>
        <w:snapToGrid/>
        <w:spacing w:line="560" w:lineRule="exact"/>
        <w:ind w:firstLine="588" w:firstLineChars="196"/>
        <w:outlineLvl w:val="0"/>
        <w:rPr>
          <w:rFonts w:hint="eastAsia" w:ascii="仿宋" w:hAnsi="仿宋" w:eastAsia="仿宋" w:cs="仿宋"/>
          <w:sz w:val="30"/>
          <w:szCs w:val="30"/>
          <w:highlight w:val="none"/>
        </w:rPr>
      </w:pPr>
      <w:bookmarkStart w:id="83" w:name="_Toc83631049"/>
      <w:bookmarkStart w:id="84" w:name="_Toc83630435"/>
      <w:bookmarkStart w:id="85" w:name="_Toc28969"/>
      <w:bookmarkStart w:id="86" w:name="_Toc25027"/>
      <w:r>
        <w:rPr>
          <w:rFonts w:hint="eastAsia" w:ascii="仿宋" w:hAnsi="仿宋" w:eastAsia="仿宋" w:cs="仿宋"/>
          <w:sz w:val="30"/>
          <w:szCs w:val="30"/>
          <w:highlight w:val="none"/>
        </w:rPr>
        <w:t>该项目严格资金使用管理，专款专用，</w:t>
      </w:r>
      <w:bookmarkEnd w:id="83"/>
      <w:bookmarkEnd w:id="84"/>
      <w:bookmarkEnd w:id="85"/>
      <w:bookmarkEnd w:id="86"/>
      <w:r>
        <w:rPr>
          <w:rFonts w:hint="eastAsia" w:ascii="仿宋" w:hAnsi="仿宋" w:eastAsia="仿宋" w:cs="仿宋"/>
          <w:sz w:val="30"/>
          <w:szCs w:val="30"/>
          <w:highlight w:val="none"/>
          <w:lang w:val="en-US" w:eastAsia="zh-CN"/>
        </w:rPr>
        <w:t>通过项目实施</w:t>
      </w:r>
      <w:r>
        <w:rPr>
          <w:rFonts w:hint="eastAsia" w:ascii="仿宋" w:hAnsi="仿宋" w:eastAsia="仿宋" w:cs="仿宋"/>
          <w:sz w:val="30"/>
          <w:szCs w:val="30"/>
          <w:highlight w:val="none"/>
        </w:rPr>
        <w:t>对促进精神文明建设，维护社会稳定有非常重大的意义，为构建和谐的农业生产软环境提供必要的保障。</w:t>
      </w:r>
    </w:p>
    <w:p>
      <w:pPr>
        <w:pStyle w:val="3"/>
        <w:pageBreakBefore w:val="0"/>
        <w:kinsoku/>
        <w:wordWrap/>
        <w:overflowPunct/>
        <w:topLinePunct w:val="0"/>
        <w:autoSpaceDE/>
        <w:autoSpaceDN/>
        <w:bidi w:val="0"/>
        <w:adjustRightInd/>
        <w:snapToGrid/>
        <w:spacing w:beforeAutospacing="0" w:afterAutospacing="0" w:line="560" w:lineRule="exact"/>
        <w:ind w:firstLine="643" w:firstLineChars="200"/>
        <w:rPr>
          <w:rFonts w:hint="eastAsia" w:ascii="仿宋" w:hAnsi="仿宋" w:eastAsia="仿宋" w:cs="仿宋"/>
          <w:bCs/>
          <w:sz w:val="32"/>
          <w:szCs w:val="32"/>
          <w:highlight w:val="none"/>
        </w:rPr>
      </w:pPr>
      <w:bookmarkStart w:id="87" w:name="_Toc7207"/>
      <w:bookmarkStart w:id="88" w:name="_Toc22941"/>
      <w:bookmarkStart w:id="89" w:name="_Toc30518"/>
      <w:bookmarkStart w:id="90" w:name="_Toc83630436"/>
      <w:bookmarkStart w:id="91" w:name="_Toc27278"/>
      <w:bookmarkStart w:id="92" w:name="_Toc83631050"/>
      <w:r>
        <w:rPr>
          <w:rFonts w:hint="eastAsia" w:ascii="仿宋" w:hAnsi="仿宋" w:eastAsia="仿宋" w:cs="仿宋"/>
          <w:bCs/>
          <w:sz w:val="32"/>
          <w:szCs w:val="32"/>
          <w:highlight w:val="none"/>
          <w:lang w:val="en-US" w:eastAsia="zh-CN"/>
        </w:rPr>
        <w:t>七</w:t>
      </w:r>
      <w:r>
        <w:rPr>
          <w:rFonts w:hint="eastAsia" w:ascii="仿宋" w:hAnsi="仿宋" w:eastAsia="仿宋" w:cs="仿宋"/>
          <w:bCs/>
          <w:sz w:val="32"/>
          <w:szCs w:val="32"/>
          <w:highlight w:val="none"/>
        </w:rPr>
        <w:t>、存在的问题</w:t>
      </w:r>
      <w:bookmarkEnd w:id="87"/>
      <w:bookmarkEnd w:id="88"/>
      <w:bookmarkEnd w:id="89"/>
      <w:bookmarkEnd w:id="90"/>
      <w:bookmarkEnd w:id="91"/>
      <w:bookmarkEnd w:id="92"/>
    </w:p>
    <w:p>
      <w:pPr>
        <w:pageBreakBefore w:val="0"/>
        <w:kinsoku/>
        <w:wordWrap/>
        <w:overflowPunct/>
        <w:topLinePunct w:val="0"/>
        <w:autoSpaceDE/>
        <w:autoSpaceDN/>
        <w:bidi w:val="0"/>
        <w:adjustRightInd/>
        <w:snapToGrid/>
        <w:spacing w:line="560" w:lineRule="exact"/>
        <w:ind w:firstLine="645" w:firstLineChars="215"/>
        <w:rPr>
          <w:rFonts w:hint="eastAsia" w:ascii="仿宋" w:hAnsi="仿宋" w:eastAsia="仿宋" w:cs="仿宋"/>
          <w:sz w:val="30"/>
          <w:szCs w:val="30"/>
          <w:highlight w:val="none"/>
        </w:rPr>
      </w:pPr>
      <w:r>
        <w:rPr>
          <w:rFonts w:hint="eastAsia" w:ascii="仿宋" w:hAnsi="仿宋" w:eastAsia="仿宋" w:cs="仿宋"/>
          <w:sz w:val="30"/>
          <w:szCs w:val="30"/>
          <w:highlight w:val="none"/>
        </w:rPr>
        <w:t>该项目取得的成绩是肯定的，但在实现绩效目标过程中也存在一些不足之处，具体归纳为：</w:t>
      </w:r>
    </w:p>
    <w:p>
      <w:pPr>
        <w:keepNext w:val="0"/>
        <w:keepLines w:val="0"/>
        <w:pageBreakBefore w:val="0"/>
        <w:numPr>
          <w:ilvl w:val="0"/>
          <w:numId w:val="2"/>
        </w:numPr>
        <w:kinsoku/>
        <w:wordWrap/>
        <w:overflowPunct/>
        <w:topLinePunct w:val="0"/>
        <w:autoSpaceDE/>
        <w:autoSpaceDN/>
        <w:bidi w:val="0"/>
        <w:adjustRightInd/>
        <w:snapToGrid/>
        <w:spacing w:line="560" w:lineRule="atLeast"/>
        <w:ind w:firstLine="600" w:firstLineChars="200"/>
        <w:jc w:val="left"/>
        <w:textAlignment w:val="auto"/>
        <w:rPr>
          <w:rFonts w:hint="default" w:ascii="仿宋" w:hAnsi="仿宋" w:eastAsia="仿宋" w:cs="仿宋"/>
          <w:sz w:val="30"/>
          <w:szCs w:val="30"/>
          <w:highlight w:val="none"/>
          <w:lang w:val="en-US" w:eastAsia="zh-CN"/>
        </w:rPr>
      </w:pPr>
      <w:bookmarkStart w:id="93" w:name="_Toc6530"/>
      <w:bookmarkStart w:id="94" w:name="_Toc83630437"/>
      <w:bookmarkStart w:id="95" w:name="_Toc23781"/>
      <w:bookmarkStart w:id="96" w:name="_Toc83631051"/>
      <w:r>
        <w:rPr>
          <w:rFonts w:hint="eastAsia" w:ascii="仿宋" w:hAnsi="仿宋" w:eastAsia="仿宋" w:cs="仿宋"/>
          <w:sz w:val="30"/>
          <w:szCs w:val="30"/>
          <w:highlight w:val="none"/>
          <w:lang w:val="en-US" w:eastAsia="zh-CN"/>
        </w:rPr>
        <w:t>预算执行方面</w:t>
      </w:r>
    </w:p>
    <w:p>
      <w:pPr>
        <w:keepNext w:val="0"/>
        <w:keepLines w:val="0"/>
        <w:pageBreakBefore w:val="0"/>
        <w:numPr>
          <w:ilvl w:val="0"/>
          <w:numId w:val="0"/>
        </w:numPr>
        <w:kinsoku/>
        <w:wordWrap/>
        <w:overflowPunct/>
        <w:topLinePunct w:val="0"/>
        <w:autoSpaceDE/>
        <w:autoSpaceDN/>
        <w:bidi w:val="0"/>
        <w:adjustRightInd/>
        <w:snapToGrid/>
        <w:spacing w:line="560" w:lineRule="atLeast"/>
        <w:ind w:firstLine="900" w:firstLineChars="300"/>
        <w:jc w:val="left"/>
        <w:textAlignment w:val="auto"/>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本项目全年预算数为1689万元，2021年实际执行数为1636.21万元，</w:t>
      </w:r>
      <w:r>
        <w:rPr>
          <w:rFonts w:hint="eastAsia" w:ascii="仿宋" w:hAnsi="仿宋" w:eastAsia="仿宋" w:cs="仿宋"/>
          <w:sz w:val="30"/>
          <w:szCs w:val="30"/>
          <w:highlight w:val="none"/>
          <w:lang w:eastAsia="zh-CN"/>
        </w:rPr>
        <w:t>项目</w:t>
      </w:r>
      <w:r>
        <w:rPr>
          <w:rFonts w:hint="eastAsia" w:ascii="仿宋" w:hAnsi="仿宋" w:eastAsia="仿宋" w:cs="仿宋"/>
          <w:sz w:val="30"/>
          <w:szCs w:val="30"/>
          <w:highlight w:val="none"/>
          <w:lang w:val="en-US" w:eastAsia="zh-CN"/>
        </w:rPr>
        <w:t>预算执行有待加强。</w:t>
      </w:r>
    </w:p>
    <w:p>
      <w:pPr>
        <w:keepNext w:val="0"/>
        <w:keepLines w:val="0"/>
        <w:pageBreakBefore w:val="0"/>
        <w:numPr>
          <w:ilvl w:val="0"/>
          <w:numId w:val="0"/>
        </w:numPr>
        <w:kinsoku/>
        <w:wordWrap/>
        <w:overflowPunct/>
        <w:topLinePunct w:val="0"/>
        <w:autoSpaceDE/>
        <w:autoSpaceDN/>
        <w:bidi w:val="0"/>
        <w:adjustRightInd/>
        <w:snapToGrid/>
        <w:spacing w:line="560" w:lineRule="atLeast"/>
        <w:ind w:left="562" w:leftChars="0"/>
        <w:jc w:val="left"/>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（二）项目管理方面</w:t>
      </w:r>
    </w:p>
    <w:p>
      <w:pPr>
        <w:keepNext w:val="0"/>
        <w:keepLines w:val="0"/>
        <w:pageBreakBefore w:val="0"/>
        <w:numPr>
          <w:ilvl w:val="0"/>
          <w:numId w:val="0"/>
        </w:numPr>
        <w:kinsoku/>
        <w:wordWrap/>
        <w:overflowPunct/>
        <w:topLinePunct w:val="0"/>
        <w:autoSpaceDE/>
        <w:autoSpaceDN/>
        <w:bidi w:val="0"/>
        <w:adjustRightInd/>
        <w:snapToGrid/>
        <w:spacing w:line="560" w:lineRule="atLeast"/>
        <w:ind w:firstLine="560"/>
        <w:jc w:val="left"/>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未建立项目管理内控制度及执行过程管控机制，项目管理有待完善。</w:t>
      </w:r>
    </w:p>
    <w:p>
      <w:pPr>
        <w:keepNext w:val="0"/>
        <w:keepLines w:val="0"/>
        <w:pageBreakBefore w:val="0"/>
        <w:numPr>
          <w:ilvl w:val="0"/>
          <w:numId w:val="0"/>
        </w:numPr>
        <w:kinsoku/>
        <w:wordWrap/>
        <w:overflowPunct/>
        <w:topLinePunct w:val="0"/>
        <w:autoSpaceDE/>
        <w:autoSpaceDN/>
        <w:bidi w:val="0"/>
        <w:adjustRightInd/>
        <w:snapToGrid/>
        <w:spacing w:line="560" w:lineRule="atLeast"/>
        <w:ind w:left="562" w:leftChars="0"/>
        <w:jc w:val="left"/>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（三）项目档案保管情况</w:t>
      </w:r>
    </w:p>
    <w:p>
      <w:pPr>
        <w:keepNext w:val="0"/>
        <w:keepLines w:val="0"/>
        <w:pageBreakBefore w:val="0"/>
        <w:numPr>
          <w:ilvl w:val="0"/>
          <w:numId w:val="0"/>
        </w:numPr>
        <w:kinsoku/>
        <w:wordWrap/>
        <w:overflowPunct/>
        <w:topLinePunct w:val="0"/>
        <w:autoSpaceDE/>
        <w:autoSpaceDN/>
        <w:bidi w:val="0"/>
        <w:adjustRightInd/>
        <w:snapToGrid/>
        <w:spacing w:line="560" w:lineRule="atLeast"/>
        <w:ind w:firstLine="560"/>
        <w:jc w:val="left"/>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项目实施单位项目档案资料保管工作有待加强，曲阳县水利局项目的实施管理办法、专项资金管理办法未提供。</w:t>
      </w:r>
    </w:p>
    <w:p>
      <w:pPr>
        <w:keepNext w:val="0"/>
        <w:keepLines w:val="0"/>
        <w:pageBreakBefore w:val="0"/>
        <w:numPr>
          <w:ilvl w:val="0"/>
          <w:numId w:val="0"/>
        </w:numPr>
        <w:kinsoku/>
        <w:wordWrap/>
        <w:overflowPunct/>
        <w:topLinePunct w:val="0"/>
        <w:autoSpaceDE/>
        <w:autoSpaceDN/>
        <w:bidi w:val="0"/>
        <w:adjustRightInd/>
        <w:snapToGrid/>
        <w:spacing w:line="560" w:lineRule="atLeast"/>
        <w:ind w:firstLine="560"/>
        <w:jc w:val="left"/>
        <w:textAlignment w:val="auto"/>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八、建议及改进措施</w:t>
      </w:r>
    </w:p>
    <w:p>
      <w:pPr>
        <w:keepNext w:val="0"/>
        <w:keepLines w:val="0"/>
        <w:pageBreakBefore w:val="0"/>
        <w:numPr>
          <w:ilvl w:val="0"/>
          <w:numId w:val="0"/>
        </w:numPr>
        <w:kinsoku/>
        <w:wordWrap/>
        <w:overflowPunct/>
        <w:topLinePunct w:val="0"/>
        <w:autoSpaceDE/>
        <w:autoSpaceDN/>
        <w:bidi w:val="0"/>
        <w:adjustRightInd/>
        <w:snapToGrid/>
        <w:spacing w:line="560" w:lineRule="atLeast"/>
        <w:ind w:firstLine="600" w:firstLineChars="200"/>
        <w:jc w:val="left"/>
        <w:textAlignment w:val="auto"/>
        <w:rPr>
          <w:rFonts w:hint="default"/>
          <w:lang w:val="en-US" w:eastAsia="zh-CN"/>
        </w:rPr>
      </w:pPr>
      <w:r>
        <w:rPr>
          <w:rFonts w:hint="eastAsia" w:ascii="仿宋" w:hAnsi="仿宋" w:eastAsia="仿宋" w:cs="仿宋"/>
          <w:b w:val="0"/>
          <w:bCs w:val="0"/>
          <w:sz w:val="30"/>
          <w:szCs w:val="30"/>
          <w:highlight w:val="none"/>
          <w:lang w:val="en-US" w:eastAsia="zh-CN"/>
        </w:rPr>
        <w:t>（一）针对</w:t>
      </w:r>
      <w:r>
        <w:rPr>
          <w:rFonts w:hint="eastAsia" w:ascii="仿宋" w:hAnsi="仿宋" w:eastAsia="仿宋" w:cs="仿宋"/>
          <w:sz w:val="30"/>
          <w:szCs w:val="30"/>
          <w:highlight w:val="none"/>
          <w:lang w:val="en-US" w:eastAsia="zh-CN"/>
        </w:rPr>
        <w:t>预算执行率情况</w:t>
      </w:r>
      <w:r>
        <w:rPr>
          <w:rFonts w:hint="eastAsia" w:ascii="仿宋" w:hAnsi="仿宋" w:eastAsia="仿宋" w:cs="仿宋"/>
          <w:b w:val="0"/>
          <w:bCs w:val="0"/>
          <w:sz w:val="30"/>
          <w:szCs w:val="30"/>
          <w:highlight w:val="none"/>
          <w:lang w:val="en-US" w:eastAsia="zh-CN"/>
        </w:rPr>
        <w:t>，建议项目实施单位加强新一年预算谋划，</w:t>
      </w:r>
      <w:r>
        <w:rPr>
          <w:rFonts w:hint="eastAsia" w:ascii="仿宋" w:hAnsi="仿宋" w:eastAsia="仿宋" w:cs="仿宋"/>
          <w:sz w:val="30"/>
          <w:szCs w:val="30"/>
        </w:rPr>
        <w:t>科学编制项目预算，</w:t>
      </w:r>
      <w:r>
        <w:rPr>
          <w:rFonts w:hint="eastAsia" w:ascii="仿宋" w:hAnsi="仿宋" w:eastAsia="仿宋" w:cs="仿宋"/>
          <w:sz w:val="30"/>
          <w:szCs w:val="30"/>
          <w:lang w:val="en-US" w:eastAsia="zh-CN"/>
        </w:rPr>
        <w:t>提高</w:t>
      </w:r>
      <w:r>
        <w:rPr>
          <w:rFonts w:hint="eastAsia" w:ascii="仿宋" w:hAnsi="仿宋" w:eastAsia="仿宋" w:cs="仿宋"/>
          <w:sz w:val="30"/>
          <w:szCs w:val="30"/>
        </w:rPr>
        <w:t>预算</w:t>
      </w:r>
      <w:r>
        <w:rPr>
          <w:rFonts w:hint="eastAsia" w:ascii="仿宋" w:hAnsi="仿宋" w:eastAsia="仿宋" w:cs="仿宋"/>
          <w:sz w:val="30"/>
          <w:szCs w:val="30"/>
          <w:lang w:val="en-US" w:eastAsia="zh-CN"/>
        </w:rPr>
        <w:t>执行</w:t>
      </w:r>
      <w:r>
        <w:rPr>
          <w:rFonts w:hint="eastAsia" w:ascii="仿宋" w:hAnsi="仿宋" w:eastAsia="仿宋" w:cs="仿宋"/>
          <w:sz w:val="30"/>
          <w:szCs w:val="30"/>
        </w:rPr>
        <w:t>率。有效发挥财政资金作用</w:t>
      </w:r>
      <w:r>
        <w:rPr>
          <w:rFonts w:hint="eastAsia" w:ascii="仿宋" w:hAnsi="仿宋" w:eastAsia="仿宋" w:cs="仿宋"/>
          <w:b w:val="0"/>
          <w:bCs w:val="0"/>
          <w:sz w:val="30"/>
          <w:szCs w:val="30"/>
          <w:highlight w:val="none"/>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560" w:lineRule="atLeast"/>
        <w:ind w:firstLine="600" w:firstLineChars="200"/>
        <w:jc w:val="left"/>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（二）针对项目未建立项目管理内控制度及执行过程管控机制，建议项目实施单位规范项目管理，完善过程监控制度建设。</w:t>
      </w:r>
    </w:p>
    <w:p>
      <w:pPr>
        <w:pStyle w:val="8"/>
        <w:pageBreakBefore w:val="0"/>
        <w:kinsoku/>
        <w:wordWrap/>
        <w:overflowPunct/>
        <w:topLinePunct w:val="0"/>
        <w:autoSpaceDE/>
        <w:autoSpaceDN/>
        <w:bidi w:val="0"/>
        <w:adjustRightInd/>
        <w:snapToGrid/>
        <w:spacing w:line="560" w:lineRule="exact"/>
        <w:ind w:right="210" w:rightChars="100" w:firstLine="600" w:firstLineChars="200"/>
        <w:rPr>
          <w:rFonts w:hint="eastAsia" w:ascii="仿宋" w:hAnsi="仿宋" w:eastAsia="仿宋" w:cs="仿宋"/>
          <w:sz w:val="30"/>
          <w:szCs w:val="30"/>
        </w:rPr>
      </w:pPr>
      <w:r>
        <w:rPr>
          <w:rFonts w:hint="eastAsia" w:ascii="仿宋" w:hAnsi="仿宋" w:eastAsia="仿宋" w:cs="仿宋"/>
          <w:b w:val="0"/>
          <w:bCs w:val="0"/>
          <w:sz w:val="30"/>
          <w:szCs w:val="30"/>
          <w:highlight w:val="none"/>
          <w:lang w:val="en-US" w:eastAsia="zh-CN"/>
        </w:rPr>
        <w:t>（三）针对项目档案管理方面，</w:t>
      </w:r>
      <w:r>
        <w:rPr>
          <w:rFonts w:hint="eastAsia" w:ascii="仿宋" w:hAnsi="仿宋" w:eastAsia="仿宋" w:cs="仿宋"/>
          <w:sz w:val="30"/>
          <w:szCs w:val="30"/>
        </w:rPr>
        <w:t>建议</w:t>
      </w:r>
      <w:r>
        <w:rPr>
          <w:rFonts w:hint="eastAsia" w:ascii="仿宋" w:hAnsi="仿宋" w:eastAsia="仿宋" w:cs="仿宋"/>
          <w:b w:val="0"/>
          <w:bCs w:val="0"/>
          <w:sz w:val="30"/>
          <w:szCs w:val="30"/>
          <w:highlight w:val="none"/>
          <w:lang w:val="en-US" w:eastAsia="zh-CN"/>
        </w:rPr>
        <w:t>项目实施单位</w:t>
      </w:r>
      <w:r>
        <w:rPr>
          <w:rFonts w:hint="eastAsia" w:ascii="仿宋" w:hAnsi="仿宋" w:eastAsia="仿宋" w:cs="仿宋"/>
          <w:sz w:val="30"/>
          <w:szCs w:val="30"/>
        </w:rPr>
        <w:t>加强</w:t>
      </w:r>
      <w:r>
        <w:rPr>
          <w:rFonts w:hint="eastAsia" w:ascii="仿宋" w:hAnsi="仿宋" w:eastAsia="仿宋" w:cs="仿宋"/>
          <w:sz w:val="30"/>
          <w:szCs w:val="30"/>
          <w:lang w:eastAsia="zh-CN"/>
        </w:rPr>
        <w:t>有关</w:t>
      </w:r>
      <w:r>
        <w:rPr>
          <w:rFonts w:hint="eastAsia" w:ascii="仿宋" w:hAnsi="仿宋" w:eastAsia="仿宋" w:cs="仿宋"/>
          <w:sz w:val="30"/>
          <w:szCs w:val="30"/>
        </w:rPr>
        <w:t>人员的责任心，对基础工作予以重视。</w:t>
      </w:r>
    </w:p>
    <w:p>
      <w:pPr>
        <w:rPr>
          <w:rFonts w:hint="eastAsia" w:ascii="仿宋" w:hAnsi="仿宋" w:eastAsia="仿宋" w:cs="仿宋"/>
          <w:b w:val="0"/>
          <w:bCs w:val="0"/>
          <w:kern w:val="2"/>
          <w:sz w:val="30"/>
          <w:szCs w:val="30"/>
          <w:highlight w:val="none"/>
          <w:lang w:val="en-US" w:eastAsia="zh-CN" w:bidi="ar-SA"/>
        </w:rPr>
      </w:pPr>
    </w:p>
    <w:p>
      <w:pPr>
        <w:rPr>
          <w:rFonts w:hint="eastAsia" w:ascii="仿宋" w:hAnsi="仿宋" w:eastAsia="仿宋" w:cs="仿宋"/>
          <w:b w:val="0"/>
          <w:bCs w:val="0"/>
          <w:kern w:val="2"/>
          <w:sz w:val="30"/>
          <w:szCs w:val="30"/>
          <w:highlight w:val="none"/>
          <w:lang w:val="en-US" w:eastAsia="zh-CN" w:bidi="ar-SA"/>
        </w:rPr>
      </w:pPr>
    </w:p>
    <w:p>
      <w:pPr>
        <w:pStyle w:val="2"/>
        <w:rPr>
          <w:rFonts w:hint="eastAsia" w:ascii="仿宋" w:hAnsi="仿宋" w:eastAsia="仿宋" w:cs="仿宋"/>
          <w:b w:val="0"/>
          <w:bCs w:val="0"/>
          <w:kern w:val="2"/>
          <w:sz w:val="30"/>
          <w:szCs w:val="30"/>
          <w:highlight w:val="none"/>
          <w:lang w:val="en-US" w:eastAsia="zh-CN" w:bidi="ar-SA"/>
        </w:rPr>
      </w:pPr>
    </w:p>
    <w:p>
      <w:pPr>
        <w:rPr>
          <w:rFonts w:hint="default"/>
          <w:lang w:val="en-US" w:eastAsia="zh-CN"/>
        </w:rPr>
      </w:pPr>
    </w:p>
    <w:bookmarkEnd w:id="93"/>
    <w:bookmarkEnd w:id="94"/>
    <w:bookmarkEnd w:id="95"/>
    <w:bookmarkEnd w:id="96"/>
    <w:p>
      <w:pPr>
        <w:pageBreakBefore w:val="0"/>
        <w:kinsoku/>
        <w:wordWrap/>
        <w:overflowPunct/>
        <w:topLinePunct w:val="0"/>
        <w:autoSpaceDE/>
        <w:autoSpaceDN/>
        <w:bidi w:val="0"/>
        <w:adjustRightInd/>
        <w:snapToGrid/>
        <w:spacing w:line="560" w:lineRule="exact"/>
        <w:rPr>
          <w:rFonts w:hint="eastAsia" w:ascii="仿宋" w:hAnsi="仿宋" w:eastAsia="仿宋" w:cs="仿宋"/>
          <w:sz w:val="30"/>
          <w:szCs w:val="30"/>
          <w:highlight w:val="none"/>
        </w:rPr>
      </w:pPr>
    </w:p>
    <w:p>
      <w:pPr>
        <w:pageBreakBefore w:val="0"/>
        <w:kinsoku/>
        <w:wordWrap/>
        <w:overflowPunct/>
        <w:topLinePunct w:val="0"/>
        <w:autoSpaceDE/>
        <w:autoSpaceDN/>
        <w:bidi w:val="0"/>
        <w:adjustRightInd/>
        <w:snapToGrid/>
        <w:spacing w:line="560" w:lineRule="exact"/>
        <w:ind w:firstLine="6300" w:firstLineChars="2100"/>
        <w:rPr>
          <w:rFonts w:hint="eastAsia" w:ascii="仿宋" w:hAnsi="仿宋" w:eastAsia="仿宋" w:cs="仿宋"/>
          <w:sz w:val="30"/>
          <w:szCs w:val="30"/>
          <w:highlight w:val="none"/>
        </w:rPr>
      </w:pPr>
      <w:r>
        <w:rPr>
          <w:rFonts w:hint="eastAsia" w:ascii="仿宋" w:hAnsi="仿宋" w:eastAsia="仿宋" w:cs="仿宋"/>
          <w:sz w:val="30"/>
          <w:szCs w:val="30"/>
          <w:highlight w:val="none"/>
        </w:rPr>
        <w:t>202</w:t>
      </w: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rPr>
        <w:t>年</w:t>
      </w:r>
      <w:r>
        <w:rPr>
          <w:rFonts w:hint="eastAsia" w:ascii="仿宋" w:hAnsi="仿宋" w:eastAsia="仿宋" w:cs="仿宋"/>
          <w:sz w:val="30"/>
          <w:szCs w:val="30"/>
          <w:highlight w:val="none"/>
          <w:lang w:val="en-US" w:eastAsia="zh-CN"/>
        </w:rPr>
        <w:t>9</w:t>
      </w:r>
      <w:r>
        <w:rPr>
          <w:rFonts w:hint="eastAsia" w:ascii="仿宋" w:hAnsi="仿宋" w:eastAsia="仿宋" w:cs="仿宋"/>
          <w:sz w:val="30"/>
          <w:szCs w:val="30"/>
          <w:highlight w:val="none"/>
        </w:rPr>
        <w:t>月</w:t>
      </w:r>
      <w:r>
        <w:rPr>
          <w:rFonts w:hint="eastAsia" w:ascii="仿宋" w:hAnsi="仿宋" w:eastAsia="仿宋" w:cs="仿宋"/>
          <w:sz w:val="30"/>
          <w:szCs w:val="30"/>
          <w:highlight w:val="none"/>
          <w:lang w:val="en-US" w:eastAsia="zh-CN"/>
        </w:rPr>
        <w:t>30</w:t>
      </w:r>
      <w:bookmarkStart w:id="97" w:name="_GoBack"/>
      <w:bookmarkEnd w:id="97"/>
      <w:r>
        <w:rPr>
          <w:rFonts w:hint="eastAsia" w:ascii="仿宋" w:hAnsi="仿宋" w:eastAsia="仿宋" w:cs="仿宋"/>
          <w:sz w:val="30"/>
          <w:szCs w:val="30"/>
          <w:highlight w:val="none"/>
        </w:rPr>
        <w:t>日</w:t>
      </w:r>
    </w:p>
    <w:sectPr>
      <w:footerReference r:id="rId5" w:type="default"/>
      <w:pgSz w:w="11906" w:h="16838"/>
      <w:pgMar w:top="964" w:right="1134" w:bottom="964" w:left="1134" w:header="1134" w:footer="680" w:gutter="0"/>
      <w:pgBorders>
        <w:top w:val="none" w:sz="0" w:space="0"/>
        <w:left w:val="none" w:sz="0" w:space="0"/>
        <w:bottom w:val="none" w:sz="0" w:space="0"/>
        <w:right w:val="none" w:sz="0" w:space="0"/>
      </w:pgBorders>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rFonts w:hint="eastAsia" w:ascii="宋体" w:hAnsi="宋体"/>
      </w:rPr>
      <w:t xml:space="preserve">               </w:t>
    </w:r>
  </w:p>
  <w:p>
    <w:pPr>
      <w:pStyle w:val="11"/>
      <w:widowControl w:val="0"/>
      <w:pBdr>
        <w:top w:val="none" w:color="622423" w:sz="0" w:space="1"/>
        <w:left w:val="none" w:color="auto" w:sz="0" w:space="4"/>
        <w:bottom w:val="none" w:color="auto" w:sz="0" w:space="1"/>
        <w:right w:val="none" w:color="auto" w:sz="0" w:space="4"/>
        <w:between w:val="none" w:color="auto" w:sz="0" w:space="0"/>
      </w:pBdr>
      <w:tabs>
        <w:tab w:val="right" w:pos="9070"/>
        <w:tab w:val="clear" w:pos="4153"/>
        <w:tab w:val="clear" w:pos="8306"/>
      </w:tabs>
      <w:snapToGrid w:val="0"/>
      <w:jc w:val="left"/>
      <w:rPr>
        <w:rFonts w:ascii="Cambria" w:hAnsi="Cambria"/>
      </w:rPr>
    </w:pPr>
    <w:r>
      <w:rPr>
        <w:rFonts w:hint="eastAsia" w:ascii="Cambria" w:hAnsi="Cambria"/>
        <w:lang w:val="en-US" w:eastAsia="zh-CN"/>
      </w:rPr>
      <w:t xml:space="preserve"> </w:t>
    </w:r>
    <w:r>
      <w:rPr>
        <w:rFonts w:ascii="Cambria" w:hAnsi="Cambria"/>
        <w:vanish/>
      </w:rPr>
      <w:t>&lt;&gt;</w:t>
    </w:r>
    <w:r>
      <w:rPr>
        <w:rFonts w:ascii="Cambria" w:hAnsi="Cambria"/>
        <w:lang w:val="zh-CN"/>
      </w:rPr>
      <w:tab/>
    </w:r>
    <w:r>
      <w:rPr>
        <w:rFonts w:ascii="Cambria" w:hAnsi="Cambria"/>
        <w:lang w:val="zh-CN"/>
      </w:rPr>
      <w:t xml:space="preserve"> </w:t>
    </w:r>
  </w:p>
  <w:p>
    <w:pPr>
      <w:pStyle w:val="11"/>
      <w:ind w:right="72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10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1"/>
                          </w:pPr>
                          <w:r>
                            <w:fldChar w:fldCharType="begin"/>
                          </w:r>
                          <w:r>
                            <w:instrText xml:space="preserve"> PAGE  \* MERGEFORMAT </w:instrText>
                          </w:r>
                          <w:r>
                            <w:fldChar w:fldCharType="separate"/>
                          </w:r>
                          <w:r>
                            <w:t>2</w:t>
                          </w:r>
                          <w:r>
                            <w:fldChar w:fldCharType="end"/>
                          </w:r>
                        </w:p>
                      </w:txbxContent>
                    </wps:txbx>
                    <wps:bodyPr wrap="none" lIns="0" tIns="0" rIns="0" bIns="0" upright="1">
                      <a:spAutoFit/>
                    </wps:bodyPr>
                  </wps:wsp>
                </a:graphicData>
              </a:graphic>
            </wp:anchor>
          </w:drawing>
        </mc:Choice>
        <mc:Fallback>
          <w:pict>
            <v:shape id="文本框 1035"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9or8sBAACcAwAADgAAAGRycy9lMm9Eb2MueG1srVPNjtMwEL4j8Q6W&#10;79RpE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XVHiuMWBX75/u/z4dfn5lSyr&#10;l69yh/oANSbeBUxNw1s/4N7MfkBnFj6oaPMXJRGMY3/P1/7KIRGRH61X63WFIYGx+YL47OF5iJDe&#10;SW9JNhoacYClr/z0AdKYOqfkas7famPKEI37y4GY2cMy95FjttKwHyZBe9+eUU+Ps2+ow1WnxLx3&#10;2Nq8JrMRZ2M/G8cQ9aFDasvCC8KbY0IShVuuMMJOhXFoRd20YHkr/ryXrIefav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Hv/aK/LAQAAnAMAAA4AAAAAAAAAAQAgAAAAHgEAAGRycy9lMm9E&#10;b2MueG1sUEsFBgAAAAAGAAYAWQEAAFsFAAAAAA==&#10;">
              <v:fill on="f" focussize="0,0"/>
              <v:stroke on="f"/>
              <v:imagedata o:title=""/>
              <o:lock v:ext="edit" aspectratio="f"/>
              <v:textbox inset="0mm,0mm,0mm,0mm" style="mso-fit-shape-to-text:t;">
                <w:txbxContent>
                  <w:p>
                    <w:pPr>
                      <w:pStyle w:val="11"/>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宋体" w:hAnsi="宋体"/>
      </w:rPr>
      <w:t xml:space="preserve">               </w:t>
    </w:r>
  </w:p>
  <w:p>
    <w:pPr>
      <w:pStyle w:val="11"/>
      <w:widowControl w:val="0"/>
      <w:pBdr>
        <w:top w:val="none" w:color="622423" w:sz="0" w:space="1"/>
        <w:left w:val="none" w:color="auto" w:sz="0" w:space="4"/>
        <w:bottom w:val="none" w:color="auto" w:sz="0" w:space="1"/>
        <w:right w:val="none" w:color="auto" w:sz="0" w:space="4"/>
        <w:between w:val="none" w:color="auto" w:sz="0" w:space="0"/>
      </w:pBdr>
      <w:tabs>
        <w:tab w:val="right" w:pos="9070"/>
        <w:tab w:val="clear" w:pos="4153"/>
        <w:tab w:val="clear" w:pos="8306"/>
      </w:tabs>
      <w:snapToGrid w:val="0"/>
      <w:jc w:val="left"/>
      <w:rPr>
        <w:rFonts w:ascii="Cambria" w:hAnsi="Cambria"/>
      </w:rPr>
    </w:pPr>
    <w:r>
      <w:rPr>
        <w:rFonts w:hint="eastAsia" w:ascii="Cambria" w:hAnsi="Cambria"/>
        <w:lang w:val="en-US" w:eastAsia="zh-CN"/>
      </w:rPr>
      <w:t xml:space="preserve"> </w:t>
    </w:r>
    <w:r>
      <w:rPr>
        <w:rFonts w:ascii="Cambria" w:hAnsi="Cambria"/>
        <w:vanish/>
      </w:rPr>
      <w:t>&lt;&gt;</w:t>
    </w:r>
    <w:r>
      <w:rPr>
        <w:rFonts w:ascii="Cambria" w:hAnsi="Cambria"/>
        <w:lang w:val="zh-CN"/>
      </w:rPr>
      <w:tab/>
    </w:r>
    <w:r>
      <w:rPr>
        <w:rFonts w:ascii="Cambria" w:hAnsi="Cambria"/>
        <w:lang w:val="zh-CN"/>
      </w:rPr>
      <w:t xml:space="preserve"> </w:t>
    </w:r>
  </w:p>
  <w:p>
    <w:pPr>
      <w:pStyle w:val="11"/>
      <w:ind w:right="720"/>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
      </w:pBdr>
      <w:jc w:val="both"/>
      <w:rPr>
        <w:i/>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E31252"/>
    <w:multiLevelType w:val="singleLevel"/>
    <w:tmpl w:val="A1E31252"/>
    <w:lvl w:ilvl="0" w:tentative="0">
      <w:start w:val="1"/>
      <w:numFmt w:val="chineseCounting"/>
      <w:suff w:val="nothing"/>
      <w:lvlText w:val="（%1）"/>
      <w:lvlJc w:val="left"/>
      <w:rPr>
        <w:rFonts w:hint="eastAsia"/>
      </w:rPr>
    </w:lvl>
  </w:abstractNum>
  <w:abstractNum w:abstractNumId="1">
    <w:nsid w:val="D319868D"/>
    <w:multiLevelType w:val="singleLevel"/>
    <w:tmpl w:val="D319868D"/>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bordersDoNotSurroundHeader w:val="0"/>
  <w:bordersDoNotSurroundFooter w:val="0"/>
  <w:documentProtection w:enforcement="0"/>
  <w:defaultTabStop w:val="425"/>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lYjBmZjM5NTcwMzdlM2FkMTA1ODk5YmM1NzYzYTAifQ=="/>
  </w:docVars>
  <w:rsids>
    <w:rsidRoot w:val="00172A27"/>
    <w:rsid w:val="00001E81"/>
    <w:rsid w:val="00002FE3"/>
    <w:rsid w:val="0001237A"/>
    <w:rsid w:val="00012B1F"/>
    <w:rsid w:val="00013039"/>
    <w:rsid w:val="00016780"/>
    <w:rsid w:val="00016877"/>
    <w:rsid w:val="00022151"/>
    <w:rsid w:val="00025856"/>
    <w:rsid w:val="0002621F"/>
    <w:rsid w:val="00033AA9"/>
    <w:rsid w:val="0003796B"/>
    <w:rsid w:val="00040467"/>
    <w:rsid w:val="00045C4A"/>
    <w:rsid w:val="00051E6A"/>
    <w:rsid w:val="000526B1"/>
    <w:rsid w:val="000545E4"/>
    <w:rsid w:val="00061A9C"/>
    <w:rsid w:val="00061CE6"/>
    <w:rsid w:val="0006219F"/>
    <w:rsid w:val="000708F8"/>
    <w:rsid w:val="0007441F"/>
    <w:rsid w:val="0007465C"/>
    <w:rsid w:val="00074D40"/>
    <w:rsid w:val="000755AD"/>
    <w:rsid w:val="00075E9A"/>
    <w:rsid w:val="00077141"/>
    <w:rsid w:val="00085E3D"/>
    <w:rsid w:val="0009369D"/>
    <w:rsid w:val="0009497A"/>
    <w:rsid w:val="00097090"/>
    <w:rsid w:val="000A0869"/>
    <w:rsid w:val="000A1167"/>
    <w:rsid w:val="000A3E44"/>
    <w:rsid w:val="000A4680"/>
    <w:rsid w:val="000B0D5C"/>
    <w:rsid w:val="000B155D"/>
    <w:rsid w:val="000B1E0C"/>
    <w:rsid w:val="000B20C4"/>
    <w:rsid w:val="000B2F28"/>
    <w:rsid w:val="000C0219"/>
    <w:rsid w:val="000C04B4"/>
    <w:rsid w:val="000D406E"/>
    <w:rsid w:val="000D62DD"/>
    <w:rsid w:val="000D7C44"/>
    <w:rsid w:val="000D7C62"/>
    <w:rsid w:val="000E2FF4"/>
    <w:rsid w:val="000E55B5"/>
    <w:rsid w:val="000E7041"/>
    <w:rsid w:val="000F06E0"/>
    <w:rsid w:val="000F4DB6"/>
    <w:rsid w:val="000F6F4D"/>
    <w:rsid w:val="000F7314"/>
    <w:rsid w:val="00102339"/>
    <w:rsid w:val="00103596"/>
    <w:rsid w:val="0010607C"/>
    <w:rsid w:val="0010686E"/>
    <w:rsid w:val="00107E9D"/>
    <w:rsid w:val="001118A5"/>
    <w:rsid w:val="001129D8"/>
    <w:rsid w:val="00117D1C"/>
    <w:rsid w:val="00123040"/>
    <w:rsid w:val="00123913"/>
    <w:rsid w:val="00127425"/>
    <w:rsid w:val="001337FE"/>
    <w:rsid w:val="00135522"/>
    <w:rsid w:val="0014634C"/>
    <w:rsid w:val="001471EC"/>
    <w:rsid w:val="00151E0E"/>
    <w:rsid w:val="00153236"/>
    <w:rsid w:val="00155639"/>
    <w:rsid w:val="00157B84"/>
    <w:rsid w:val="00161CEF"/>
    <w:rsid w:val="00163C86"/>
    <w:rsid w:val="0016529A"/>
    <w:rsid w:val="0016552F"/>
    <w:rsid w:val="00165B00"/>
    <w:rsid w:val="00167578"/>
    <w:rsid w:val="00172A27"/>
    <w:rsid w:val="001730CC"/>
    <w:rsid w:val="00175C51"/>
    <w:rsid w:val="001775FA"/>
    <w:rsid w:val="00177706"/>
    <w:rsid w:val="00181EDE"/>
    <w:rsid w:val="00196D03"/>
    <w:rsid w:val="001973EC"/>
    <w:rsid w:val="001A0FA2"/>
    <w:rsid w:val="001A47A9"/>
    <w:rsid w:val="001A6DAC"/>
    <w:rsid w:val="001A6DCF"/>
    <w:rsid w:val="001A7692"/>
    <w:rsid w:val="001B348D"/>
    <w:rsid w:val="001B48F3"/>
    <w:rsid w:val="001B5178"/>
    <w:rsid w:val="001B55E7"/>
    <w:rsid w:val="001C05EB"/>
    <w:rsid w:val="001C0981"/>
    <w:rsid w:val="001C0A70"/>
    <w:rsid w:val="001C370C"/>
    <w:rsid w:val="001C5733"/>
    <w:rsid w:val="001C587B"/>
    <w:rsid w:val="001D420F"/>
    <w:rsid w:val="001D7CB3"/>
    <w:rsid w:val="001E3AEC"/>
    <w:rsid w:val="001E5575"/>
    <w:rsid w:val="001E6191"/>
    <w:rsid w:val="001E6D7F"/>
    <w:rsid w:val="001F37F7"/>
    <w:rsid w:val="001F3B46"/>
    <w:rsid w:val="002019BF"/>
    <w:rsid w:val="00204D34"/>
    <w:rsid w:val="00205B2A"/>
    <w:rsid w:val="002061DE"/>
    <w:rsid w:val="00206E4A"/>
    <w:rsid w:val="00211650"/>
    <w:rsid w:val="00212B85"/>
    <w:rsid w:val="00214D2D"/>
    <w:rsid w:val="00217674"/>
    <w:rsid w:val="002238F1"/>
    <w:rsid w:val="0022441E"/>
    <w:rsid w:val="002262ED"/>
    <w:rsid w:val="00227687"/>
    <w:rsid w:val="00231583"/>
    <w:rsid w:val="00231E73"/>
    <w:rsid w:val="00232C0B"/>
    <w:rsid w:val="00236FF9"/>
    <w:rsid w:val="002371BA"/>
    <w:rsid w:val="00241DDA"/>
    <w:rsid w:val="0024577B"/>
    <w:rsid w:val="002477B2"/>
    <w:rsid w:val="002478F4"/>
    <w:rsid w:val="002513BE"/>
    <w:rsid w:val="00256A4B"/>
    <w:rsid w:val="00264E36"/>
    <w:rsid w:val="00266F46"/>
    <w:rsid w:val="002678E2"/>
    <w:rsid w:val="0027048A"/>
    <w:rsid w:val="00270705"/>
    <w:rsid w:val="00271949"/>
    <w:rsid w:val="00274702"/>
    <w:rsid w:val="0027470D"/>
    <w:rsid w:val="002762DA"/>
    <w:rsid w:val="00280437"/>
    <w:rsid w:val="002837BF"/>
    <w:rsid w:val="0028433C"/>
    <w:rsid w:val="00287E1A"/>
    <w:rsid w:val="002938D8"/>
    <w:rsid w:val="00294650"/>
    <w:rsid w:val="00294ED2"/>
    <w:rsid w:val="00297960"/>
    <w:rsid w:val="002A4C4D"/>
    <w:rsid w:val="002A5E76"/>
    <w:rsid w:val="002A68A6"/>
    <w:rsid w:val="002B37B6"/>
    <w:rsid w:val="002B45E5"/>
    <w:rsid w:val="002C1CA4"/>
    <w:rsid w:val="002E02E3"/>
    <w:rsid w:val="002E2613"/>
    <w:rsid w:val="002E2C1A"/>
    <w:rsid w:val="002E45FD"/>
    <w:rsid w:val="002E7CB4"/>
    <w:rsid w:val="002F0A16"/>
    <w:rsid w:val="002F2D01"/>
    <w:rsid w:val="002F72F6"/>
    <w:rsid w:val="00303ADF"/>
    <w:rsid w:val="00306C5A"/>
    <w:rsid w:val="00307390"/>
    <w:rsid w:val="00307D5B"/>
    <w:rsid w:val="00311278"/>
    <w:rsid w:val="00313749"/>
    <w:rsid w:val="00313C79"/>
    <w:rsid w:val="0032011B"/>
    <w:rsid w:val="003225CE"/>
    <w:rsid w:val="00323DE4"/>
    <w:rsid w:val="00325654"/>
    <w:rsid w:val="00327721"/>
    <w:rsid w:val="00330324"/>
    <w:rsid w:val="00330AA2"/>
    <w:rsid w:val="003362FC"/>
    <w:rsid w:val="0033673E"/>
    <w:rsid w:val="00344370"/>
    <w:rsid w:val="00350222"/>
    <w:rsid w:val="00350722"/>
    <w:rsid w:val="00351B3C"/>
    <w:rsid w:val="00354F98"/>
    <w:rsid w:val="00355135"/>
    <w:rsid w:val="003559E9"/>
    <w:rsid w:val="00360C3A"/>
    <w:rsid w:val="00361A21"/>
    <w:rsid w:val="00361C36"/>
    <w:rsid w:val="00371E92"/>
    <w:rsid w:val="003722A1"/>
    <w:rsid w:val="00375B5C"/>
    <w:rsid w:val="003776F3"/>
    <w:rsid w:val="0038027C"/>
    <w:rsid w:val="00382AC7"/>
    <w:rsid w:val="0039160E"/>
    <w:rsid w:val="003918F6"/>
    <w:rsid w:val="003933E7"/>
    <w:rsid w:val="00395AAD"/>
    <w:rsid w:val="0039616C"/>
    <w:rsid w:val="00397291"/>
    <w:rsid w:val="00397784"/>
    <w:rsid w:val="003A468C"/>
    <w:rsid w:val="003A5D20"/>
    <w:rsid w:val="003B0599"/>
    <w:rsid w:val="003B506F"/>
    <w:rsid w:val="003B55FC"/>
    <w:rsid w:val="003C2817"/>
    <w:rsid w:val="003D5A13"/>
    <w:rsid w:val="003E4CEC"/>
    <w:rsid w:val="003E58F6"/>
    <w:rsid w:val="003F5AA4"/>
    <w:rsid w:val="0040171A"/>
    <w:rsid w:val="0040642B"/>
    <w:rsid w:val="00411120"/>
    <w:rsid w:val="00412B46"/>
    <w:rsid w:val="00421AA7"/>
    <w:rsid w:val="004220AA"/>
    <w:rsid w:val="0043069F"/>
    <w:rsid w:val="00431254"/>
    <w:rsid w:val="00432102"/>
    <w:rsid w:val="00435890"/>
    <w:rsid w:val="00437563"/>
    <w:rsid w:val="0045092F"/>
    <w:rsid w:val="0045268D"/>
    <w:rsid w:val="00455858"/>
    <w:rsid w:val="0045663E"/>
    <w:rsid w:val="00460005"/>
    <w:rsid w:val="004603D0"/>
    <w:rsid w:val="00464C8B"/>
    <w:rsid w:val="00464E7C"/>
    <w:rsid w:val="00471474"/>
    <w:rsid w:val="00474E33"/>
    <w:rsid w:val="00476CA9"/>
    <w:rsid w:val="00477A0A"/>
    <w:rsid w:val="004837D1"/>
    <w:rsid w:val="00484031"/>
    <w:rsid w:val="004949BB"/>
    <w:rsid w:val="00494D2C"/>
    <w:rsid w:val="00495D03"/>
    <w:rsid w:val="00496C00"/>
    <w:rsid w:val="004A6E0D"/>
    <w:rsid w:val="004B34D2"/>
    <w:rsid w:val="004B36EF"/>
    <w:rsid w:val="004B60B0"/>
    <w:rsid w:val="004C077B"/>
    <w:rsid w:val="004C16C1"/>
    <w:rsid w:val="004C42FF"/>
    <w:rsid w:val="004D3E55"/>
    <w:rsid w:val="004E1A51"/>
    <w:rsid w:val="004E4D3D"/>
    <w:rsid w:val="004E78EF"/>
    <w:rsid w:val="004F05AB"/>
    <w:rsid w:val="004F1584"/>
    <w:rsid w:val="004F6320"/>
    <w:rsid w:val="005035A0"/>
    <w:rsid w:val="00503F54"/>
    <w:rsid w:val="00504D24"/>
    <w:rsid w:val="00506B53"/>
    <w:rsid w:val="0050755A"/>
    <w:rsid w:val="00525EA6"/>
    <w:rsid w:val="00525F5C"/>
    <w:rsid w:val="005262DE"/>
    <w:rsid w:val="0053461A"/>
    <w:rsid w:val="00535CEF"/>
    <w:rsid w:val="005443B3"/>
    <w:rsid w:val="005511A7"/>
    <w:rsid w:val="0055165F"/>
    <w:rsid w:val="0055189E"/>
    <w:rsid w:val="005605EF"/>
    <w:rsid w:val="0056126D"/>
    <w:rsid w:val="00573D78"/>
    <w:rsid w:val="00577454"/>
    <w:rsid w:val="00580E0D"/>
    <w:rsid w:val="00581141"/>
    <w:rsid w:val="00587B04"/>
    <w:rsid w:val="00587DA6"/>
    <w:rsid w:val="00596FA9"/>
    <w:rsid w:val="005975A7"/>
    <w:rsid w:val="005A0AFA"/>
    <w:rsid w:val="005A1FA5"/>
    <w:rsid w:val="005A2809"/>
    <w:rsid w:val="005A4668"/>
    <w:rsid w:val="005B0ABE"/>
    <w:rsid w:val="005B2098"/>
    <w:rsid w:val="005B5D50"/>
    <w:rsid w:val="005B604D"/>
    <w:rsid w:val="005C6CF3"/>
    <w:rsid w:val="005D4511"/>
    <w:rsid w:val="005D511C"/>
    <w:rsid w:val="005D6237"/>
    <w:rsid w:val="005D6295"/>
    <w:rsid w:val="005E0754"/>
    <w:rsid w:val="005E12F4"/>
    <w:rsid w:val="005E4912"/>
    <w:rsid w:val="005E5A26"/>
    <w:rsid w:val="005E5BF3"/>
    <w:rsid w:val="005F109C"/>
    <w:rsid w:val="005F702A"/>
    <w:rsid w:val="0060053D"/>
    <w:rsid w:val="00601408"/>
    <w:rsid w:val="00606C8F"/>
    <w:rsid w:val="00610D3F"/>
    <w:rsid w:val="006153F8"/>
    <w:rsid w:val="00617B84"/>
    <w:rsid w:val="00620728"/>
    <w:rsid w:val="00626BD6"/>
    <w:rsid w:val="0063198C"/>
    <w:rsid w:val="0063202E"/>
    <w:rsid w:val="006334E7"/>
    <w:rsid w:val="00635205"/>
    <w:rsid w:val="006355C2"/>
    <w:rsid w:val="00637149"/>
    <w:rsid w:val="00640245"/>
    <w:rsid w:val="006474D2"/>
    <w:rsid w:val="006526B7"/>
    <w:rsid w:val="006528E7"/>
    <w:rsid w:val="0066512C"/>
    <w:rsid w:val="0066533C"/>
    <w:rsid w:val="006726C0"/>
    <w:rsid w:val="00677E52"/>
    <w:rsid w:val="0068590D"/>
    <w:rsid w:val="00685CC1"/>
    <w:rsid w:val="00687599"/>
    <w:rsid w:val="0069340F"/>
    <w:rsid w:val="00695DF0"/>
    <w:rsid w:val="006A1A90"/>
    <w:rsid w:val="006B14A2"/>
    <w:rsid w:val="006B6D32"/>
    <w:rsid w:val="006B7630"/>
    <w:rsid w:val="006C4007"/>
    <w:rsid w:val="006C4F4C"/>
    <w:rsid w:val="006C6718"/>
    <w:rsid w:val="006D0B17"/>
    <w:rsid w:val="006D102D"/>
    <w:rsid w:val="006D6EC8"/>
    <w:rsid w:val="006D7836"/>
    <w:rsid w:val="006E16C9"/>
    <w:rsid w:val="006E3BE1"/>
    <w:rsid w:val="006E6313"/>
    <w:rsid w:val="006E6AEF"/>
    <w:rsid w:val="006E7061"/>
    <w:rsid w:val="006F03CB"/>
    <w:rsid w:val="006F3E20"/>
    <w:rsid w:val="006F4C35"/>
    <w:rsid w:val="006F585B"/>
    <w:rsid w:val="00704022"/>
    <w:rsid w:val="00707385"/>
    <w:rsid w:val="007105B6"/>
    <w:rsid w:val="007118CE"/>
    <w:rsid w:val="0071448D"/>
    <w:rsid w:val="00717AF6"/>
    <w:rsid w:val="00725607"/>
    <w:rsid w:val="00726DC9"/>
    <w:rsid w:val="00730116"/>
    <w:rsid w:val="00731011"/>
    <w:rsid w:val="00732D83"/>
    <w:rsid w:val="00734070"/>
    <w:rsid w:val="0073497B"/>
    <w:rsid w:val="00735F2F"/>
    <w:rsid w:val="00743F08"/>
    <w:rsid w:val="00747C52"/>
    <w:rsid w:val="007511E3"/>
    <w:rsid w:val="0076471E"/>
    <w:rsid w:val="007762CE"/>
    <w:rsid w:val="00780B07"/>
    <w:rsid w:val="0078765B"/>
    <w:rsid w:val="00795A90"/>
    <w:rsid w:val="007A3B28"/>
    <w:rsid w:val="007A4F6D"/>
    <w:rsid w:val="007A6F84"/>
    <w:rsid w:val="007B3C17"/>
    <w:rsid w:val="007B7DF5"/>
    <w:rsid w:val="007B7E86"/>
    <w:rsid w:val="007C28A6"/>
    <w:rsid w:val="007C4661"/>
    <w:rsid w:val="007D2F68"/>
    <w:rsid w:val="007D3D44"/>
    <w:rsid w:val="007D560A"/>
    <w:rsid w:val="007D5CC0"/>
    <w:rsid w:val="007D6665"/>
    <w:rsid w:val="007D6692"/>
    <w:rsid w:val="007E2B66"/>
    <w:rsid w:val="007F0132"/>
    <w:rsid w:val="007F02D1"/>
    <w:rsid w:val="007F08E0"/>
    <w:rsid w:val="00803AB6"/>
    <w:rsid w:val="0080468A"/>
    <w:rsid w:val="00806336"/>
    <w:rsid w:val="0081237C"/>
    <w:rsid w:val="0081741F"/>
    <w:rsid w:val="008218D6"/>
    <w:rsid w:val="008252BD"/>
    <w:rsid w:val="008270C5"/>
    <w:rsid w:val="00827186"/>
    <w:rsid w:val="00827902"/>
    <w:rsid w:val="008317D2"/>
    <w:rsid w:val="00831E38"/>
    <w:rsid w:val="00833C82"/>
    <w:rsid w:val="00837564"/>
    <w:rsid w:val="0084040A"/>
    <w:rsid w:val="008418C4"/>
    <w:rsid w:val="0084365C"/>
    <w:rsid w:val="0084490C"/>
    <w:rsid w:val="00845C99"/>
    <w:rsid w:val="0084691A"/>
    <w:rsid w:val="00847274"/>
    <w:rsid w:val="008576D9"/>
    <w:rsid w:val="008626C1"/>
    <w:rsid w:val="00863446"/>
    <w:rsid w:val="00870DE1"/>
    <w:rsid w:val="00882D5B"/>
    <w:rsid w:val="00884402"/>
    <w:rsid w:val="00886A98"/>
    <w:rsid w:val="00890C6C"/>
    <w:rsid w:val="008A1ABB"/>
    <w:rsid w:val="008A2EDD"/>
    <w:rsid w:val="008A5256"/>
    <w:rsid w:val="008B11CB"/>
    <w:rsid w:val="008B2164"/>
    <w:rsid w:val="008B31E9"/>
    <w:rsid w:val="008B43F7"/>
    <w:rsid w:val="008B693D"/>
    <w:rsid w:val="008B6CC8"/>
    <w:rsid w:val="008B7945"/>
    <w:rsid w:val="008B7EA3"/>
    <w:rsid w:val="008C34DF"/>
    <w:rsid w:val="008C4E78"/>
    <w:rsid w:val="008C6BD0"/>
    <w:rsid w:val="008C71D6"/>
    <w:rsid w:val="008D2C8F"/>
    <w:rsid w:val="008D41B3"/>
    <w:rsid w:val="008D70D4"/>
    <w:rsid w:val="008D743B"/>
    <w:rsid w:val="008E0755"/>
    <w:rsid w:val="008F1A99"/>
    <w:rsid w:val="008F1BDB"/>
    <w:rsid w:val="008F2F12"/>
    <w:rsid w:val="00900305"/>
    <w:rsid w:val="0090326A"/>
    <w:rsid w:val="00904477"/>
    <w:rsid w:val="00904A01"/>
    <w:rsid w:val="00912D2E"/>
    <w:rsid w:val="00913359"/>
    <w:rsid w:val="00917252"/>
    <w:rsid w:val="00924661"/>
    <w:rsid w:val="00924F2A"/>
    <w:rsid w:val="00924F8C"/>
    <w:rsid w:val="009250C7"/>
    <w:rsid w:val="0092512C"/>
    <w:rsid w:val="009258A4"/>
    <w:rsid w:val="0093087E"/>
    <w:rsid w:val="00935039"/>
    <w:rsid w:val="00936FCD"/>
    <w:rsid w:val="009444BB"/>
    <w:rsid w:val="0094494F"/>
    <w:rsid w:val="009474C6"/>
    <w:rsid w:val="0095178C"/>
    <w:rsid w:val="00955E76"/>
    <w:rsid w:val="00955FD6"/>
    <w:rsid w:val="009737D8"/>
    <w:rsid w:val="00973C01"/>
    <w:rsid w:val="00977FBC"/>
    <w:rsid w:val="00980669"/>
    <w:rsid w:val="00984C16"/>
    <w:rsid w:val="00984CCE"/>
    <w:rsid w:val="00991A94"/>
    <w:rsid w:val="009944B4"/>
    <w:rsid w:val="0099465A"/>
    <w:rsid w:val="009959AC"/>
    <w:rsid w:val="009A0DF7"/>
    <w:rsid w:val="009A1232"/>
    <w:rsid w:val="009A3761"/>
    <w:rsid w:val="009B33B3"/>
    <w:rsid w:val="009B4723"/>
    <w:rsid w:val="009B53B3"/>
    <w:rsid w:val="009B61CB"/>
    <w:rsid w:val="009D06CE"/>
    <w:rsid w:val="009D4F29"/>
    <w:rsid w:val="009D5BA9"/>
    <w:rsid w:val="009E3A54"/>
    <w:rsid w:val="009E4C36"/>
    <w:rsid w:val="009E74B1"/>
    <w:rsid w:val="009F26D4"/>
    <w:rsid w:val="009F69B1"/>
    <w:rsid w:val="009F69D8"/>
    <w:rsid w:val="00A02D53"/>
    <w:rsid w:val="00A031AB"/>
    <w:rsid w:val="00A03725"/>
    <w:rsid w:val="00A05142"/>
    <w:rsid w:val="00A1354F"/>
    <w:rsid w:val="00A13D82"/>
    <w:rsid w:val="00A15FE0"/>
    <w:rsid w:val="00A216ED"/>
    <w:rsid w:val="00A315AC"/>
    <w:rsid w:val="00A35407"/>
    <w:rsid w:val="00A370C2"/>
    <w:rsid w:val="00A4018F"/>
    <w:rsid w:val="00A436E7"/>
    <w:rsid w:val="00A4517C"/>
    <w:rsid w:val="00A51D4D"/>
    <w:rsid w:val="00A522AD"/>
    <w:rsid w:val="00A54887"/>
    <w:rsid w:val="00A578EB"/>
    <w:rsid w:val="00A57DDD"/>
    <w:rsid w:val="00A6170A"/>
    <w:rsid w:val="00A64359"/>
    <w:rsid w:val="00A67DE5"/>
    <w:rsid w:val="00A72467"/>
    <w:rsid w:val="00A736A2"/>
    <w:rsid w:val="00A77D60"/>
    <w:rsid w:val="00A80257"/>
    <w:rsid w:val="00A820FC"/>
    <w:rsid w:val="00A85BE0"/>
    <w:rsid w:val="00A90F4C"/>
    <w:rsid w:val="00A92B31"/>
    <w:rsid w:val="00A938F4"/>
    <w:rsid w:val="00A94484"/>
    <w:rsid w:val="00A977FD"/>
    <w:rsid w:val="00AA06F9"/>
    <w:rsid w:val="00AA2C06"/>
    <w:rsid w:val="00AA7C05"/>
    <w:rsid w:val="00AB0F07"/>
    <w:rsid w:val="00AC4D96"/>
    <w:rsid w:val="00AC52FA"/>
    <w:rsid w:val="00AD0798"/>
    <w:rsid w:val="00AD50B9"/>
    <w:rsid w:val="00AD6B17"/>
    <w:rsid w:val="00AD7D2F"/>
    <w:rsid w:val="00AE31CD"/>
    <w:rsid w:val="00AE3FED"/>
    <w:rsid w:val="00AE45E0"/>
    <w:rsid w:val="00AE4933"/>
    <w:rsid w:val="00AE6FB4"/>
    <w:rsid w:val="00AF025F"/>
    <w:rsid w:val="00AF7605"/>
    <w:rsid w:val="00B0350D"/>
    <w:rsid w:val="00B06FC2"/>
    <w:rsid w:val="00B175CE"/>
    <w:rsid w:val="00B1766A"/>
    <w:rsid w:val="00B20AC8"/>
    <w:rsid w:val="00B22073"/>
    <w:rsid w:val="00B24854"/>
    <w:rsid w:val="00B27D5F"/>
    <w:rsid w:val="00B357D9"/>
    <w:rsid w:val="00B41697"/>
    <w:rsid w:val="00B452F9"/>
    <w:rsid w:val="00B45D04"/>
    <w:rsid w:val="00B46AAD"/>
    <w:rsid w:val="00B561A3"/>
    <w:rsid w:val="00B60B6A"/>
    <w:rsid w:val="00B6723C"/>
    <w:rsid w:val="00B716AD"/>
    <w:rsid w:val="00B72444"/>
    <w:rsid w:val="00B760E5"/>
    <w:rsid w:val="00B80C9E"/>
    <w:rsid w:val="00B959F2"/>
    <w:rsid w:val="00B95AAB"/>
    <w:rsid w:val="00B96034"/>
    <w:rsid w:val="00B97746"/>
    <w:rsid w:val="00BA1E35"/>
    <w:rsid w:val="00BA356D"/>
    <w:rsid w:val="00BA4A20"/>
    <w:rsid w:val="00BB54BD"/>
    <w:rsid w:val="00BB63F9"/>
    <w:rsid w:val="00BB7272"/>
    <w:rsid w:val="00BC3E03"/>
    <w:rsid w:val="00BC6158"/>
    <w:rsid w:val="00BD2307"/>
    <w:rsid w:val="00BD2901"/>
    <w:rsid w:val="00BD5644"/>
    <w:rsid w:val="00BD589B"/>
    <w:rsid w:val="00BD62CC"/>
    <w:rsid w:val="00BE4093"/>
    <w:rsid w:val="00BE73F7"/>
    <w:rsid w:val="00BF0521"/>
    <w:rsid w:val="00BF6113"/>
    <w:rsid w:val="00C021CE"/>
    <w:rsid w:val="00C05D86"/>
    <w:rsid w:val="00C071B2"/>
    <w:rsid w:val="00C10F97"/>
    <w:rsid w:val="00C1251F"/>
    <w:rsid w:val="00C15E6D"/>
    <w:rsid w:val="00C2633C"/>
    <w:rsid w:val="00C30185"/>
    <w:rsid w:val="00C337E4"/>
    <w:rsid w:val="00C35279"/>
    <w:rsid w:val="00C37115"/>
    <w:rsid w:val="00C37717"/>
    <w:rsid w:val="00C37A13"/>
    <w:rsid w:val="00C402B1"/>
    <w:rsid w:val="00C41B37"/>
    <w:rsid w:val="00C53438"/>
    <w:rsid w:val="00C631CD"/>
    <w:rsid w:val="00C64E13"/>
    <w:rsid w:val="00C657E6"/>
    <w:rsid w:val="00C66572"/>
    <w:rsid w:val="00C6722E"/>
    <w:rsid w:val="00C67735"/>
    <w:rsid w:val="00C76BC8"/>
    <w:rsid w:val="00C808CD"/>
    <w:rsid w:val="00C81737"/>
    <w:rsid w:val="00C847CF"/>
    <w:rsid w:val="00C93435"/>
    <w:rsid w:val="00CA0FF6"/>
    <w:rsid w:val="00CA1456"/>
    <w:rsid w:val="00CA7BF4"/>
    <w:rsid w:val="00CC1421"/>
    <w:rsid w:val="00CC43C2"/>
    <w:rsid w:val="00CC75FA"/>
    <w:rsid w:val="00CD0298"/>
    <w:rsid w:val="00CD18CC"/>
    <w:rsid w:val="00CD2449"/>
    <w:rsid w:val="00CE0C7E"/>
    <w:rsid w:val="00CE1D6A"/>
    <w:rsid w:val="00CE1D8F"/>
    <w:rsid w:val="00CE6077"/>
    <w:rsid w:val="00CE6446"/>
    <w:rsid w:val="00CF0C84"/>
    <w:rsid w:val="00CF45BE"/>
    <w:rsid w:val="00CF5E7C"/>
    <w:rsid w:val="00CF6BF4"/>
    <w:rsid w:val="00D007B7"/>
    <w:rsid w:val="00D04C6B"/>
    <w:rsid w:val="00D13256"/>
    <w:rsid w:val="00D13829"/>
    <w:rsid w:val="00D153CF"/>
    <w:rsid w:val="00D2643F"/>
    <w:rsid w:val="00D27BC5"/>
    <w:rsid w:val="00D34CDD"/>
    <w:rsid w:val="00D36AB4"/>
    <w:rsid w:val="00D36AC2"/>
    <w:rsid w:val="00D45DE3"/>
    <w:rsid w:val="00D46895"/>
    <w:rsid w:val="00D47F71"/>
    <w:rsid w:val="00D53364"/>
    <w:rsid w:val="00D605E4"/>
    <w:rsid w:val="00D615EB"/>
    <w:rsid w:val="00D7205C"/>
    <w:rsid w:val="00D72934"/>
    <w:rsid w:val="00D748CA"/>
    <w:rsid w:val="00D75DE5"/>
    <w:rsid w:val="00D83950"/>
    <w:rsid w:val="00D84226"/>
    <w:rsid w:val="00D862E1"/>
    <w:rsid w:val="00D87E6D"/>
    <w:rsid w:val="00DA4E61"/>
    <w:rsid w:val="00DA5DB0"/>
    <w:rsid w:val="00DA691D"/>
    <w:rsid w:val="00DB0327"/>
    <w:rsid w:val="00DB03B8"/>
    <w:rsid w:val="00DB7DA1"/>
    <w:rsid w:val="00DC07A9"/>
    <w:rsid w:val="00DC2EEA"/>
    <w:rsid w:val="00DC3A4A"/>
    <w:rsid w:val="00DD3585"/>
    <w:rsid w:val="00DE602A"/>
    <w:rsid w:val="00DF3C90"/>
    <w:rsid w:val="00DF44F9"/>
    <w:rsid w:val="00DF5954"/>
    <w:rsid w:val="00DF69EE"/>
    <w:rsid w:val="00E023F5"/>
    <w:rsid w:val="00E06F2F"/>
    <w:rsid w:val="00E07928"/>
    <w:rsid w:val="00E1602F"/>
    <w:rsid w:val="00E1654D"/>
    <w:rsid w:val="00E2611B"/>
    <w:rsid w:val="00E26F1D"/>
    <w:rsid w:val="00E3404B"/>
    <w:rsid w:val="00E36DDE"/>
    <w:rsid w:val="00E40DE1"/>
    <w:rsid w:val="00E4162B"/>
    <w:rsid w:val="00E47B9D"/>
    <w:rsid w:val="00E47D72"/>
    <w:rsid w:val="00E5073B"/>
    <w:rsid w:val="00E5496C"/>
    <w:rsid w:val="00E54A5A"/>
    <w:rsid w:val="00E55442"/>
    <w:rsid w:val="00E55C12"/>
    <w:rsid w:val="00E56181"/>
    <w:rsid w:val="00E67C8B"/>
    <w:rsid w:val="00E74616"/>
    <w:rsid w:val="00E74D9A"/>
    <w:rsid w:val="00E818EA"/>
    <w:rsid w:val="00E87C9B"/>
    <w:rsid w:val="00E87CFA"/>
    <w:rsid w:val="00E93944"/>
    <w:rsid w:val="00E945E6"/>
    <w:rsid w:val="00E9664D"/>
    <w:rsid w:val="00E9720D"/>
    <w:rsid w:val="00EA5CFA"/>
    <w:rsid w:val="00EA76B4"/>
    <w:rsid w:val="00EA7D67"/>
    <w:rsid w:val="00EB1B57"/>
    <w:rsid w:val="00EB38C6"/>
    <w:rsid w:val="00EC5A80"/>
    <w:rsid w:val="00EC62E6"/>
    <w:rsid w:val="00EE706B"/>
    <w:rsid w:val="00EE7F0D"/>
    <w:rsid w:val="00EF1460"/>
    <w:rsid w:val="00EF45F7"/>
    <w:rsid w:val="00EF4D51"/>
    <w:rsid w:val="00F0129C"/>
    <w:rsid w:val="00F01563"/>
    <w:rsid w:val="00F0254F"/>
    <w:rsid w:val="00F04BFE"/>
    <w:rsid w:val="00F071CB"/>
    <w:rsid w:val="00F1167E"/>
    <w:rsid w:val="00F1229F"/>
    <w:rsid w:val="00F124AE"/>
    <w:rsid w:val="00F153DC"/>
    <w:rsid w:val="00F20147"/>
    <w:rsid w:val="00F209EB"/>
    <w:rsid w:val="00F21DBA"/>
    <w:rsid w:val="00F264EF"/>
    <w:rsid w:val="00F27F87"/>
    <w:rsid w:val="00F3212D"/>
    <w:rsid w:val="00F32DC2"/>
    <w:rsid w:val="00F40C25"/>
    <w:rsid w:val="00F43FF0"/>
    <w:rsid w:val="00F44735"/>
    <w:rsid w:val="00F44ADC"/>
    <w:rsid w:val="00F44C8B"/>
    <w:rsid w:val="00F46576"/>
    <w:rsid w:val="00F47A21"/>
    <w:rsid w:val="00F50B74"/>
    <w:rsid w:val="00F525F8"/>
    <w:rsid w:val="00F57BBB"/>
    <w:rsid w:val="00F64C8B"/>
    <w:rsid w:val="00F70989"/>
    <w:rsid w:val="00F747CC"/>
    <w:rsid w:val="00F81AD0"/>
    <w:rsid w:val="00F82BBB"/>
    <w:rsid w:val="00F83AF9"/>
    <w:rsid w:val="00F8434F"/>
    <w:rsid w:val="00F850F0"/>
    <w:rsid w:val="00F855FE"/>
    <w:rsid w:val="00F865F4"/>
    <w:rsid w:val="00F86B76"/>
    <w:rsid w:val="00F92C03"/>
    <w:rsid w:val="00F930C3"/>
    <w:rsid w:val="00F95F3C"/>
    <w:rsid w:val="00F96CD1"/>
    <w:rsid w:val="00FA1D9A"/>
    <w:rsid w:val="00FA275B"/>
    <w:rsid w:val="00FB15C4"/>
    <w:rsid w:val="00FC1747"/>
    <w:rsid w:val="00FC2FCA"/>
    <w:rsid w:val="00FC5532"/>
    <w:rsid w:val="00FC6631"/>
    <w:rsid w:val="00FC7E65"/>
    <w:rsid w:val="00FD3E76"/>
    <w:rsid w:val="00FD6E29"/>
    <w:rsid w:val="00FD6FEF"/>
    <w:rsid w:val="00FE13D4"/>
    <w:rsid w:val="00FE2CF2"/>
    <w:rsid w:val="00FE3BCB"/>
    <w:rsid w:val="00FE7C05"/>
    <w:rsid w:val="00FF14BA"/>
    <w:rsid w:val="00FF253C"/>
    <w:rsid w:val="00FF4832"/>
    <w:rsid w:val="00FF6D34"/>
    <w:rsid w:val="00FF726D"/>
    <w:rsid w:val="01441BB9"/>
    <w:rsid w:val="04141B96"/>
    <w:rsid w:val="098E39B9"/>
    <w:rsid w:val="0ADA152D"/>
    <w:rsid w:val="0D9E1C0C"/>
    <w:rsid w:val="0E4B143D"/>
    <w:rsid w:val="0EF02E72"/>
    <w:rsid w:val="10814158"/>
    <w:rsid w:val="112F3D99"/>
    <w:rsid w:val="12844DC1"/>
    <w:rsid w:val="1823357E"/>
    <w:rsid w:val="187036B2"/>
    <w:rsid w:val="1A4B6285"/>
    <w:rsid w:val="1B1A3889"/>
    <w:rsid w:val="1C850D11"/>
    <w:rsid w:val="1F94354A"/>
    <w:rsid w:val="21460153"/>
    <w:rsid w:val="21DA3F9D"/>
    <w:rsid w:val="223D0F22"/>
    <w:rsid w:val="24743B37"/>
    <w:rsid w:val="25470B20"/>
    <w:rsid w:val="29483C47"/>
    <w:rsid w:val="2A8314C1"/>
    <w:rsid w:val="2A8F3BCE"/>
    <w:rsid w:val="2B872E60"/>
    <w:rsid w:val="2BCE0FAE"/>
    <w:rsid w:val="2CAF4831"/>
    <w:rsid w:val="2F1D0509"/>
    <w:rsid w:val="31AA78D1"/>
    <w:rsid w:val="321B7CF6"/>
    <w:rsid w:val="33052890"/>
    <w:rsid w:val="339C0AF2"/>
    <w:rsid w:val="38963FA8"/>
    <w:rsid w:val="3A186A29"/>
    <w:rsid w:val="3BA60198"/>
    <w:rsid w:val="3E792B8A"/>
    <w:rsid w:val="400E1B99"/>
    <w:rsid w:val="436D3360"/>
    <w:rsid w:val="45361007"/>
    <w:rsid w:val="48A44F3A"/>
    <w:rsid w:val="48DC54DB"/>
    <w:rsid w:val="494A68AB"/>
    <w:rsid w:val="4D03459A"/>
    <w:rsid w:val="4E2540DD"/>
    <w:rsid w:val="4F0928DF"/>
    <w:rsid w:val="53387659"/>
    <w:rsid w:val="55104550"/>
    <w:rsid w:val="57F3068C"/>
    <w:rsid w:val="58D20590"/>
    <w:rsid w:val="5D410D65"/>
    <w:rsid w:val="5E660CC1"/>
    <w:rsid w:val="5E6C52B2"/>
    <w:rsid w:val="5E8C78A8"/>
    <w:rsid w:val="5F6F6A11"/>
    <w:rsid w:val="5F9C6BF1"/>
    <w:rsid w:val="60936EF1"/>
    <w:rsid w:val="661D5A78"/>
    <w:rsid w:val="663B1AE6"/>
    <w:rsid w:val="67B21F12"/>
    <w:rsid w:val="6B300AA0"/>
    <w:rsid w:val="6E3D39F9"/>
    <w:rsid w:val="6EB64990"/>
    <w:rsid w:val="6F860363"/>
    <w:rsid w:val="6FA81A09"/>
    <w:rsid w:val="70350492"/>
    <w:rsid w:val="706C20E6"/>
    <w:rsid w:val="71D44901"/>
    <w:rsid w:val="720924FA"/>
    <w:rsid w:val="73007C27"/>
    <w:rsid w:val="74B13A97"/>
    <w:rsid w:val="74DE6D70"/>
    <w:rsid w:val="75435570"/>
    <w:rsid w:val="76171091"/>
    <w:rsid w:val="7630284E"/>
    <w:rsid w:val="7706409E"/>
    <w:rsid w:val="790C5BF2"/>
    <w:rsid w:val="7A1A6C48"/>
    <w:rsid w:val="7AFE135D"/>
    <w:rsid w:val="7CEF1D89"/>
    <w:rsid w:val="7E494DA3"/>
    <w:rsid w:val="7FC43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spacing w:beforeAutospacing="1" w:afterAutospacing="1"/>
      <w:jc w:val="left"/>
      <w:outlineLvl w:val="0"/>
    </w:pPr>
    <w:rPr>
      <w:rFonts w:hint="eastAsia" w:ascii="宋体" w:hAnsi="宋体"/>
      <w:b/>
      <w:kern w:val="44"/>
      <w:sz w:val="48"/>
      <w:szCs w:val="48"/>
    </w:rPr>
  </w:style>
  <w:style w:type="paragraph" w:styleId="4">
    <w:name w:val="heading 2"/>
    <w:basedOn w:val="1"/>
    <w:next w:val="1"/>
    <w:qFormat/>
    <w:uiPriority w:val="0"/>
    <w:pPr>
      <w:keepNext/>
      <w:keepLines/>
      <w:spacing w:before="260" w:after="260" w:line="416" w:lineRule="auto"/>
      <w:outlineLvl w:val="1"/>
    </w:pPr>
    <w:rPr>
      <w:rFonts w:ascii="Cambria" w:hAnsi="Cambria"/>
      <w:b/>
      <w:bCs/>
      <w:sz w:val="32"/>
      <w:szCs w:val="3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toc 2"/>
    <w:basedOn w:val="1"/>
    <w:next w:val="1"/>
    <w:unhideWhenUsed/>
    <w:qFormat/>
    <w:uiPriority w:val="39"/>
    <w:pPr>
      <w:widowControl/>
      <w:spacing w:after="100" w:line="276" w:lineRule="auto"/>
      <w:ind w:left="220"/>
      <w:jc w:val="left"/>
    </w:pPr>
    <w:rPr>
      <w:rFonts w:ascii="Calibri" w:hAnsi="Calibri"/>
      <w:kern w:val="0"/>
      <w:sz w:val="22"/>
    </w:rPr>
  </w:style>
  <w:style w:type="paragraph" w:styleId="5">
    <w:name w:val="Body Text"/>
    <w:basedOn w:val="1"/>
    <w:unhideWhenUsed/>
    <w:qFormat/>
    <w:uiPriority w:val="1"/>
    <w:pPr>
      <w:spacing w:before="41"/>
      <w:ind w:left="121"/>
      <w:jc w:val="left"/>
    </w:pPr>
    <w:rPr>
      <w:rFonts w:ascii="仿宋" w:hAnsi="仿宋" w:eastAsia="仿宋"/>
      <w:kern w:val="0"/>
      <w:sz w:val="28"/>
      <w:szCs w:val="28"/>
      <w:lang w:eastAsia="en-US"/>
    </w:rPr>
  </w:style>
  <w:style w:type="paragraph" w:styleId="6">
    <w:name w:val="Body Text Indent"/>
    <w:basedOn w:val="1"/>
    <w:qFormat/>
    <w:uiPriority w:val="0"/>
    <w:pPr>
      <w:spacing w:line="380" w:lineRule="exact"/>
      <w:ind w:firstLine="480" w:firstLineChars="200"/>
    </w:pPr>
    <w:rPr>
      <w:rFonts w:ascii="宋体" w:hAnsi="宋体"/>
      <w:sz w:val="24"/>
    </w:rPr>
  </w:style>
  <w:style w:type="paragraph" w:styleId="7">
    <w:name w:val="toc 3"/>
    <w:basedOn w:val="1"/>
    <w:next w:val="1"/>
    <w:unhideWhenUsed/>
    <w:qFormat/>
    <w:uiPriority w:val="39"/>
    <w:pPr>
      <w:widowControl/>
      <w:spacing w:after="100" w:line="276" w:lineRule="auto"/>
      <w:ind w:left="440"/>
      <w:jc w:val="left"/>
    </w:pPr>
    <w:rPr>
      <w:rFonts w:asciiTheme="minorHAnsi" w:hAnsiTheme="minorHAnsi" w:eastAsiaTheme="minorEastAsia" w:cstheme="minorBidi"/>
      <w:kern w:val="0"/>
      <w:sz w:val="22"/>
      <w:szCs w:val="22"/>
    </w:rPr>
  </w:style>
  <w:style w:type="paragraph" w:styleId="8">
    <w:name w:val="Plain Text"/>
    <w:basedOn w:val="1"/>
    <w:qFormat/>
    <w:uiPriority w:val="0"/>
    <w:rPr>
      <w:rFonts w:ascii="宋体" w:hAnsi="Courier New" w:cs="Courier New"/>
      <w:szCs w:val="21"/>
    </w:rPr>
  </w:style>
  <w:style w:type="paragraph" w:styleId="9">
    <w:name w:val="Date"/>
    <w:basedOn w:val="1"/>
    <w:next w:val="1"/>
    <w:qFormat/>
    <w:uiPriority w:val="0"/>
    <w:pPr>
      <w:ind w:left="100" w:leftChars="2500"/>
    </w:pPr>
    <w:rPr>
      <w:rFonts w:ascii="宋体" w:hAnsi="宋体"/>
      <w:sz w:val="24"/>
    </w:rPr>
  </w:style>
  <w:style w:type="paragraph" w:styleId="10">
    <w:name w:val="Balloon Text"/>
    <w:basedOn w:val="1"/>
    <w:link w:val="25"/>
    <w:qFormat/>
    <w:uiPriority w:val="0"/>
    <w:rPr>
      <w:sz w:val="18"/>
      <w:szCs w:val="18"/>
    </w:rPr>
  </w:style>
  <w:style w:type="paragraph" w:styleId="11">
    <w:name w:val="footer"/>
    <w:basedOn w:val="1"/>
    <w:link w:val="24"/>
    <w:qFormat/>
    <w:uiPriority w:val="99"/>
    <w:pPr>
      <w:tabs>
        <w:tab w:val="center" w:pos="4153"/>
        <w:tab w:val="right" w:pos="8306"/>
      </w:tabs>
      <w:snapToGrid w:val="0"/>
      <w:jc w:val="left"/>
    </w:pPr>
    <w:rPr>
      <w:sz w:val="18"/>
      <w:szCs w:val="18"/>
    </w:rPr>
  </w:style>
  <w:style w:type="paragraph" w:styleId="12">
    <w:name w:val="header"/>
    <w:basedOn w:val="1"/>
    <w:link w:val="26"/>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style>
  <w:style w:type="paragraph" w:styleId="14">
    <w:name w:val="footnote text"/>
    <w:basedOn w:val="1"/>
    <w:link w:val="27"/>
    <w:qFormat/>
    <w:uiPriority w:val="0"/>
    <w:pPr>
      <w:snapToGrid w:val="0"/>
      <w:jc w:val="left"/>
    </w:pPr>
    <w:rPr>
      <w:sz w:val="18"/>
      <w:szCs w:val="18"/>
    </w:rPr>
  </w:style>
  <w:style w:type="paragraph" w:styleId="15">
    <w:name w:val="Normal (Web)"/>
    <w:basedOn w:val="1"/>
    <w:qFormat/>
    <w:uiPriority w:val="0"/>
    <w:pPr>
      <w:spacing w:beforeAutospacing="1" w:afterAutospacing="1"/>
      <w:jc w:val="left"/>
    </w:pPr>
    <w:rPr>
      <w:kern w:val="0"/>
      <w:sz w:val="24"/>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page number"/>
    <w:basedOn w:val="18"/>
    <w:qFormat/>
    <w:uiPriority w:val="0"/>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styleId="21">
    <w:name w:val="footnote reference"/>
    <w:basedOn w:val="18"/>
    <w:qFormat/>
    <w:uiPriority w:val="0"/>
    <w:rPr>
      <w:vertAlign w:val="superscript"/>
    </w:rPr>
  </w:style>
  <w:style w:type="character" w:customStyle="1" w:styleId="22">
    <w:name w:val="无间隔 Char"/>
    <w:basedOn w:val="18"/>
    <w:link w:val="23"/>
    <w:qFormat/>
    <w:uiPriority w:val="1"/>
    <w:rPr>
      <w:rFonts w:ascii="Calibri" w:hAnsi="Calibri"/>
      <w:sz w:val="22"/>
      <w:szCs w:val="22"/>
      <w:lang w:val="en-US" w:eastAsia="zh-CN" w:bidi="ar-SA"/>
    </w:rPr>
  </w:style>
  <w:style w:type="paragraph" w:styleId="23">
    <w:name w:val="No Spacing"/>
    <w:link w:val="22"/>
    <w:qFormat/>
    <w:uiPriority w:val="1"/>
    <w:rPr>
      <w:rFonts w:ascii="Calibri" w:hAnsi="Calibri" w:eastAsia="宋体" w:cs="Times New Roman"/>
      <w:sz w:val="22"/>
      <w:szCs w:val="22"/>
      <w:lang w:val="en-US" w:eastAsia="zh-CN" w:bidi="ar-SA"/>
    </w:rPr>
  </w:style>
  <w:style w:type="character" w:customStyle="1" w:styleId="24">
    <w:name w:val="页脚 Char"/>
    <w:basedOn w:val="18"/>
    <w:link w:val="11"/>
    <w:qFormat/>
    <w:uiPriority w:val="99"/>
    <w:rPr>
      <w:kern w:val="2"/>
      <w:sz w:val="18"/>
      <w:szCs w:val="18"/>
    </w:rPr>
  </w:style>
  <w:style w:type="character" w:customStyle="1" w:styleId="25">
    <w:name w:val="批注框文本 Char"/>
    <w:basedOn w:val="18"/>
    <w:link w:val="10"/>
    <w:qFormat/>
    <w:uiPriority w:val="0"/>
    <w:rPr>
      <w:kern w:val="2"/>
      <w:sz w:val="18"/>
      <w:szCs w:val="18"/>
    </w:rPr>
  </w:style>
  <w:style w:type="character" w:customStyle="1" w:styleId="26">
    <w:name w:val="页眉 Char"/>
    <w:basedOn w:val="18"/>
    <w:link w:val="12"/>
    <w:qFormat/>
    <w:uiPriority w:val="99"/>
    <w:rPr>
      <w:kern w:val="2"/>
      <w:sz w:val="18"/>
      <w:szCs w:val="18"/>
    </w:rPr>
  </w:style>
  <w:style w:type="character" w:customStyle="1" w:styleId="27">
    <w:name w:val="脚注文本 Char"/>
    <w:basedOn w:val="18"/>
    <w:link w:val="14"/>
    <w:qFormat/>
    <w:uiPriority w:val="0"/>
    <w:rPr>
      <w:kern w:val="2"/>
      <w:sz w:val="18"/>
      <w:szCs w:val="18"/>
    </w:rPr>
  </w:style>
  <w:style w:type="paragraph" w:customStyle="1" w:styleId="28">
    <w:name w:val="Other|2"/>
    <w:basedOn w:val="1"/>
    <w:qFormat/>
    <w:uiPriority w:val="0"/>
    <w:pPr>
      <w:jc w:val="center"/>
    </w:pPr>
    <w:rPr>
      <w:rFonts w:ascii="宋体" w:hAnsi="宋体" w:cs="宋体"/>
      <w:sz w:val="20"/>
      <w:lang w:val="zh-TW" w:eastAsia="zh-TW" w:bidi="zh-TW"/>
    </w:rPr>
  </w:style>
  <w:style w:type="paragraph" w:customStyle="1" w:styleId="29">
    <w:name w:val="Other|1"/>
    <w:basedOn w:val="1"/>
    <w:qFormat/>
    <w:uiPriority w:val="0"/>
    <w:pPr>
      <w:spacing w:line="401" w:lineRule="auto"/>
      <w:ind w:firstLine="400"/>
    </w:pPr>
    <w:rPr>
      <w:rFonts w:ascii="宋体" w:hAnsi="宋体" w:cs="宋体"/>
      <w:sz w:val="30"/>
      <w:szCs w:val="30"/>
      <w:lang w:val="zh-TW" w:eastAsia="zh-TW" w:bidi="zh-TW"/>
    </w:rPr>
  </w:style>
  <w:style w:type="paragraph" w:customStyle="1" w:styleId="30">
    <w:name w:val="Header or footer|2"/>
    <w:basedOn w:val="1"/>
    <w:qFormat/>
    <w:uiPriority w:val="0"/>
    <w:rPr>
      <w:sz w:val="20"/>
      <w:lang w:val="zh-TW" w:eastAsia="zh-TW" w:bidi="zh-TW"/>
    </w:rPr>
  </w:style>
  <w:style w:type="paragraph" w:customStyle="1" w:styleId="31">
    <w:name w:val="TOC Heading"/>
    <w:basedOn w:val="3"/>
    <w:next w:val="1"/>
    <w:semiHidden/>
    <w:unhideWhenUsed/>
    <w:qFormat/>
    <w:uiPriority w:val="39"/>
    <w:pPr>
      <w:keepNext/>
      <w:keepLines/>
      <w:widowControl/>
      <w:spacing w:before="480" w:beforeAutospacing="0" w:afterAutospacing="0" w:line="276" w:lineRule="auto"/>
      <w:outlineLvl w:val="9"/>
    </w:pPr>
    <w:rPr>
      <w:rFonts w:hint="default" w:asciiTheme="majorHAnsi" w:hAnsiTheme="majorHAnsi" w:eastAsiaTheme="majorEastAsia" w:cstheme="majorBidi"/>
      <w:bCs/>
      <w:color w:val="376092" w:themeColor="accent1" w:themeShade="BF"/>
      <w:kern w:val="0"/>
      <w:sz w:val="28"/>
      <w:szCs w:val="28"/>
    </w:rPr>
  </w:style>
  <w:style w:type="paragraph" w:customStyle="1" w:styleId="32">
    <w:name w:val="WPSOffice手动目录 1"/>
    <w:qFormat/>
    <w:uiPriority w:val="0"/>
    <w:pPr>
      <w:ind w:leftChars="0"/>
    </w:pPr>
    <w:rPr>
      <w:rFonts w:asciiTheme="minorHAnsi" w:hAnsiTheme="minorHAnsi" w:eastAsiaTheme="minorEastAsia" w:cstheme="minorBidi"/>
      <w:sz w:val="20"/>
      <w:szCs w:val="20"/>
    </w:rPr>
  </w:style>
  <w:style w:type="paragraph" w:customStyle="1" w:styleId="33">
    <w:name w:val="Default"/>
    <w:basedOn w:val="1"/>
    <w:qFormat/>
    <w:uiPriority w:val="0"/>
    <w:pPr>
      <w:autoSpaceDE w:val="0"/>
      <w:autoSpaceDN w:val="0"/>
      <w:adjustRightInd w:val="0"/>
      <w:spacing w:line="240" w:lineRule="auto"/>
      <w:ind w:firstLine="0" w:firstLineChars="0"/>
      <w:jc w:val="left"/>
    </w:pPr>
    <w:rPr>
      <w:rFonts w:ascii="宋体" w:hAnsi="宋体" w:cs="宋体"/>
      <w:kern w:val="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73DF80-32D0-48B6-BDC2-042DA4015297}">
  <ds:schemaRefs/>
</ds:datastoreItem>
</file>

<file path=docProps/app.xml><?xml version="1.0" encoding="utf-8"?>
<Properties xmlns="http://schemas.openxmlformats.org/officeDocument/2006/extended-properties" xmlns:vt="http://schemas.openxmlformats.org/officeDocument/2006/docPropsVTypes">
  <Template>Normal</Template>
  <Company>HP</Company>
  <Pages>19</Pages>
  <Words>9356</Words>
  <Characters>9970</Characters>
  <Lines>90</Lines>
  <Paragraphs>25</Paragraphs>
  <TotalTime>4</TotalTime>
  <ScaleCrop>false</ScaleCrop>
  <LinksUpToDate>false</LinksUpToDate>
  <CharactersWithSpaces>10240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2014-04-21T00:28:00Z</dcterms:created>
  <dc:creator>中兴科技</dc:creator>
  <cp:lastModifiedBy>Administrator</cp:lastModifiedBy>
  <cp:lastPrinted>2022-11-05T06:29:00Z</cp:lastPrinted>
  <dcterms:modified xsi:type="dcterms:W3CDTF">2022-11-07T03:11:09Z</dcterms:modified>
  <dc:title>审 计 报 告</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242459EE0BBE4CB7AD93A8A4DF9257F1</vt:lpwstr>
  </property>
</Properties>
</file>