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rPr>
          <w:rFonts w:ascii="宋体" w:hAnsi="宋体"/>
          <w:sz w:val="36"/>
          <w:szCs w:val="36"/>
        </w:rPr>
      </w:pPr>
    </w:p>
    <w:p>
      <w:pPr>
        <w:jc w:val="center"/>
        <w:rPr>
          <w:rFonts w:ascii="宋体" w:hAnsi="宋体"/>
          <w:szCs w:val="21"/>
        </w:rPr>
      </w:pPr>
    </w:p>
    <w:p>
      <w:pPr>
        <w:spacing w:line="900" w:lineRule="exact"/>
        <w:jc w:val="center"/>
        <w:rPr>
          <w:rFonts w:hint="eastAsia" w:ascii="仿宋" w:hAnsi="仿宋" w:eastAsia="仿宋" w:cs="仿宋"/>
          <w:b/>
          <w:bCs/>
          <w:sz w:val="52"/>
          <w:szCs w:val="52"/>
        </w:rPr>
      </w:pPr>
      <w:r>
        <w:rPr>
          <w:rFonts w:hint="eastAsia" w:ascii="仿宋" w:hAnsi="仿宋" w:eastAsia="仿宋" w:cs="仿宋"/>
          <w:b/>
          <w:bCs/>
          <w:sz w:val="52"/>
          <w:szCs w:val="52"/>
        </w:rPr>
        <w:t>重点资金支出项目绩效评价报告</w:t>
      </w:r>
    </w:p>
    <w:p>
      <w:pPr>
        <w:spacing w:line="900" w:lineRule="exact"/>
        <w:jc w:val="center"/>
        <w:rPr>
          <w:rFonts w:ascii="方正小标宋_GBK" w:eastAsia="方正小标宋_GBK"/>
          <w:sz w:val="52"/>
          <w:szCs w:val="52"/>
        </w:rPr>
      </w:pPr>
    </w:p>
    <w:p>
      <w:pPr>
        <w:jc w:val="center"/>
        <w:rPr>
          <w:rFonts w:hint="eastAsia" w:ascii="仿宋" w:hAnsi="仿宋" w:eastAsia="仿宋" w:cs="仿宋"/>
          <w:sz w:val="32"/>
          <w:szCs w:val="32"/>
        </w:rPr>
      </w:pPr>
      <w:r>
        <w:rPr>
          <w:rFonts w:hint="eastAsia" w:ascii="仿宋" w:hAnsi="仿宋" w:eastAsia="仿宋" w:cs="仿宋"/>
          <w:sz w:val="32"/>
          <w:szCs w:val="32"/>
        </w:rPr>
        <w:t>（   202</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  年度）</w:t>
      </w: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rPr>
      </w:pPr>
    </w:p>
    <w:p>
      <w:pPr>
        <w:spacing w:line="900" w:lineRule="exact"/>
        <w:ind w:firstLine="1050" w:firstLineChars="350"/>
        <w:rPr>
          <w:rFonts w:ascii="宋体" w:hAnsi="宋体"/>
          <w:sz w:val="30"/>
          <w:szCs w:val="30"/>
        </w:rPr>
      </w:pPr>
    </w:p>
    <w:p>
      <w:pPr>
        <w:pStyle w:val="2"/>
      </w:pP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评价机构：</w:t>
      </w:r>
      <w:r>
        <w:rPr>
          <w:rFonts w:hint="eastAsia" w:ascii="仿宋" w:hAnsi="仿宋" w:eastAsia="仿宋" w:cs="仿宋"/>
          <w:sz w:val="32"/>
          <w:szCs w:val="32"/>
          <w:lang w:eastAsia="zh-CN"/>
        </w:rPr>
        <w:t>曲阳县财政局、</w:t>
      </w:r>
      <w:r>
        <w:rPr>
          <w:rFonts w:hint="eastAsia" w:ascii="仿宋" w:hAnsi="仿宋" w:eastAsia="仿宋" w:cs="仿宋"/>
          <w:sz w:val="32"/>
          <w:szCs w:val="32"/>
        </w:rPr>
        <w:t>河北中盛信达会计师事务所有限公司</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项目名称：202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残疾人生活和护理补贴</w:t>
      </w:r>
      <w:r>
        <w:rPr>
          <w:rFonts w:hint="eastAsia" w:ascii="仿宋" w:hAnsi="仿宋" w:eastAsia="仿宋" w:cs="仿宋"/>
          <w:sz w:val="32"/>
          <w:szCs w:val="32"/>
        </w:rPr>
        <w:t>项目</w:t>
      </w:r>
    </w:p>
    <w:p>
      <w:pPr>
        <w:tabs>
          <w:tab w:val="left" w:pos="6793"/>
        </w:tabs>
        <w:spacing w:line="900" w:lineRule="exact"/>
        <w:ind w:firstLine="1120" w:firstLineChars="350"/>
        <w:jc w:val="left"/>
        <w:rPr>
          <w:rFonts w:hint="eastAsia" w:ascii="仿宋" w:hAnsi="仿宋" w:eastAsia="仿宋" w:cs="仿宋"/>
          <w:sz w:val="32"/>
          <w:szCs w:val="32"/>
          <w:lang w:eastAsia="zh-CN"/>
        </w:rPr>
      </w:pPr>
      <w:r>
        <w:rPr>
          <w:rFonts w:hint="eastAsia" w:ascii="仿宋" w:hAnsi="仿宋" w:eastAsia="仿宋" w:cs="仿宋"/>
          <w:sz w:val="32"/>
          <w:szCs w:val="32"/>
        </w:rPr>
        <w:t>项目承担单位：</w:t>
      </w:r>
      <w:r>
        <w:rPr>
          <w:rFonts w:hint="eastAsia" w:ascii="仿宋" w:hAnsi="仿宋" w:eastAsia="仿宋" w:cs="仿宋"/>
          <w:sz w:val="32"/>
          <w:szCs w:val="32"/>
          <w:lang w:eastAsia="zh-CN"/>
        </w:rPr>
        <w:t>曲阳县</w:t>
      </w:r>
      <w:r>
        <w:rPr>
          <w:rFonts w:hint="eastAsia" w:ascii="仿宋" w:hAnsi="仿宋" w:eastAsia="仿宋" w:cs="仿宋"/>
          <w:sz w:val="32"/>
          <w:szCs w:val="32"/>
          <w:lang w:val="en-US" w:eastAsia="zh-CN"/>
        </w:rPr>
        <w:t>民政局</w:t>
      </w:r>
      <w:r>
        <w:rPr>
          <w:rFonts w:hint="eastAsia" w:ascii="仿宋" w:hAnsi="仿宋" w:eastAsia="仿宋" w:cs="仿宋"/>
          <w:sz w:val="32"/>
          <w:szCs w:val="32"/>
          <w:lang w:val="en-US" w:eastAsia="zh-CN"/>
        </w:rPr>
        <w:tab/>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报 告 日 期：202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pStyle w:val="2"/>
      </w:pPr>
    </w:p>
    <w:p/>
    <w:p/>
    <w:sdt>
      <w:sdtPr>
        <w:rPr>
          <w:rFonts w:ascii="宋体" w:hAnsi="宋体" w:eastAsia="宋体" w:cs="Times New Roman"/>
          <w:kern w:val="2"/>
          <w:sz w:val="21"/>
          <w:lang w:val="en-US" w:eastAsia="zh-CN" w:bidi="ar-SA"/>
        </w:rPr>
        <w:id w:val="147465289"/>
        <w15:color w:val="DBDBDB"/>
        <w:docPartObj>
          <w:docPartGallery w:val="Table of Contents"/>
          <w:docPartUnique/>
        </w:docPartObj>
      </w:sdtPr>
      <w:sdtEndPr>
        <w:rPr>
          <w:rFonts w:hint="eastAsia" w:ascii="仿宋" w:hAnsi="仿宋" w:eastAsia="仿宋" w:cs="仿宋"/>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pPr>
        </w:p>
        <w:p>
          <w:pPr>
            <w:pStyle w:val="2"/>
            <w:rPr>
              <w:lang w:val="en-US" w:eastAsia="zh-CN"/>
            </w:rPr>
          </w:pPr>
        </w:p>
        <w:p>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目录</w:t>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"1-1" \h \u </w:instrText>
          </w:r>
          <w:r>
            <w:rPr>
              <w:rFonts w:hint="eastAsia" w:ascii="仿宋" w:hAnsi="仿宋" w:eastAsia="仿宋" w:cs="仿宋"/>
              <w:sz w:val="30"/>
              <w:szCs w:val="30"/>
            </w:rPr>
            <w:fldChar w:fldCharType="separate"/>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_Toc8967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一、</w:t>
          </w:r>
          <w:r>
            <w:rPr>
              <w:rFonts w:hint="eastAsia" w:ascii="仿宋" w:hAnsi="仿宋" w:eastAsia="仿宋" w:cs="仿宋"/>
              <w:bCs/>
              <w:sz w:val="30"/>
              <w:szCs w:val="30"/>
            </w:rPr>
            <w:t>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_Toc8967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_Toc19822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二、</w:t>
          </w:r>
          <w:r>
            <w:rPr>
              <w:rFonts w:hint="eastAsia" w:ascii="仿宋" w:hAnsi="仿宋" w:eastAsia="仿宋" w:cs="仿宋"/>
              <w:bCs/>
              <w:sz w:val="30"/>
              <w:szCs w:val="30"/>
            </w:rPr>
            <w:t>项目实施</w:t>
          </w:r>
          <w:r>
            <w:rPr>
              <w:rFonts w:hint="eastAsia" w:ascii="仿宋" w:hAnsi="仿宋" w:eastAsia="仿宋" w:cs="仿宋"/>
              <w:bCs/>
              <w:sz w:val="30"/>
              <w:szCs w:val="30"/>
              <w:lang w:eastAsia="zh-CN"/>
            </w:rPr>
            <w:t>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_Toc19822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_Toc1525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三、</w:t>
          </w:r>
          <w:r>
            <w:rPr>
              <w:rFonts w:hint="eastAsia" w:ascii="仿宋" w:hAnsi="仿宋" w:eastAsia="仿宋" w:cs="仿宋"/>
              <w:bCs/>
              <w:sz w:val="30"/>
              <w:szCs w:val="30"/>
            </w:rPr>
            <w:t>项目资金使用情况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_Toc1525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_Toc21592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四、</w:t>
          </w:r>
          <w:r>
            <w:rPr>
              <w:rFonts w:hint="eastAsia" w:ascii="仿宋" w:hAnsi="仿宋" w:eastAsia="仿宋" w:cs="仿宋"/>
              <w:bCs/>
              <w:sz w:val="30"/>
              <w:szCs w:val="30"/>
            </w:rPr>
            <w:t>项目</w:t>
          </w:r>
          <w:r>
            <w:rPr>
              <w:rFonts w:hint="eastAsia" w:ascii="仿宋" w:hAnsi="仿宋" w:eastAsia="仿宋" w:cs="仿宋"/>
              <w:bCs/>
              <w:sz w:val="30"/>
              <w:szCs w:val="30"/>
              <w:lang w:val="en-US" w:eastAsia="zh-CN"/>
            </w:rPr>
            <w:t>管理</w:t>
          </w:r>
          <w:r>
            <w:rPr>
              <w:rFonts w:hint="eastAsia" w:ascii="仿宋" w:hAnsi="仿宋" w:eastAsia="仿宋" w:cs="仿宋"/>
              <w:bCs/>
              <w:sz w:val="30"/>
              <w:szCs w:val="30"/>
            </w:rPr>
            <w:t>绩效</w:t>
          </w:r>
          <w:r>
            <w:rPr>
              <w:rFonts w:hint="eastAsia" w:ascii="仿宋" w:hAnsi="仿宋" w:eastAsia="仿宋" w:cs="仿宋"/>
              <w:bCs/>
              <w:sz w:val="30"/>
              <w:szCs w:val="30"/>
              <w:lang w:val="en-US" w:eastAsia="zh-CN"/>
            </w:rPr>
            <w:t>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_Toc21592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_Toc10581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五、</w:t>
          </w:r>
          <w:r>
            <w:rPr>
              <w:rFonts w:hint="eastAsia" w:ascii="仿宋" w:hAnsi="仿宋" w:eastAsia="仿宋" w:cs="仿宋"/>
              <w:bCs/>
              <w:sz w:val="30"/>
              <w:szCs w:val="30"/>
            </w:rPr>
            <w:t>绩效评价依据</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_Toc10581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_Toc2211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六</w:t>
          </w:r>
          <w:r>
            <w:rPr>
              <w:rFonts w:hint="eastAsia" w:ascii="仿宋" w:hAnsi="仿宋" w:eastAsia="仿宋" w:cs="仿宋"/>
              <w:sz w:val="30"/>
              <w:szCs w:val="30"/>
            </w:rPr>
            <w:t>、项目综合评价结论和评价等级</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_Toc2211 \h </w:instrText>
          </w:r>
          <w:r>
            <w:rPr>
              <w:rFonts w:hint="eastAsia" w:ascii="仿宋" w:hAnsi="仿宋" w:eastAsia="仿宋" w:cs="仿宋"/>
              <w:sz w:val="30"/>
              <w:szCs w:val="30"/>
            </w:rPr>
            <w:fldChar w:fldCharType="separate"/>
          </w:r>
          <w:r>
            <w:rPr>
              <w:rFonts w:hint="eastAsia" w:ascii="仿宋" w:hAnsi="仿宋" w:eastAsia="仿宋" w:cs="仿宋"/>
              <w:sz w:val="30"/>
              <w:szCs w:val="30"/>
            </w:rPr>
            <w:t>11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_Toc30518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七</w:t>
          </w:r>
          <w:r>
            <w:rPr>
              <w:rFonts w:hint="eastAsia" w:ascii="仿宋" w:hAnsi="仿宋" w:eastAsia="仿宋" w:cs="仿宋"/>
              <w:bCs/>
              <w:sz w:val="30"/>
              <w:szCs w:val="30"/>
            </w:rPr>
            <w:t>、存在的问题及改进措施</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_Toc30518 \h </w:instrText>
          </w:r>
          <w:r>
            <w:rPr>
              <w:rFonts w:hint="eastAsia" w:ascii="仿宋" w:hAnsi="仿宋" w:eastAsia="仿宋" w:cs="仿宋"/>
              <w:sz w:val="30"/>
              <w:szCs w:val="30"/>
            </w:rPr>
            <w:fldChar w:fldCharType="separate"/>
          </w:r>
          <w:r>
            <w:rPr>
              <w:rFonts w:hint="eastAsia" w:ascii="仿宋" w:hAnsi="仿宋" w:eastAsia="仿宋" w:cs="仿宋"/>
              <w:sz w:val="30"/>
              <w:szCs w:val="30"/>
            </w:rPr>
            <w:t>11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_Toc23781 </w:instrText>
          </w:r>
          <w:r>
            <w:rPr>
              <w:rFonts w:hint="eastAsia" w:ascii="仿宋" w:hAnsi="仿宋" w:eastAsia="仿宋" w:cs="仿宋"/>
              <w:sz w:val="30"/>
              <w:szCs w:val="30"/>
            </w:rPr>
            <w:fldChar w:fldCharType="separate"/>
          </w:r>
          <w:r>
            <w:rPr>
              <w:rFonts w:hint="eastAsia" w:ascii="仿宋" w:hAnsi="仿宋" w:eastAsia="仿宋" w:cs="仿宋"/>
              <w:kern w:val="2"/>
              <w:sz w:val="30"/>
              <w:szCs w:val="30"/>
            </w:rPr>
            <w:t>附件：绩效评价指标体系及评分情况表</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_Toc23781 \h </w:instrText>
          </w:r>
          <w:r>
            <w:rPr>
              <w:rFonts w:hint="eastAsia" w:ascii="仿宋" w:hAnsi="仿宋" w:eastAsia="仿宋" w:cs="仿宋"/>
              <w:sz w:val="30"/>
              <w:szCs w:val="30"/>
            </w:rPr>
            <w:fldChar w:fldCharType="separate"/>
          </w:r>
          <w:r>
            <w:rPr>
              <w:rFonts w:hint="eastAsia" w:ascii="仿宋" w:hAnsi="仿宋" w:eastAsia="仿宋" w:cs="仿宋"/>
              <w:sz w:val="30"/>
              <w:szCs w:val="30"/>
            </w:rPr>
            <w:t>12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rPr>
              <w:rFonts w:hint="eastAsia" w:ascii="仿宋" w:hAnsi="仿宋" w:eastAsia="仿宋" w:cs="仿宋"/>
              <w:sz w:val="30"/>
              <w:szCs w:val="30"/>
            </w:rPr>
          </w:pPr>
          <w:r>
            <w:rPr>
              <w:rFonts w:hint="eastAsia" w:ascii="仿宋" w:hAnsi="仿宋" w:eastAsia="仿宋" w:cs="仿宋"/>
              <w:sz w:val="30"/>
              <w:szCs w:val="30"/>
            </w:rPr>
            <w:fldChar w:fldCharType="end"/>
          </w:r>
        </w:p>
      </w:sdtContent>
    </w:sdt>
    <w:p>
      <w:pPr>
        <w:pStyle w:val="2"/>
        <w:rPr>
          <w:rFonts w:hint="eastAsia" w:ascii="仿宋" w:hAnsi="仿宋" w:eastAsia="仿宋" w:cs="仿宋"/>
          <w:sz w:val="30"/>
          <w:szCs w:val="30"/>
        </w:rPr>
      </w:pPr>
    </w:p>
    <w:p>
      <w:pPr>
        <w:rPr>
          <w:rFonts w:hint="eastAsia" w:ascii="仿宋" w:hAnsi="仿宋" w:eastAsia="仿宋" w:cs="仿宋"/>
          <w:sz w:val="30"/>
          <w:szCs w:val="30"/>
        </w:rPr>
      </w:pPr>
    </w:p>
    <w:p>
      <w:pPr>
        <w:pStyle w:val="2"/>
        <w:rPr>
          <w:rFonts w:hint="eastAsia" w:ascii="仿宋" w:hAnsi="仿宋" w:eastAsia="仿宋" w:cs="仿宋"/>
          <w:sz w:val="30"/>
          <w:szCs w:val="30"/>
        </w:rPr>
      </w:pPr>
    </w:p>
    <w:p>
      <w:pPr>
        <w:pStyle w:val="2"/>
      </w:pPr>
    </w:p>
    <w:p>
      <w:pPr>
        <w:sectPr>
          <w:footerReference r:id="rId5" w:type="first"/>
          <w:headerReference r:id="rId3" w:type="default"/>
          <w:footerReference r:id="rId4" w:type="default"/>
          <w:pgSz w:w="11906" w:h="16838"/>
          <w:pgMar w:top="1077" w:right="1304" w:bottom="1077" w:left="1304" w:header="1134" w:footer="680"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2"/>
      </w:pPr>
    </w:p>
    <w:p>
      <w:pPr>
        <w:spacing w:line="560" w:lineRule="exact"/>
        <w:jc w:val="center"/>
        <w:outlineLvl w:val="0"/>
        <w:rPr>
          <w:rFonts w:hint="eastAsia" w:ascii="仿宋" w:hAnsi="仿宋" w:eastAsia="仿宋" w:cs="仿宋"/>
          <w:b/>
          <w:bCs w:val="0"/>
          <w:sz w:val="36"/>
          <w:szCs w:val="36"/>
        </w:rPr>
      </w:pPr>
      <w:bookmarkStart w:id="0" w:name="_Toc18092"/>
      <w:bookmarkStart w:id="1" w:name="_Toc30375"/>
      <w:r>
        <w:rPr>
          <w:rFonts w:hint="eastAsia" w:ascii="仿宋" w:hAnsi="仿宋" w:eastAsia="仿宋" w:cs="仿宋"/>
          <w:b/>
          <w:bCs w:val="0"/>
          <w:sz w:val="36"/>
          <w:szCs w:val="36"/>
          <w:lang w:val="en-US" w:eastAsia="zh-CN"/>
        </w:rPr>
        <w:t>曲阳县</w:t>
      </w:r>
      <w:bookmarkEnd w:id="0"/>
      <w:bookmarkEnd w:id="1"/>
      <w:r>
        <w:rPr>
          <w:rFonts w:hint="eastAsia" w:ascii="仿宋" w:hAnsi="仿宋" w:eastAsia="仿宋" w:cs="仿宋"/>
          <w:b/>
          <w:bCs w:val="0"/>
          <w:sz w:val="36"/>
          <w:szCs w:val="36"/>
          <w:lang w:eastAsia="zh-CN"/>
        </w:rPr>
        <w:t>2021年残疾人生活和护理补贴</w:t>
      </w:r>
      <w:r>
        <w:rPr>
          <w:rFonts w:hint="eastAsia" w:ascii="仿宋" w:hAnsi="仿宋" w:eastAsia="仿宋" w:cs="仿宋"/>
          <w:b/>
          <w:bCs w:val="0"/>
          <w:sz w:val="36"/>
          <w:szCs w:val="36"/>
        </w:rPr>
        <w:t>项目</w:t>
      </w:r>
    </w:p>
    <w:p>
      <w:pPr>
        <w:spacing w:after="156" w:line="560" w:lineRule="exact"/>
        <w:ind w:left="-359" w:leftChars="-171"/>
        <w:jc w:val="center"/>
        <w:outlineLvl w:val="0"/>
        <w:rPr>
          <w:rFonts w:hint="eastAsia" w:ascii="仿宋" w:hAnsi="仿宋" w:eastAsia="仿宋" w:cs="仿宋"/>
          <w:b/>
          <w:bCs w:val="0"/>
          <w:sz w:val="36"/>
          <w:szCs w:val="36"/>
        </w:rPr>
      </w:pPr>
      <w:bookmarkStart w:id="2" w:name="_Toc12514"/>
      <w:bookmarkStart w:id="3" w:name="_Toc2651"/>
      <w:r>
        <w:rPr>
          <w:rFonts w:hint="eastAsia" w:ascii="仿宋" w:hAnsi="仿宋" w:eastAsia="仿宋" w:cs="仿宋"/>
          <w:b/>
          <w:bCs w:val="0"/>
          <w:sz w:val="36"/>
          <w:szCs w:val="36"/>
        </w:rPr>
        <w:t>绩效评价报告</w:t>
      </w:r>
      <w:bookmarkEnd w:id="2"/>
      <w:bookmarkEnd w:id="3"/>
    </w:p>
    <w:p>
      <w:pPr>
        <w:spacing w:afterLines="50" w:line="560" w:lineRule="exact"/>
        <w:ind w:firstLine="1239" w:firstLineChars="590"/>
        <w:rPr>
          <w:rFonts w:hint="eastAsia" w:ascii="仿宋" w:hAnsi="仿宋" w:eastAsia="仿宋" w:cs="仿宋"/>
          <w:sz w:val="24"/>
          <w:szCs w:val="24"/>
        </w:rPr>
      </w:pPr>
      <w:r>
        <w:rPr>
          <w:rFonts w:hint="eastAsia"/>
        </w:rPr>
        <w:t xml:space="preserve">                                          </w:t>
      </w:r>
      <w:r>
        <w:rPr>
          <w:rFonts w:hint="eastAsia" w:ascii="仿宋" w:hAnsi="仿宋" w:eastAsia="仿宋" w:cs="仿宋"/>
          <w:sz w:val="24"/>
          <w:szCs w:val="24"/>
        </w:rPr>
        <w:t xml:space="preserve"> </w:t>
      </w:r>
      <w:r>
        <w:rPr>
          <w:rFonts w:hint="eastAsia" w:ascii="仿宋" w:hAnsi="仿宋" w:eastAsia="仿宋" w:cs="仿宋"/>
          <w:b/>
          <w:sz w:val="24"/>
          <w:szCs w:val="24"/>
        </w:rPr>
        <w:t xml:space="preserve">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根据《曲阳县财政局关于印发</w:t>
      </w:r>
      <w:r>
        <w:rPr>
          <w:rFonts w:hint="eastAsia" w:ascii="仿宋" w:hAnsi="仿宋" w:eastAsia="仿宋" w:cs="仿宋"/>
          <w:sz w:val="30"/>
          <w:szCs w:val="30"/>
          <w:lang w:val="en-US" w:eastAsia="zh-CN"/>
        </w:rPr>
        <w:t>2022年县级财政重点绩效评价计划的通知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曲财</w:t>
      </w:r>
      <w:r>
        <w:rPr>
          <w:rFonts w:hint="eastAsia" w:ascii="仿宋" w:hAnsi="仿宋" w:eastAsia="仿宋" w:cs="仿宋"/>
          <w:sz w:val="30"/>
          <w:szCs w:val="30"/>
          <w:lang w:val="en-US" w:eastAsia="zh-CN"/>
        </w:rPr>
        <w:t>[2022] 54号),</w:t>
      </w:r>
      <w:r>
        <w:rPr>
          <w:rFonts w:hint="eastAsia" w:ascii="仿宋" w:hAnsi="仿宋" w:eastAsia="仿宋" w:cs="仿宋"/>
          <w:sz w:val="30"/>
          <w:szCs w:val="30"/>
        </w:rPr>
        <w:t>对</w:t>
      </w:r>
      <w:r>
        <w:rPr>
          <w:rFonts w:hint="eastAsia" w:ascii="仿宋" w:hAnsi="仿宋" w:eastAsia="仿宋" w:cs="仿宋"/>
          <w:sz w:val="30"/>
          <w:szCs w:val="30"/>
          <w:lang w:eastAsia="zh-CN"/>
        </w:rPr>
        <w:t>曲阳县民政局</w:t>
      </w:r>
      <w:r>
        <w:rPr>
          <w:rFonts w:hint="eastAsia" w:ascii="仿宋" w:hAnsi="仿宋" w:eastAsia="仿宋" w:cs="仿宋"/>
          <w:sz w:val="30"/>
          <w:szCs w:val="30"/>
        </w:rPr>
        <w:t>承担的曲阳县</w:t>
      </w:r>
      <w:r>
        <w:rPr>
          <w:rFonts w:hint="eastAsia" w:ascii="仿宋" w:hAnsi="仿宋" w:eastAsia="仿宋" w:cs="仿宋"/>
          <w:sz w:val="30"/>
          <w:szCs w:val="30"/>
          <w:lang w:eastAsia="zh-CN"/>
        </w:rPr>
        <w:t>2021年残疾人生活和护理补贴</w:t>
      </w:r>
      <w:r>
        <w:rPr>
          <w:rFonts w:hint="eastAsia" w:ascii="仿宋" w:hAnsi="仿宋" w:eastAsia="仿宋" w:cs="仿宋"/>
          <w:sz w:val="30"/>
          <w:szCs w:val="30"/>
        </w:rPr>
        <w:t>项目（以下简称“该项目”）的具体实施情况进行了绩效评价。</w:t>
      </w:r>
      <w:r>
        <w:rPr>
          <w:rFonts w:hint="eastAsia" w:ascii="仿宋" w:hAnsi="仿宋" w:eastAsia="仿宋" w:cs="仿宋"/>
          <w:sz w:val="30"/>
          <w:szCs w:val="30"/>
          <w:lang w:eastAsia="zh-CN"/>
        </w:rPr>
        <w:t>曲阳县民政局</w:t>
      </w:r>
      <w:r>
        <w:rPr>
          <w:rFonts w:hint="eastAsia" w:ascii="仿宋" w:hAnsi="仿宋" w:eastAsia="仿宋" w:cs="仿宋"/>
          <w:sz w:val="30"/>
          <w:szCs w:val="30"/>
        </w:rPr>
        <w:t>和相关单位提供与绩效评价有关的项目资料，并对其真实性、完整性、合法性负责，我们的责任是根据项目相关资料，对该项目的项目投入、项目过程管理、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000000"/>
          <w:sz w:val="30"/>
          <w:szCs w:val="30"/>
        </w:rPr>
      </w:pPr>
      <w:r>
        <w:rPr>
          <w:rFonts w:hint="eastAsia" w:ascii="仿宋" w:hAnsi="仿宋" w:eastAsia="仿宋" w:cs="仿宋"/>
          <w:sz w:val="30"/>
          <w:szCs w:val="30"/>
        </w:rPr>
        <w:t>在评价工作中，我们结合该项目的实际情况制定了绩效评价指标体系，实施了包括资料查看、现场检查、问卷调查等我们认为必要的评价手段。绩效评价工作现已完成，具体</w:t>
      </w:r>
      <w:r>
        <w:rPr>
          <w:rFonts w:hint="eastAsia" w:ascii="仿宋" w:hAnsi="仿宋" w:eastAsia="仿宋" w:cs="仿宋"/>
          <w:color w:val="000000"/>
          <w:sz w:val="30"/>
          <w:szCs w:val="30"/>
        </w:rPr>
        <w:t>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4" w:name="_Toc8967"/>
      <w:bookmarkStart w:id="5" w:name="_Toc83631027"/>
      <w:bookmarkStart w:id="6" w:name="_Toc30480"/>
      <w:bookmarkStart w:id="7" w:name="_Toc83630317"/>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项目概况</w:t>
      </w:r>
      <w:bookmarkEnd w:id="4"/>
      <w:bookmarkEnd w:id="5"/>
      <w:bookmarkEnd w:id="6"/>
      <w:bookmarkEnd w:id="7"/>
    </w:p>
    <w:p>
      <w:pPr>
        <w:pageBreakBefore w:val="0"/>
        <w:numPr>
          <w:ilvl w:val="0"/>
          <w:numId w:val="0"/>
        </w:numPr>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none"/>
          <w:lang w:val="en-US" w:eastAsia="zh-CN"/>
        </w:rPr>
      </w:pPr>
      <w:bookmarkStart w:id="8" w:name="_Toc19822"/>
      <w:bookmarkStart w:id="9" w:name="_Toc83631028"/>
      <w:bookmarkStart w:id="10" w:name="_Toc22022"/>
      <w:bookmarkStart w:id="11" w:name="_Toc25381"/>
      <w:bookmarkStart w:id="12" w:name="_Toc22961"/>
      <w:bookmarkStart w:id="13" w:name="_Toc83630318"/>
      <w:r>
        <w:rPr>
          <w:rFonts w:hint="eastAsia" w:ascii="仿宋" w:hAnsi="仿宋" w:eastAsia="仿宋" w:cs="仿宋"/>
          <w:sz w:val="30"/>
          <w:szCs w:val="30"/>
          <w:lang w:val="en-US" w:eastAsia="zh-CN"/>
        </w:rPr>
        <w:t>根据《国务院关于全面建立困难残疾人生活补贴和重度残疾人护理制度的意见》（国发【2015】52号）、《河北省人民政府关于全面建立困难残疾人生活补贴和重度残疾人护理补贴制度的实施意见》（冀政字【2015】74号）文件精神，</w:t>
      </w:r>
      <w:r>
        <w:rPr>
          <w:rFonts w:hint="eastAsia" w:ascii="仿宋" w:hAnsi="仿宋" w:eastAsia="仿宋" w:cs="仿宋"/>
          <w:sz w:val="30"/>
          <w:szCs w:val="30"/>
          <w:highlight w:val="none"/>
          <w:lang w:val="en-US" w:eastAsia="zh-CN"/>
        </w:rPr>
        <w:t>落实残疾人两项补贴发放资金，严格使用专项资金，通过实施残疾人两项补贴项目，让广大残疾人安居乐业、衣食无忧，过上幸福美好的生活。</w:t>
      </w:r>
    </w:p>
    <w:p>
      <w:pPr>
        <w:pageBreakBefore w:val="0"/>
        <w:numPr>
          <w:ilvl w:val="0"/>
          <w:numId w:val="0"/>
        </w:numPr>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补贴对象：(1)困难残疾人生活补贴对象为具有河北省户籍、最低生活保障家庭中持有第二代《中华人民共和国残疾人证》（以下简称残疾人证）的残疾人。(2)重度残疾人护理补贴对象为具有河北省户籍、持有第二代残疾人证，残疾等级被评定为一级、二级且需要长期照护的残疾人。</w:t>
      </w:r>
    </w:p>
    <w:p>
      <w:pPr>
        <w:pStyle w:val="2"/>
        <w:ind w:left="0" w:leftChars="0" w:firstLine="600" w:firstLineChars="200"/>
        <w:rPr>
          <w:rFonts w:hint="default"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2、</w:t>
      </w:r>
      <w:r>
        <w:rPr>
          <w:rFonts w:hint="eastAsia" w:ascii="仿宋" w:hAnsi="仿宋" w:eastAsia="仿宋" w:cs="仿宋"/>
          <w:kern w:val="2"/>
          <w:sz w:val="30"/>
          <w:szCs w:val="30"/>
          <w:lang w:val="en-US" w:eastAsia="zh-CN" w:bidi="ar-SA"/>
        </w:rPr>
        <w:t>补贴标准：根据冀财社〔2018〕4号文件要求，于2018年1月1日起提高补贴标准，补贴标准调整后：</w:t>
      </w:r>
      <w:r>
        <w:rPr>
          <w:rFonts w:hint="eastAsia" w:ascii="仿宋" w:hAnsi="仿宋" w:eastAsia="仿宋" w:cs="仿宋"/>
          <w:sz w:val="30"/>
          <w:szCs w:val="30"/>
          <w:lang w:val="en-US" w:eastAsia="zh-CN"/>
        </w:rPr>
        <w:t>(1)困难残疾人生活补贴。符合条件的困难残疾人按照每人每月不低于66元的标准发放生活补贴。(2)重度残疾人护理补贴。符合重度残疾人护理补贴对象条件的，按照每人每月不低于60元的标准发放护理补贴。</w:t>
      </w:r>
    </w:p>
    <w:p>
      <w:pPr>
        <w:pageBreakBefore w:val="0"/>
        <w:numPr>
          <w:ilvl w:val="0"/>
          <w:numId w:val="0"/>
        </w:numPr>
        <w:kinsoku/>
        <w:wordWrap/>
        <w:overflowPunct/>
        <w:topLinePunct w:val="0"/>
        <w:autoSpaceDE/>
        <w:autoSpaceDN/>
        <w:bidi w:val="0"/>
        <w:adjustRightInd/>
        <w:snapToGrid/>
        <w:spacing w:line="560" w:lineRule="exact"/>
        <w:ind w:firstLine="600" w:firstLineChars="200"/>
        <w:outlineLvl w:val="0"/>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w:t>
      </w:r>
      <w:r>
        <w:rPr>
          <w:rFonts w:hint="eastAsia" w:ascii="仿宋" w:hAnsi="仿宋" w:eastAsia="仿宋" w:cs="仿宋"/>
          <w:sz w:val="30"/>
          <w:szCs w:val="30"/>
          <w:lang w:val="en-US" w:eastAsia="zh-CN"/>
        </w:rPr>
        <w:t>政策衔接：(1)符合残疾人两项补贴条件的残疾人，可同时申领困难残疾人生活补贴和重度残疾人护理补贴。(2)既符合残疾人两项补贴条件，又符合老年、因公致残、离休等福利性生活补贴（津贴）、护理补贴（津贴）条件的残疾人，可择高申领其中一类生活补贴（津贴）、护理补贴（津贴）。(3)享受孤儿基本生活保障政策的残疾儿童不享受困难残疾人生活补贴，可享受重度残疾人护理补贴。(4)残疾人两项补贴不计入城乡最低生活保障家庭的收入。(5)领取工伤保险生活护理费、纳入特困人员供养保障的残疾人不享受残疾人两项补贴。</w:t>
      </w:r>
    </w:p>
    <w:p>
      <w:pPr>
        <w:pageBreakBefore w:val="0"/>
        <w:numPr>
          <w:ilvl w:val="0"/>
          <w:numId w:val="0"/>
        </w:numPr>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项目实施</w:t>
      </w:r>
      <w:bookmarkEnd w:id="8"/>
      <w:bookmarkEnd w:id="9"/>
      <w:bookmarkEnd w:id="10"/>
      <w:bookmarkEnd w:id="11"/>
      <w:bookmarkEnd w:id="12"/>
      <w:bookmarkEnd w:id="13"/>
      <w:r>
        <w:rPr>
          <w:rFonts w:hint="eastAsia" w:ascii="仿宋" w:hAnsi="仿宋" w:eastAsia="仿宋" w:cs="仿宋"/>
          <w:b/>
          <w:bCs/>
          <w:sz w:val="32"/>
          <w:szCs w:val="32"/>
          <w:lang w:val="en-US" w:eastAsia="zh-CN"/>
        </w:rPr>
        <w:t>情况</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none"/>
          <w:lang w:val="en-US" w:eastAsia="zh-CN"/>
        </w:rPr>
      </w:pPr>
      <w:bookmarkStart w:id="14" w:name="_Toc24391"/>
      <w:bookmarkStart w:id="15" w:name="_Toc1525"/>
      <w:bookmarkStart w:id="16" w:name="_Toc17013"/>
      <w:bookmarkStart w:id="17" w:name="_Toc83631029"/>
      <w:bookmarkStart w:id="18" w:name="_Toc8527"/>
      <w:bookmarkStart w:id="19" w:name="_Toc83630319"/>
      <w:r>
        <w:rPr>
          <w:rFonts w:hint="eastAsia" w:ascii="仿宋" w:hAnsi="仿宋" w:eastAsia="仿宋" w:cs="仿宋"/>
          <w:sz w:val="30"/>
          <w:szCs w:val="30"/>
          <w:lang w:val="en-US" w:eastAsia="zh-CN"/>
        </w:rPr>
        <w:t>曲阳县2021年“残疾人两项补贴”作为经常性项目，由曲阳县民政局负责实施，项目共覆盖全县18个乡镇。截至2021年第12月，曲阳县全县享受困难生活补贴的残疾人共有</w:t>
      </w:r>
      <w:r>
        <w:rPr>
          <w:rFonts w:hint="eastAsia" w:ascii="仿宋" w:hAnsi="仿宋" w:eastAsia="仿宋" w:cs="仿宋"/>
          <w:sz w:val="30"/>
          <w:szCs w:val="30"/>
          <w:highlight w:val="none"/>
          <w:lang w:val="en-US" w:eastAsia="zh-CN"/>
        </w:rPr>
        <w:t>43866人次，发放生活补贴共计</w:t>
      </w:r>
      <w:r>
        <w:rPr>
          <w:rFonts w:hint="eastAsia" w:ascii="仿宋" w:hAnsi="仿宋" w:eastAsia="仿宋" w:cs="仿宋"/>
          <w:sz w:val="28"/>
          <w:szCs w:val="28"/>
          <w:highlight w:val="none"/>
          <w:lang w:val="en-US" w:eastAsia="zh-CN"/>
        </w:rPr>
        <w:t>289.52</w:t>
      </w:r>
      <w:r>
        <w:rPr>
          <w:rFonts w:hint="eastAsia" w:ascii="仿宋" w:hAnsi="仿宋" w:eastAsia="仿宋" w:cs="仿宋"/>
          <w:sz w:val="30"/>
          <w:szCs w:val="30"/>
          <w:highlight w:val="none"/>
          <w:lang w:val="en-US" w:eastAsia="zh-CN"/>
        </w:rPr>
        <w:t>万元；享受重度护理补贴的残疾人共有69834人次，发放护理补贴419.00万元。2021年残疾人两项补贴项目涉及资金金额共计708.52万元。</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三、</w:t>
      </w:r>
      <w:r>
        <w:rPr>
          <w:rFonts w:hint="eastAsia" w:ascii="仿宋" w:hAnsi="仿宋" w:eastAsia="仿宋" w:cs="仿宋"/>
          <w:b/>
          <w:bCs/>
          <w:sz w:val="32"/>
          <w:szCs w:val="32"/>
          <w:highlight w:val="none"/>
        </w:rPr>
        <w:t>项目资金使用情况</w:t>
      </w:r>
      <w:bookmarkEnd w:id="14"/>
      <w:bookmarkEnd w:id="15"/>
      <w:bookmarkEnd w:id="16"/>
      <w:bookmarkEnd w:id="17"/>
      <w:bookmarkEnd w:id="18"/>
      <w:bookmarkEnd w:id="1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yellow"/>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共安排预算补助资金708.52万元，其中：省级财政</w:t>
      </w:r>
      <w:r>
        <w:rPr>
          <w:rFonts w:hint="eastAsia" w:ascii="仿宋" w:hAnsi="仿宋" w:eastAsia="仿宋" w:cs="仿宋"/>
          <w:sz w:val="30"/>
          <w:szCs w:val="30"/>
        </w:rPr>
        <w:t>补助资金为</w:t>
      </w:r>
      <w:r>
        <w:rPr>
          <w:rFonts w:hint="eastAsia" w:ascii="仿宋" w:hAnsi="仿宋" w:eastAsia="仿宋" w:cs="仿宋"/>
          <w:sz w:val="30"/>
          <w:szCs w:val="30"/>
          <w:lang w:val="en-US" w:eastAsia="zh-CN"/>
        </w:rPr>
        <w:t>401</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县级资金307.52万元</w:t>
      </w: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实际拨款708.52万元，</w:t>
      </w:r>
      <w:r>
        <w:rPr>
          <w:rFonts w:hint="eastAsia" w:ascii="仿宋" w:hAnsi="仿宋" w:eastAsia="仿宋" w:cs="仿宋"/>
          <w:sz w:val="30"/>
          <w:szCs w:val="30"/>
        </w:rPr>
        <w:t>使用资金</w:t>
      </w:r>
      <w:r>
        <w:rPr>
          <w:rFonts w:hint="eastAsia" w:ascii="仿宋" w:hAnsi="仿宋" w:eastAsia="仿宋" w:cs="仿宋"/>
          <w:sz w:val="30"/>
          <w:szCs w:val="30"/>
          <w:lang w:val="en-US" w:eastAsia="zh-CN"/>
        </w:rPr>
        <w:t>708.52</w:t>
      </w:r>
      <w:r>
        <w:rPr>
          <w:rFonts w:hint="eastAsia" w:ascii="仿宋" w:hAnsi="仿宋" w:eastAsia="仿宋" w:cs="仿宋"/>
          <w:sz w:val="30"/>
          <w:szCs w:val="30"/>
        </w:rPr>
        <w:t>万元</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951" w:firstLineChars="296"/>
        <w:outlineLvl w:val="0"/>
        <w:rPr>
          <w:rFonts w:hint="eastAsia" w:ascii="仿宋" w:hAnsi="仿宋" w:eastAsia="仿宋" w:cs="仿宋"/>
          <w:b/>
          <w:bCs/>
          <w:sz w:val="32"/>
          <w:szCs w:val="32"/>
          <w:lang w:val="en-US" w:eastAsia="zh-CN"/>
        </w:rPr>
      </w:pPr>
      <w:bookmarkStart w:id="20" w:name="_Toc83630320"/>
      <w:bookmarkStart w:id="21" w:name="_Toc83631030"/>
      <w:bookmarkStart w:id="22" w:name="_Toc21403"/>
      <w:bookmarkStart w:id="23" w:name="_Toc14351"/>
      <w:bookmarkStart w:id="24" w:name="_Toc18734"/>
      <w:bookmarkStart w:id="25" w:name="_Toc21592"/>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项目</w:t>
      </w:r>
      <w:r>
        <w:rPr>
          <w:rFonts w:hint="eastAsia" w:ascii="仿宋" w:hAnsi="仿宋" w:eastAsia="仿宋" w:cs="仿宋"/>
          <w:b/>
          <w:bCs/>
          <w:sz w:val="32"/>
          <w:szCs w:val="32"/>
          <w:lang w:val="en-US" w:eastAsia="zh-CN"/>
        </w:rPr>
        <w:t>管理</w:t>
      </w:r>
      <w:r>
        <w:rPr>
          <w:rFonts w:hint="eastAsia" w:ascii="仿宋" w:hAnsi="仿宋" w:eastAsia="仿宋" w:cs="仿宋"/>
          <w:b/>
          <w:bCs/>
          <w:sz w:val="32"/>
          <w:szCs w:val="32"/>
        </w:rPr>
        <w:t>绩效</w:t>
      </w:r>
      <w:bookmarkEnd w:id="20"/>
      <w:bookmarkEnd w:id="21"/>
      <w:bookmarkEnd w:id="22"/>
      <w:bookmarkEnd w:id="23"/>
      <w:r>
        <w:rPr>
          <w:rFonts w:hint="eastAsia" w:ascii="仿宋" w:hAnsi="仿宋" w:eastAsia="仿宋" w:cs="仿宋"/>
          <w:b/>
          <w:bCs/>
          <w:sz w:val="32"/>
          <w:szCs w:val="32"/>
          <w:lang w:val="en-US" w:eastAsia="zh-CN"/>
        </w:rPr>
        <w:t>情况</w:t>
      </w:r>
      <w:bookmarkEnd w:id="24"/>
      <w:bookmarkEnd w:id="25"/>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26" w:name="_Toc12058"/>
      <w:bookmarkStart w:id="27" w:name="_Toc501368359"/>
      <w:bookmarkStart w:id="28" w:name="_Toc32445"/>
      <w:bookmarkStart w:id="29" w:name="_Toc12908"/>
      <w:bookmarkStart w:id="30" w:name="_Toc83631040"/>
      <w:bookmarkStart w:id="31" w:name="_Toc83630330"/>
      <w:r>
        <w:rPr>
          <w:rFonts w:hint="eastAsia" w:ascii="仿宋" w:hAnsi="仿宋" w:eastAsia="仿宋" w:cs="仿宋"/>
          <w:b w:val="0"/>
          <w:bCs w:val="0"/>
          <w:sz w:val="30"/>
          <w:szCs w:val="30"/>
        </w:rPr>
        <w:t>（一）项目立项（10分）</w:t>
      </w:r>
      <w:bookmarkEnd w:id="26"/>
      <w:bookmarkEnd w:id="27"/>
      <w:bookmarkEnd w:id="28"/>
      <w:bookmarkEnd w:id="29"/>
      <w:bookmarkEnd w:id="30"/>
      <w:bookmarkEnd w:id="3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6"/>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680" w:hRule="atLeas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680" w:hRule="atLeas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(10分)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决策机制（5分）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项目设立的依据</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绩效目标（5分）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r>
      <w:tr>
        <w:tblPrEx>
          <w:tblCellMar>
            <w:top w:w="15" w:type="dxa"/>
            <w:left w:w="15" w:type="dxa"/>
            <w:bottom w:w="15" w:type="dxa"/>
            <w:right w:w="15" w:type="dxa"/>
          </w:tblCellMar>
        </w:tblPrEx>
        <w:trPr>
          <w:trHeight w:val="680" w:hRule="atLeas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1.决策机制（5分）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该指标包含2个三级指标，主要评价项目立项是否符合国家法规、政策规定，符合社会经济发展战略规划；项目决策是否满足政府职能，用于调节经济、市场监管、提供公共产品和服务</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rPr>
      </w:pPr>
      <w:r>
        <w:rPr>
          <w:rFonts w:hint="eastAsia" w:ascii="仿宋" w:hAnsi="仿宋" w:eastAsia="仿宋" w:cs="仿宋"/>
          <w:sz w:val="30"/>
          <w:szCs w:val="30"/>
        </w:rPr>
        <w:t>项目设立的依据（3分）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lang w:eastAsia="zh-CN"/>
        </w:rPr>
      </w:pPr>
      <w:r>
        <w:rPr>
          <w:rFonts w:hint="eastAsia" w:ascii="仿宋" w:hAnsi="仿宋" w:eastAsia="仿宋" w:cs="仿宋"/>
          <w:sz w:val="30"/>
          <w:szCs w:val="30"/>
        </w:rPr>
        <w:t xml:space="preserve">   该指标主要评价该项目立项是否符合国家法规、政策规定，符合社会经济发展战略规划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 w:hAnsi="仿宋" w:eastAsia="仿宋" w:cs="仿宋"/>
          <w:sz w:val="30"/>
          <w:szCs w:val="30"/>
        </w:rPr>
      </w:pPr>
      <w:bookmarkStart w:id="32" w:name="_Toc21059"/>
      <w:bookmarkStart w:id="33" w:name="_Toc83630331"/>
      <w:bookmarkStart w:id="34" w:name="_Toc25534"/>
      <w:bookmarkStart w:id="35" w:name="_Toc83630427"/>
      <w:bookmarkStart w:id="36" w:name="_Toc83631041"/>
      <w:r>
        <w:rPr>
          <w:rFonts w:hint="eastAsia" w:ascii="仿宋" w:hAnsi="仿宋" w:eastAsia="仿宋" w:cs="仿宋"/>
          <w:sz w:val="30"/>
          <w:szCs w:val="30"/>
        </w:rPr>
        <w:t>经检查，该项目设立的主要依据</w:t>
      </w:r>
      <w:bookmarkEnd w:id="32"/>
      <w:bookmarkEnd w:id="33"/>
      <w:bookmarkEnd w:id="34"/>
      <w:bookmarkEnd w:id="35"/>
      <w:bookmarkEnd w:id="36"/>
      <w:r>
        <w:rPr>
          <w:rFonts w:hint="eastAsia" w:ascii="仿宋" w:hAnsi="仿宋" w:eastAsia="仿宋" w:cs="仿宋"/>
          <w:sz w:val="30"/>
          <w:szCs w:val="30"/>
          <w:lang w:val="en-US" w:eastAsia="zh-CN"/>
        </w:rPr>
        <w:t>《国务院关于全面建立困难残疾人生活补贴和重度残疾人护理制度的意见》（国发【2015】52号）、《河北省人民政府关于全面建立困难残疾人生活补贴和重度残疾人护理补贴制度的实施意见》（冀政字【2015】74号）、《河北省财政厅 河北省民政厅 河北省残疾人联合会关于调整困难残疾人生活补贴和重度残疾人护理补贴标准的通知》（冀财社【2018】4号）、《河北省财政厅关于提前下达2021年省级财政困难群众基本生活救助补助预算指标的通知》（冀财社【2020】210号）、《河北省财政厅 河北省民政厅 河北省残疾人联合会关于进一步完善困难残疾人生活补贴和重度残疾人护理补贴制度的实施意见》（冀民【2021】87号）</w:t>
      </w:r>
      <w:r>
        <w:rPr>
          <w:rFonts w:hint="eastAsia" w:ascii="仿宋" w:hAnsi="仿宋" w:eastAsia="仿宋" w:cs="仿宋"/>
          <w:sz w:val="30"/>
          <w:szCs w:val="30"/>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我们认为该项目设定依据充分，目标设定明确、合理、科学、可行，符合国家法规、政策规定，符合社会经济发展战略规划。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（2）项目决策必要性（2分）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37" w:name="_Toc83631042"/>
      <w:bookmarkStart w:id="38" w:name="_Toc32149"/>
      <w:bookmarkStart w:id="39" w:name="_Toc83630332"/>
      <w:bookmarkStart w:id="40" w:name="_Toc83630428"/>
      <w:bookmarkStart w:id="41" w:name="_Toc24207"/>
      <w:r>
        <w:rPr>
          <w:rFonts w:hint="eastAsia" w:ascii="仿宋" w:hAnsi="仿宋" w:eastAsia="仿宋" w:cs="仿宋"/>
          <w:sz w:val="30"/>
          <w:szCs w:val="30"/>
        </w:rPr>
        <w:t>项目的实施</w:t>
      </w:r>
      <w:r>
        <w:rPr>
          <w:rFonts w:hint="eastAsia" w:ascii="仿宋" w:hAnsi="仿宋" w:eastAsia="仿宋" w:cs="仿宋"/>
          <w:sz w:val="30"/>
          <w:szCs w:val="30"/>
          <w:lang w:val="en-US" w:eastAsia="zh-CN"/>
        </w:rPr>
        <w:t>改善残疾人生活状况，保障残疾人基本生活权益</w:t>
      </w:r>
      <w:r>
        <w:rPr>
          <w:rFonts w:hint="eastAsia" w:ascii="仿宋" w:hAnsi="仿宋" w:eastAsia="仿宋" w:cs="仿宋"/>
          <w:sz w:val="30"/>
          <w:szCs w:val="30"/>
        </w:rPr>
        <w:t>，统筹社会救助，积极发挥家庭、社会、政府作用，着力解决残疾人因残疾产生的额外生活支出和长期照护支出困难。</w:t>
      </w:r>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42" w:name="_Toc83630333"/>
      <w:bookmarkStart w:id="43" w:name="_Toc5914"/>
      <w:bookmarkStart w:id="44" w:name="_Toc83631043"/>
      <w:bookmarkStart w:id="45" w:name="_Toc83630429"/>
      <w:bookmarkStart w:id="46" w:name="_Toc26878"/>
      <w:r>
        <w:rPr>
          <w:rFonts w:hint="eastAsia" w:ascii="仿宋" w:hAnsi="仿宋" w:eastAsia="仿宋" w:cs="仿宋"/>
          <w:sz w:val="30"/>
          <w:szCs w:val="30"/>
        </w:rPr>
        <w:t>为此我们认为该项目决策的评价结论为必要。</w:t>
      </w:r>
      <w:bookmarkEnd w:id="42"/>
      <w:bookmarkEnd w:id="43"/>
      <w:bookmarkEnd w:id="44"/>
      <w:bookmarkEnd w:id="45"/>
      <w:bookmarkEnd w:id="4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2.绩效目标（5分）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（1）合理性（3分）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经检查，该项目绩效目标是依据《国务院关于全面建立困难残疾人生活补贴和重度残疾人护理制度的意见》（国发【2015】52号）、《河北省人民政府关于全面建立困难残疾人生活补贴和重度残疾人护理补贴制度的实施意见》（冀政字【2015】74号）、《河北省财政厅 河北省民政厅 河北省残疾人联合会关于调整困难残疾人生活补贴和重度残疾人护理补贴标准的通知》（冀财社【2018】4号）、《河北省财政厅关于提前下达2021年省级财政困难群众基本生活救助补助预算指标的通知》（冀财社【2020】210号）、《河北省财政厅 河北省民政厅 河北省残疾人联合会关于进一步完善困难残疾人生活补贴和重度残疾人护理补贴制度的实施意见》（冀民【2021】87号）等制定的，绩效目标依据较充分。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（2）明确性（2分）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经检查，该项目根据</w:t>
      </w:r>
      <w:r>
        <w:rPr>
          <w:rFonts w:hint="eastAsia" w:ascii="仿宋" w:hAnsi="仿宋" w:eastAsia="仿宋" w:cs="仿宋"/>
          <w:sz w:val="30"/>
          <w:szCs w:val="30"/>
          <w:lang w:eastAsia="zh-CN"/>
        </w:rPr>
        <w:t>曲阳县财政局</w:t>
      </w:r>
      <w:r>
        <w:rPr>
          <w:rFonts w:hint="eastAsia" w:ascii="仿宋" w:hAnsi="仿宋" w:eastAsia="仿宋" w:cs="仿宋"/>
          <w:sz w:val="30"/>
          <w:szCs w:val="30"/>
        </w:rPr>
        <w:t>下发的</w:t>
      </w:r>
      <w:r>
        <w:rPr>
          <w:rFonts w:hint="eastAsia" w:ascii="仿宋" w:hAnsi="仿宋" w:eastAsia="仿宋" w:cs="仿宋"/>
          <w:sz w:val="30"/>
          <w:szCs w:val="30"/>
          <w:highlight w:val="none"/>
        </w:rPr>
        <w:t>《关于开展202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残疾人生活和护理补贴项目</w:t>
      </w:r>
      <w:r>
        <w:rPr>
          <w:rFonts w:hint="eastAsia" w:ascii="仿宋" w:hAnsi="仿宋" w:eastAsia="仿宋" w:cs="仿宋"/>
          <w:sz w:val="30"/>
          <w:szCs w:val="30"/>
          <w:highlight w:val="none"/>
        </w:rPr>
        <w:t>绩效评价工作的通知》，在项</w:t>
      </w:r>
      <w:r>
        <w:rPr>
          <w:rFonts w:hint="eastAsia" w:ascii="仿宋" w:hAnsi="仿宋" w:eastAsia="仿宋" w:cs="仿宋"/>
          <w:sz w:val="30"/>
          <w:szCs w:val="30"/>
        </w:rPr>
        <w:t>目绩效评价指标体系表中制定了项目产出指标和项目效益指标，绩效指标清晰、细化、量化、可衡量且与当年工作任务匹配。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47" w:name="_Toc27328"/>
      <w:bookmarkStart w:id="48" w:name="_Toc21302"/>
      <w:bookmarkStart w:id="49" w:name="_Toc83630334"/>
      <w:bookmarkStart w:id="50" w:name="_Toc8907"/>
      <w:bookmarkStart w:id="51" w:name="_Toc83631044"/>
      <w:r>
        <w:rPr>
          <w:rFonts w:hint="eastAsia" w:ascii="仿宋" w:hAnsi="仿宋" w:eastAsia="仿宋" w:cs="仿宋"/>
          <w:b w:val="0"/>
          <w:bCs w:val="0"/>
          <w:sz w:val="30"/>
          <w:szCs w:val="30"/>
        </w:rPr>
        <w:t>（二）项目过程管理（</w:t>
      </w:r>
      <w:r>
        <w:rPr>
          <w:rFonts w:hint="eastAsia" w:ascii="仿宋" w:hAnsi="仿宋" w:eastAsia="仿宋" w:cs="仿宋"/>
          <w:b w:val="0"/>
          <w:bCs w:val="0"/>
          <w:sz w:val="30"/>
          <w:szCs w:val="30"/>
          <w:lang w:val="en-US" w:eastAsia="zh-CN"/>
        </w:rPr>
        <w:t>45</w:t>
      </w:r>
      <w:r>
        <w:rPr>
          <w:rFonts w:hint="eastAsia" w:ascii="仿宋" w:hAnsi="仿宋" w:eastAsia="仿宋" w:cs="仿宋"/>
          <w:b w:val="0"/>
          <w:bCs w:val="0"/>
          <w:sz w:val="30"/>
          <w:szCs w:val="30"/>
        </w:rPr>
        <w:t>分）</w:t>
      </w:r>
      <w:bookmarkEnd w:id="47"/>
      <w:bookmarkEnd w:id="48"/>
      <w:bookmarkEnd w:id="49"/>
      <w:bookmarkEnd w:id="50"/>
      <w:bookmarkEnd w:id="5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2"/>
        <w:rPr>
          <w:rFonts w:hint="eastAsia"/>
        </w:rPr>
      </w:pPr>
    </w:p>
    <w:tbl>
      <w:tblPr>
        <w:tblStyle w:val="1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3"/>
        <w:gridCol w:w="1852"/>
        <w:gridCol w:w="2839"/>
        <w:gridCol w:w="1510"/>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ind w:firstLine="240" w:firstLineChars="100"/>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分）</w:t>
            </w: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预算执行率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8</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专项资金实际使用率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专项资金支出合规性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会计核算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w:t>
            </w: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公开公示</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4"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项目档案资料完整性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3503"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43</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1.项目财务管理（2</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（1）预算执行率（</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该指标主要评价实际使用专项资金数额占</w:t>
      </w:r>
      <w:r>
        <w:rPr>
          <w:rFonts w:hint="eastAsia" w:ascii="仿宋" w:hAnsi="仿宋" w:eastAsia="仿宋" w:cs="仿宋"/>
          <w:sz w:val="30"/>
          <w:szCs w:val="30"/>
          <w:lang w:val="en-US" w:eastAsia="zh-CN"/>
        </w:rPr>
        <w:t>预算专项资金额</w:t>
      </w:r>
      <w:r>
        <w:rPr>
          <w:rFonts w:hint="eastAsia" w:ascii="仿宋" w:hAnsi="仿宋" w:eastAsia="仿宋" w:cs="仿宋"/>
          <w:sz w:val="30"/>
          <w:szCs w:val="30"/>
        </w:rPr>
        <w:t>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补贴</w:t>
      </w:r>
      <w:r>
        <w:rPr>
          <w:rFonts w:hint="eastAsia" w:ascii="仿宋" w:hAnsi="仿宋" w:eastAsia="仿宋" w:cs="仿宋"/>
          <w:sz w:val="30"/>
          <w:szCs w:val="30"/>
        </w:rPr>
        <w:t>资金</w:t>
      </w:r>
      <w:r>
        <w:rPr>
          <w:rFonts w:hint="eastAsia" w:ascii="仿宋" w:hAnsi="仿宋" w:eastAsia="仿宋" w:cs="仿宋"/>
          <w:sz w:val="30"/>
          <w:szCs w:val="30"/>
          <w:lang w:val="en-US" w:eastAsia="zh-CN"/>
        </w:rPr>
        <w:t>708.52</w:t>
      </w:r>
      <w:r>
        <w:rPr>
          <w:rFonts w:hint="eastAsia" w:ascii="仿宋" w:hAnsi="仿宋" w:eastAsia="仿宋" w:cs="仿宋"/>
          <w:sz w:val="30"/>
          <w:szCs w:val="30"/>
        </w:rPr>
        <w:t>万元用于该项目，202</w:t>
      </w:r>
      <w:r>
        <w:rPr>
          <w:rFonts w:hint="eastAsia" w:ascii="仿宋" w:hAnsi="仿宋" w:eastAsia="仿宋" w:cs="仿宋"/>
          <w:sz w:val="30"/>
          <w:szCs w:val="30"/>
          <w:lang w:val="en-US" w:eastAsia="zh-CN"/>
        </w:rPr>
        <w:t>1</w:t>
      </w:r>
      <w:r>
        <w:rPr>
          <w:rFonts w:hint="eastAsia" w:ascii="仿宋" w:hAnsi="仿宋" w:eastAsia="仿宋" w:cs="仿宋"/>
          <w:sz w:val="30"/>
          <w:szCs w:val="30"/>
        </w:rPr>
        <w:t>年度该项目</w:t>
      </w:r>
      <w:r>
        <w:rPr>
          <w:rFonts w:hint="eastAsia" w:ascii="仿宋" w:hAnsi="仿宋" w:eastAsia="仿宋" w:cs="仿宋"/>
          <w:sz w:val="30"/>
          <w:szCs w:val="30"/>
          <w:lang w:val="en-US" w:eastAsia="zh-CN"/>
        </w:rPr>
        <w:t>预算资金708.52</w:t>
      </w:r>
      <w:r>
        <w:rPr>
          <w:rFonts w:hint="eastAsia" w:ascii="仿宋" w:hAnsi="仿宋" w:eastAsia="仿宋" w:cs="仿宋"/>
          <w:sz w:val="30"/>
          <w:szCs w:val="30"/>
        </w:rPr>
        <w:t>万元，实际使用专项资金数额占预算专项资金额的比例为</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（2）专项资金实际使用率（</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rPr>
        <w:t>该指标主</w:t>
      </w:r>
      <w:r>
        <w:rPr>
          <w:rFonts w:hint="eastAsia" w:ascii="仿宋" w:hAnsi="仿宋" w:eastAsia="仿宋" w:cs="仿宋"/>
          <w:sz w:val="30"/>
          <w:szCs w:val="30"/>
          <w:highlight w:val="none"/>
        </w:rPr>
        <w:t>要评价专项资金</w:t>
      </w:r>
      <w:r>
        <w:rPr>
          <w:rFonts w:hint="eastAsia" w:ascii="仿宋" w:hAnsi="仿宋" w:eastAsia="仿宋" w:cs="仿宋"/>
          <w:sz w:val="30"/>
          <w:szCs w:val="30"/>
          <w:highlight w:val="none"/>
          <w:lang w:val="en-US" w:eastAsia="zh-CN"/>
        </w:rPr>
        <w:t>实际使用情况</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highlight w:val="none"/>
        </w:rPr>
        <w:t>该项目绩效专项资金</w:t>
      </w:r>
      <w:r>
        <w:rPr>
          <w:rFonts w:hint="eastAsia" w:ascii="仿宋" w:hAnsi="仿宋" w:eastAsia="仿宋" w:cs="仿宋"/>
          <w:sz w:val="30"/>
          <w:szCs w:val="30"/>
          <w:highlight w:val="none"/>
          <w:lang w:val="en-US" w:eastAsia="zh-CN"/>
        </w:rPr>
        <w:t>拨付708.52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经检查</w:t>
      </w:r>
      <w:r>
        <w:rPr>
          <w:rFonts w:hint="eastAsia" w:ascii="仿宋" w:hAnsi="仿宋" w:eastAsia="仿宋" w:cs="仿宋"/>
          <w:sz w:val="30"/>
          <w:szCs w:val="30"/>
        </w:rPr>
        <w:t>，</w:t>
      </w:r>
      <w:r>
        <w:rPr>
          <w:rFonts w:hint="eastAsia" w:ascii="仿宋" w:hAnsi="仿宋" w:eastAsia="仿宋" w:cs="仿宋"/>
          <w:sz w:val="30"/>
          <w:szCs w:val="30"/>
          <w:lang w:val="en-US" w:eastAsia="zh-CN"/>
        </w:rPr>
        <w:t>实际使用专项资金708.52万元，实际使用率100%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（3）专项资金支出合规性（</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821"/>
        <w:jc w:val="left"/>
        <w:rPr>
          <w:rFonts w:hint="eastAsia" w:ascii="仿宋" w:hAnsi="仿宋" w:eastAsia="仿宋" w:cs="仿宋"/>
          <w:sz w:val="30"/>
          <w:szCs w:val="30"/>
        </w:rPr>
      </w:pPr>
      <w:r>
        <w:rPr>
          <w:rFonts w:hint="eastAsia" w:ascii="仿宋" w:hAnsi="仿宋" w:eastAsia="仿宋" w:cs="仿宋"/>
          <w:sz w:val="30"/>
          <w:szCs w:val="30"/>
        </w:rPr>
        <w:t>经检查，该项目资金严格按照《专项资金管理办法》的规定支出，专款专用，不存在截留、挤占、挪用等违规行为。</w:t>
      </w:r>
    </w:p>
    <w:p>
      <w:pPr>
        <w:pageBreakBefore w:val="0"/>
        <w:kinsoku/>
        <w:wordWrap/>
        <w:overflowPunct/>
        <w:topLinePunct w:val="0"/>
        <w:autoSpaceDE/>
        <w:autoSpaceDN/>
        <w:bidi w:val="0"/>
        <w:adjustRightInd/>
        <w:snapToGrid/>
        <w:spacing w:line="560" w:lineRule="exact"/>
        <w:ind w:firstLine="900" w:firstLineChars="3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（4）会计核算（5分）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rPr>
        <w:t>该指标主要评价会计核算是否严格遵守有关法规及制度规定，会计核算是否规范，专</w:t>
      </w:r>
      <w:r>
        <w:rPr>
          <w:rFonts w:hint="eastAsia" w:ascii="仿宋" w:hAnsi="仿宋" w:eastAsia="仿宋" w:cs="仿宋"/>
          <w:sz w:val="30"/>
          <w:szCs w:val="30"/>
          <w:highlight w:val="none"/>
        </w:rPr>
        <w:t>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highlight w:val="none"/>
        </w:rPr>
        <w:t>该项目账面记载</w:t>
      </w:r>
      <w:r>
        <w:rPr>
          <w:rFonts w:hint="eastAsia" w:ascii="仿宋" w:hAnsi="仿宋" w:eastAsia="仿宋" w:cs="仿宋"/>
          <w:sz w:val="30"/>
          <w:szCs w:val="30"/>
          <w:highlight w:val="none"/>
          <w:lang w:val="en-US" w:eastAsia="zh-CN"/>
        </w:rPr>
        <w:t>2021年</w:t>
      </w:r>
      <w:r>
        <w:rPr>
          <w:rFonts w:hint="eastAsia" w:ascii="仿宋" w:hAnsi="仿宋" w:eastAsia="仿宋" w:cs="仿宋"/>
          <w:sz w:val="30"/>
          <w:szCs w:val="30"/>
          <w:highlight w:val="none"/>
        </w:rPr>
        <w:t>专项资金支出金额为</w:t>
      </w:r>
      <w:r>
        <w:rPr>
          <w:rFonts w:hint="eastAsia" w:ascii="仿宋" w:hAnsi="仿宋" w:eastAsia="仿宋" w:cs="仿宋"/>
          <w:sz w:val="30"/>
          <w:szCs w:val="30"/>
          <w:highlight w:val="none"/>
          <w:lang w:val="en-US" w:eastAsia="zh-CN"/>
        </w:rPr>
        <w:t>708.52</w:t>
      </w:r>
      <w:r>
        <w:rPr>
          <w:rFonts w:hint="eastAsia" w:ascii="仿宋" w:hAnsi="仿宋" w:eastAsia="仿宋" w:cs="仿宋"/>
          <w:sz w:val="30"/>
          <w:szCs w:val="30"/>
          <w:highlight w:val="none"/>
        </w:rPr>
        <w:t>万元。经</w:t>
      </w:r>
      <w:r>
        <w:rPr>
          <w:rFonts w:hint="eastAsia" w:ascii="仿宋" w:hAnsi="仿宋" w:eastAsia="仿宋" w:cs="仿宋"/>
          <w:sz w:val="30"/>
          <w:szCs w:val="30"/>
        </w:rPr>
        <w:t>检查，会计核算严格遵守《政府会计制度》的相关规定，科目使用正确，核算规范；各项补贴资金的支付申报、审批流程完善，支付依据充分合法。</w:t>
      </w:r>
    </w:p>
    <w:p>
      <w:pPr>
        <w:pageBreakBefore w:val="0"/>
        <w:kinsoku/>
        <w:wordWrap/>
        <w:overflowPunct/>
        <w:topLinePunct w:val="0"/>
        <w:autoSpaceDE/>
        <w:autoSpaceDN/>
        <w:bidi w:val="0"/>
        <w:adjustRightInd/>
        <w:snapToGrid/>
        <w:spacing w:line="560" w:lineRule="exact"/>
        <w:ind w:firstLine="600" w:firstLineChars="200"/>
        <w:jc w:val="left"/>
        <w:rPr>
          <w:rFonts w:hint="eastAsia"/>
        </w:rPr>
      </w:pPr>
      <w:r>
        <w:rPr>
          <w:rFonts w:hint="eastAsia" w:ascii="仿宋" w:hAnsi="仿宋" w:eastAsia="仿宋" w:cs="仿宋"/>
          <w:sz w:val="30"/>
          <w:szCs w:val="30"/>
        </w:rPr>
        <w:t>该项指标实际得分5分。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2.项目业务管理（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（1）管理制度是否健全（</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该指标主要评价项目制定的管理制度和措施是否全面、明确、合理。能否保障项目顺利实施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经检查，单位</w:t>
      </w:r>
      <w:r>
        <w:rPr>
          <w:rFonts w:hint="eastAsia" w:ascii="仿宋" w:hAnsi="仿宋" w:eastAsia="仿宋" w:cs="仿宋"/>
          <w:sz w:val="30"/>
          <w:szCs w:val="30"/>
          <w:lang w:val="en-US" w:eastAsia="zh-CN"/>
        </w:rPr>
        <w:t>已</w:t>
      </w:r>
      <w:r>
        <w:rPr>
          <w:rFonts w:hint="eastAsia" w:ascii="仿宋" w:hAnsi="仿宋" w:eastAsia="仿宋" w:cs="仿宋"/>
          <w:sz w:val="30"/>
          <w:szCs w:val="30"/>
        </w:rPr>
        <w:t>制定了《</w:t>
      </w:r>
      <w:r>
        <w:rPr>
          <w:rFonts w:hint="eastAsia" w:ascii="仿宋" w:hAnsi="仿宋" w:eastAsia="仿宋" w:cs="仿宋"/>
          <w:sz w:val="30"/>
          <w:szCs w:val="30"/>
          <w:lang w:val="en-US" w:eastAsia="zh-CN"/>
        </w:rPr>
        <w:t>曲阳县民政局财务管理制度</w:t>
      </w:r>
      <w:r>
        <w:rPr>
          <w:rFonts w:hint="eastAsia" w:ascii="仿宋" w:hAnsi="仿宋" w:eastAsia="仿宋" w:cs="仿宋"/>
          <w:sz w:val="30"/>
          <w:szCs w:val="30"/>
        </w:rPr>
        <w:t>》等相关制度</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未</w:t>
      </w:r>
      <w:r>
        <w:rPr>
          <w:rFonts w:hint="eastAsia" w:ascii="仿宋" w:hAnsi="仿宋" w:eastAsia="仿宋" w:cs="仿宋"/>
          <w:sz w:val="30"/>
          <w:szCs w:val="30"/>
        </w:rPr>
        <w:t>制定</w:t>
      </w:r>
      <w:r>
        <w:rPr>
          <w:rFonts w:hint="eastAsia" w:ascii="仿宋" w:hAnsi="仿宋" w:eastAsia="仿宋" w:cs="仿宋"/>
          <w:sz w:val="30"/>
          <w:szCs w:val="30"/>
          <w:lang w:val="en-US" w:eastAsia="zh-CN"/>
        </w:rPr>
        <w:t>项目及资金管理制度，扣1分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（2）公开公示(</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该指标主要评价该项目是否按相关文件要求建立了公开公示制度并按照规定进行了公示。</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rPr>
        <w:t>经检查， 该项目</w:t>
      </w:r>
      <w:r>
        <w:rPr>
          <w:rFonts w:hint="eastAsia" w:ascii="仿宋" w:hAnsi="仿宋" w:eastAsia="仿宋" w:cs="仿宋"/>
          <w:sz w:val="30"/>
          <w:szCs w:val="30"/>
          <w:lang w:val="en-US" w:eastAsia="zh-CN"/>
        </w:rPr>
        <w:t>已按</w:t>
      </w:r>
      <w:r>
        <w:rPr>
          <w:rFonts w:hint="eastAsia" w:ascii="仿宋" w:hAnsi="仿宋" w:eastAsia="仿宋" w:cs="仿宋"/>
          <w:sz w:val="30"/>
          <w:szCs w:val="30"/>
        </w:rPr>
        <w:t>相关文件</w:t>
      </w:r>
      <w:r>
        <w:rPr>
          <w:rFonts w:hint="eastAsia" w:ascii="仿宋" w:hAnsi="仿宋" w:eastAsia="仿宋" w:cs="仿宋"/>
          <w:sz w:val="30"/>
          <w:szCs w:val="30"/>
          <w:lang w:val="en-US" w:eastAsia="zh-CN"/>
        </w:rPr>
        <w:t>进行了公开公示。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rPr>
        <w:t>项目档案资料完整性（</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该指标主要评价项目档案资料是否齐全、完备，保存是否完整。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经检查，该项目档案资料比较齐全、完备，保存完整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但无项目及资金管理制度，扣1分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rPr>
      </w:pPr>
      <w:bookmarkStart w:id="52" w:name="_Toc6507"/>
      <w:bookmarkStart w:id="53" w:name="_Toc83631045"/>
      <w:bookmarkStart w:id="54" w:name="_Toc83630335"/>
      <w:bookmarkStart w:id="55" w:name="_Toc21112"/>
      <w:bookmarkStart w:id="56" w:name="_Toc30993"/>
      <w:r>
        <w:rPr>
          <w:rFonts w:hint="eastAsia" w:ascii="仿宋" w:hAnsi="仿宋" w:eastAsia="仿宋" w:cs="仿宋"/>
          <w:b w:val="0"/>
          <w:bCs w:val="0"/>
          <w:sz w:val="30"/>
          <w:szCs w:val="30"/>
        </w:rPr>
        <w:t>（三）项目产出（3</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sz w:val="30"/>
          <w:szCs w:val="30"/>
        </w:rPr>
        <w:t>该一级指标包含</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个三级指标，主要为</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个</w:t>
      </w:r>
      <w:r>
        <w:rPr>
          <w:rFonts w:hint="eastAsia" w:ascii="仿宋" w:hAnsi="仿宋" w:eastAsia="仿宋" w:cs="仿宋"/>
          <w:sz w:val="30"/>
          <w:szCs w:val="30"/>
          <w:highlight w:val="none"/>
          <w:lang w:val="en-US" w:eastAsia="zh-CN"/>
        </w:rPr>
        <w:t>时效</w:t>
      </w:r>
      <w:r>
        <w:rPr>
          <w:rFonts w:hint="eastAsia" w:ascii="仿宋" w:hAnsi="仿宋" w:eastAsia="仿宋" w:cs="仿宋"/>
          <w:sz w:val="30"/>
          <w:szCs w:val="30"/>
          <w:highlight w:val="none"/>
        </w:rPr>
        <w:t>指标：完成及时率；</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个</w:t>
      </w:r>
      <w:r>
        <w:rPr>
          <w:rFonts w:hint="eastAsia" w:ascii="仿宋" w:hAnsi="仿宋" w:eastAsia="仿宋" w:cs="仿宋"/>
          <w:sz w:val="30"/>
          <w:szCs w:val="30"/>
          <w:highlight w:val="none"/>
          <w:lang w:eastAsia="zh-CN"/>
        </w:rPr>
        <w:t>成本</w:t>
      </w:r>
      <w:r>
        <w:rPr>
          <w:rFonts w:hint="eastAsia" w:ascii="仿宋" w:hAnsi="仿宋" w:eastAsia="仿宋" w:cs="仿宋"/>
          <w:sz w:val="30"/>
          <w:szCs w:val="30"/>
          <w:highlight w:val="none"/>
        </w:rPr>
        <w:t>指标：</w:t>
      </w:r>
      <w:r>
        <w:rPr>
          <w:rFonts w:hint="eastAsia" w:ascii="仿宋" w:hAnsi="仿宋" w:eastAsia="仿宋" w:cs="仿宋"/>
          <w:sz w:val="30"/>
          <w:szCs w:val="30"/>
          <w:highlight w:val="none"/>
          <w:lang w:val="en-US" w:eastAsia="zh-CN"/>
        </w:rPr>
        <w:t>按规定标准补贴、1</w:t>
      </w:r>
      <w:r>
        <w:rPr>
          <w:rFonts w:hint="eastAsia" w:ascii="仿宋" w:hAnsi="仿宋" w:eastAsia="仿宋" w:cs="仿宋"/>
          <w:sz w:val="30"/>
          <w:szCs w:val="30"/>
          <w:highlight w:val="none"/>
        </w:rPr>
        <w:t>个质量指标：</w:t>
      </w:r>
      <w:r>
        <w:rPr>
          <w:rFonts w:hint="eastAsia" w:ascii="仿宋" w:hAnsi="仿宋" w:eastAsia="仿宋" w:cs="仿宋"/>
          <w:sz w:val="30"/>
          <w:szCs w:val="30"/>
          <w:highlight w:val="none"/>
          <w:lang w:val="en-US" w:eastAsia="zh-CN"/>
        </w:rPr>
        <w:t>两项补贴发放准确率</w:t>
      </w:r>
      <w:r>
        <w:rPr>
          <w:rFonts w:hint="eastAsia" w:ascii="仿宋" w:hAnsi="仿宋" w:eastAsia="仿宋" w:cs="仿宋"/>
          <w:sz w:val="30"/>
          <w:szCs w:val="30"/>
          <w:highlight w:val="none"/>
        </w:rPr>
        <w:t>是</w:t>
      </w:r>
      <w:r>
        <w:rPr>
          <w:rFonts w:hint="eastAsia" w:ascii="仿宋" w:hAnsi="仿宋" w:eastAsia="仿宋" w:cs="仿宋"/>
          <w:sz w:val="30"/>
          <w:szCs w:val="30"/>
        </w:rPr>
        <w:t>否达到绩效目标的预期指标值。</w:t>
      </w:r>
    </w:p>
    <w:tbl>
      <w:tblPr>
        <w:tblStyle w:val="16"/>
        <w:tblW w:w="4992" w:type="pct"/>
        <w:jc w:val="center"/>
        <w:tblLayout w:type="autofit"/>
        <w:tblCellMar>
          <w:top w:w="15" w:type="dxa"/>
          <w:left w:w="15" w:type="dxa"/>
          <w:bottom w:w="15" w:type="dxa"/>
          <w:right w:w="15" w:type="dxa"/>
        </w:tblCellMar>
      </w:tblPr>
      <w:tblGrid>
        <w:gridCol w:w="1665"/>
        <w:gridCol w:w="1956"/>
        <w:gridCol w:w="3487"/>
        <w:gridCol w:w="1462"/>
        <w:gridCol w:w="1083"/>
      </w:tblGrid>
      <w:tr>
        <w:tblPrEx>
          <w:tblCellMar>
            <w:top w:w="15" w:type="dxa"/>
            <w:left w:w="15" w:type="dxa"/>
            <w:bottom w:w="15" w:type="dxa"/>
            <w:right w:w="15" w:type="dxa"/>
          </w:tblCellMar>
        </w:tblPrEx>
        <w:trPr>
          <w:trHeight w:val="680" w:hRule="atLeast"/>
          <w:jc w:val="center"/>
        </w:trPr>
        <w:tc>
          <w:tcPr>
            <w:tcW w:w="8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101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80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680" w:hRule="atLeast"/>
          <w:jc w:val="center"/>
        </w:trPr>
        <w:tc>
          <w:tcPr>
            <w:tcW w:w="862" w:type="pct"/>
            <w:vMerge w:val="restart"/>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项目产出</w:t>
            </w:r>
          </w:p>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（30分）</w:t>
            </w:r>
          </w:p>
        </w:tc>
        <w:tc>
          <w:tcPr>
            <w:tcW w:w="1013"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时效指标（10分）</w:t>
            </w:r>
          </w:p>
        </w:tc>
        <w:tc>
          <w:tcPr>
            <w:tcW w:w="1805"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完成及时率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10</w:t>
            </w:r>
          </w:p>
        </w:tc>
      </w:tr>
      <w:tr>
        <w:tblPrEx>
          <w:tblCellMar>
            <w:top w:w="15" w:type="dxa"/>
            <w:left w:w="15" w:type="dxa"/>
            <w:bottom w:w="15" w:type="dxa"/>
            <w:right w:w="15" w:type="dxa"/>
          </w:tblCellMar>
        </w:tblPrEx>
        <w:trPr>
          <w:trHeight w:val="680" w:hRule="atLeast"/>
          <w:jc w:val="center"/>
        </w:trPr>
        <w:tc>
          <w:tcPr>
            <w:tcW w:w="862"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013" w:type="pct"/>
            <w:tcBorders>
              <w:top w:val="single" w:color="000000" w:sz="4" w:space="0"/>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成本指标（10分）</w:t>
            </w:r>
          </w:p>
        </w:tc>
        <w:tc>
          <w:tcPr>
            <w:tcW w:w="1805"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按规定标准补贴</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680" w:hRule="atLeast"/>
          <w:jc w:val="center"/>
        </w:trPr>
        <w:tc>
          <w:tcPr>
            <w:tcW w:w="862"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013" w:type="pct"/>
            <w:tcBorders>
              <w:top w:val="single" w:color="000000" w:sz="4" w:space="0"/>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质量指标（10分）</w:t>
            </w:r>
          </w:p>
        </w:tc>
        <w:tc>
          <w:tcPr>
            <w:tcW w:w="1805"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两项补贴发放准确率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680" w:hRule="atLeast"/>
          <w:jc w:val="center"/>
        </w:trPr>
        <w:tc>
          <w:tcPr>
            <w:tcW w:w="3681" w:type="pct"/>
            <w:gridSpan w:val="3"/>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30</w:t>
            </w:r>
          </w:p>
        </w:tc>
      </w:tr>
    </w:tbl>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1、完成及时率（</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残疾人两项补助发放的及时性，是否按月发放。达到的得满分，否则酌情扣分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202</w:t>
      </w:r>
      <w:r>
        <w:rPr>
          <w:rFonts w:hint="eastAsia" w:ascii="仿宋" w:hAnsi="仿宋" w:eastAsia="仿宋" w:cs="仿宋"/>
          <w:sz w:val="30"/>
          <w:szCs w:val="30"/>
          <w:highlight w:val="none"/>
          <w:lang w:val="en-US" w:eastAsia="zh-CN"/>
        </w:rPr>
        <w:t>1年</w:t>
      </w:r>
      <w:r>
        <w:rPr>
          <w:rFonts w:hint="eastAsia" w:ascii="仿宋" w:hAnsi="仿宋" w:eastAsia="仿宋" w:cs="仿宋"/>
          <w:sz w:val="30"/>
          <w:szCs w:val="30"/>
          <w:highlight w:val="none"/>
          <w:lang w:eastAsia="zh-CN"/>
        </w:rPr>
        <w:t>单位已及时发放残疾人两项补助</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pStyle w:val="2"/>
        <w:pageBreakBefore w:val="0"/>
        <w:kinsoku/>
        <w:wordWrap/>
        <w:overflowPunct/>
        <w:topLinePunct w:val="0"/>
        <w:autoSpaceDE/>
        <w:autoSpaceDN/>
        <w:bidi w:val="0"/>
        <w:adjustRightInd/>
        <w:snapToGrid/>
        <w:spacing w:line="560" w:lineRule="exact"/>
        <w:rPr>
          <w:rFonts w:hint="eastAsia" w:ascii="仿宋" w:hAnsi="仿宋" w:eastAsia="仿宋" w:cs="仿宋"/>
          <w:kern w:val="2"/>
          <w:sz w:val="30"/>
          <w:szCs w:val="30"/>
        </w:rPr>
      </w:pPr>
      <w:r>
        <w:rPr>
          <w:rFonts w:hint="eastAsia" w:ascii="仿宋" w:hAnsi="仿宋" w:eastAsia="仿宋" w:cs="仿宋"/>
          <w:sz w:val="30"/>
          <w:szCs w:val="30"/>
        </w:rPr>
        <w:t xml:space="preserve"> </w:t>
      </w:r>
      <w:r>
        <w:rPr>
          <w:rFonts w:hint="eastAsia" w:ascii="仿宋" w:hAnsi="仿宋" w:eastAsia="仿宋" w:cs="仿宋"/>
          <w:kern w:val="2"/>
          <w:sz w:val="30"/>
          <w:szCs w:val="30"/>
        </w:rPr>
        <w:t xml:space="preserve"> 2</w:t>
      </w:r>
      <w:r>
        <w:rPr>
          <w:rFonts w:hint="eastAsia" w:ascii="仿宋" w:hAnsi="仿宋" w:eastAsia="仿宋" w:cs="仿宋"/>
          <w:sz w:val="30"/>
          <w:szCs w:val="30"/>
        </w:rPr>
        <w:t>、</w:t>
      </w:r>
      <w:r>
        <w:rPr>
          <w:rFonts w:hint="eastAsia" w:ascii="仿宋" w:hAnsi="仿宋" w:eastAsia="仿宋" w:cs="仿宋"/>
          <w:kern w:val="2"/>
          <w:sz w:val="30"/>
          <w:szCs w:val="30"/>
        </w:rPr>
        <w:t>按规定标准补贴（</w:t>
      </w:r>
      <w:r>
        <w:rPr>
          <w:rFonts w:hint="eastAsia" w:ascii="仿宋" w:hAnsi="仿宋" w:eastAsia="仿宋" w:cs="仿宋"/>
          <w:kern w:val="2"/>
          <w:sz w:val="30"/>
          <w:szCs w:val="30"/>
          <w:lang w:val="en-US" w:eastAsia="zh-CN"/>
        </w:rPr>
        <w:t>10</w:t>
      </w:r>
      <w:r>
        <w:rPr>
          <w:rFonts w:hint="eastAsia" w:ascii="仿宋" w:hAnsi="仿宋" w:eastAsia="仿宋" w:cs="仿宋"/>
          <w:kern w:val="2"/>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补助是否按标准补贴，标准：</w:t>
      </w:r>
      <w:r>
        <w:rPr>
          <w:rFonts w:hint="eastAsia" w:ascii="仿宋" w:hAnsi="仿宋" w:eastAsia="仿宋" w:cs="仿宋"/>
          <w:sz w:val="30"/>
          <w:szCs w:val="30"/>
          <w:lang w:eastAsia="zh-CN"/>
        </w:rPr>
        <w:t>困难残疾人生活补贴60元/月；重度残疾人护理补贴66元/月</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w:t>
      </w:r>
      <w:r>
        <w:rPr>
          <w:rFonts w:hint="eastAsia" w:ascii="仿宋" w:hAnsi="仿宋" w:eastAsia="仿宋" w:cs="仿宋"/>
          <w:sz w:val="30"/>
          <w:szCs w:val="30"/>
          <w:lang w:val="en-US" w:eastAsia="zh-CN"/>
        </w:rPr>
        <w:t>21</w:t>
      </w:r>
      <w:r>
        <w:rPr>
          <w:rFonts w:hint="eastAsia" w:ascii="仿宋" w:hAnsi="仿宋" w:eastAsia="仿宋" w:cs="仿宋"/>
          <w:sz w:val="30"/>
          <w:szCs w:val="30"/>
        </w:rPr>
        <w:t>年</w:t>
      </w:r>
      <w:r>
        <w:rPr>
          <w:rFonts w:hint="eastAsia" w:ascii="仿宋" w:hAnsi="仿宋" w:eastAsia="仿宋" w:cs="仿宋"/>
          <w:sz w:val="30"/>
          <w:szCs w:val="30"/>
          <w:lang w:val="en-US" w:eastAsia="zh-CN"/>
        </w:rPr>
        <w:t>单位已按照标准进行补贴</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3、两项补贴发放准确率（</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补贴是否发放</w:t>
      </w:r>
      <w:r>
        <w:rPr>
          <w:rFonts w:hint="eastAsia" w:ascii="仿宋" w:hAnsi="仿宋" w:eastAsia="仿宋" w:cs="仿宋"/>
          <w:sz w:val="30"/>
          <w:szCs w:val="30"/>
        </w:rPr>
        <w:t>准确。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单位已准确发放残疾人两项补贴</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57" w:name="_Toc833"/>
      <w:bookmarkStart w:id="58" w:name="_Toc1929"/>
      <w:bookmarkStart w:id="59" w:name="_Toc83630336"/>
      <w:bookmarkStart w:id="60" w:name="_Toc16415"/>
      <w:bookmarkStart w:id="61" w:name="_Toc83631046"/>
      <w:r>
        <w:rPr>
          <w:rFonts w:hint="eastAsia" w:ascii="仿宋" w:hAnsi="仿宋" w:eastAsia="仿宋" w:cs="仿宋"/>
          <w:b w:val="0"/>
          <w:bCs w:val="0"/>
          <w:sz w:val="30"/>
          <w:szCs w:val="30"/>
        </w:rPr>
        <w:t>（四）项目效果（</w:t>
      </w:r>
      <w:r>
        <w:rPr>
          <w:rFonts w:hint="eastAsia" w:ascii="仿宋" w:hAnsi="仿宋" w:eastAsia="仿宋" w:cs="仿宋"/>
          <w:b w:val="0"/>
          <w:bCs w:val="0"/>
          <w:sz w:val="30"/>
          <w:szCs w:val="30"/>
          <w:lang w:val="en-US" w:eastAsia="zh-CN"/>
        </w:rPr>
        <w:t>15</w:t>
      </w:r>
      <w:r>
        <w:rPr>
          <w:rFonts w:hint="eastAsia" w:ascii="仿宋" w:hAnsi="仿宋" w:eastAsia="仿宋" w:cs="仿宋"/>
          <w:b w:val="0"/>
          <w:bCs w:val="0"/>
          <w:sz w:val="30"/>
          <w:szCs w:val="30"/>
        </w:rPr>
        <w:t>分）</w:t>
      </w:r>
      <w:bookmarkEnd w:id="57"/>
      <w:bookmarkEnd w:id="58"/>
      <w:bookmarkEnd w:id="59"/>
      <w:bookmarkEnd w:id="60"/>
      <w:bookmarkEnd w:id="6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62" w:name="_Toc83630433"/>
      <w:bookmarkStart w:id="63" w:name="_Toc83631047"/>
      <w:bookmarkStart w:id="64" w:name="_Toc14139"/>
      <w:bookmarkStart w:id="65" w:name="_Toc83630337"/>
      <w:bookmarkStart w:id="66" w:name="_Toc27277"/>
      <w:r>
        <w:rPr>
          <w:rFonts w:hint="eastAsia" w:ascii="仿宋" w:hAnsi="仿宋" w:eastAsia="仿宋" w:cs="仿宋"/>
          <w:sz w:val="30"/>
          <w:szCs w:val="30"/>
        </w:rPr>
        <w:t>该一级指标包含项目效益1个二级指标和社会效益和群众满意度</w:t>
      </w:r>
      <w:r>
        <w:rPr>
          <w:rFonts w:hint="eastAsia" w:ascii="仿宋" w:hAnsi="仿宋" w:eastAsia="仿宋" w:cs="仿宋"/>
          <w:sz w:val="30"/>
          <w:szCs w:val="30"/>
          <w:lang w:val="en-US" w:eastAsia="zh-CN"/>
        </w:rPr>
        <w:t>2</w:t>
      </w:r>
      <w:r>
        <w:rPr>
          <w:rFonts w:hint="eastAsia" w:ascii="仿宋" w:hAnsi="仿宋" w:eastAsia="仿宋" w:cs="仿宋"/>
          <w:sz w:val="30"/>
          <w:szCs w:val="30"/>
        </w:rPr>
        <w:t>个三级指标。主要评价项目实施后所产生的各种效益。</w:t>
      </w:r>
      <w:bookmarkEnd w:id="62"/>
      <w:bookmarkEnd w:id="63"/>
      <w:bookmarkEnd w:id="64"/>
      <w:bookmarkEnd w:id="65"/>
      <w:bookmarkEnd w:id="66"/>
    </w:p>
    <w:tbl>
      <w:tblPr>
        <w:tblStyle w:val="16"/>
        <w:tblW w:w="4992" w:type="pct"/>
        <w:jc w:val="center"/>
        <w:tblLayout w:type="autofit"/>
        <w:tblCellMar>
          <w:top w:w="15" w:type="dxa"/>
          <w:left w:w="15" w:type="dxa"/>
          <w:bottom w:w="15" w:type="dxa"/>
          <w:right w:w="15" w:type="dxa"/>
        </w:tblCellMar>
      </w:tblPr>
      <w:tblGrid>
        <w:gridCol w:w="2016"/>
        <w:gridCol w:w="1593"/>
        <w:gridCol w:w="2952"/>
        <w:gridCol w:w="1651"/>
        <w:gridCol w:w="1441"/>
      </w:tblGrid>
      <w:tr>
        <w:tblPrEx>
          <w:tblCellMar>
            <w:top w:w="15" w:type="dxa"/>
            <w:left w:w="15" w:type="dxa"/>
            <w:bottom w:w="15" w:type="dxa"/>
            <w:right w:w="15" w:type="dxa"/>
          </w:tblCellMar>
        </w:tblPrEx>
        <w:trPr>
          <w:trHeight w:val="454" w:hRule="exact"/>
          <w:jc w:val="center"/>
        </w:trPr>
        <w:tc>
          <w:tcPr>
            <w:tcW w:w="104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82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52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85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84" w:hRule="exact"/>
          <w:jc w:val="center"/>
        </w:trPr>
        <w:tc>
          <w:tcPr>
            <w:tcW w:w="1044"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项目效果</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分）</w:t>
            </w:r>
          </w:p>
        </w:tc>
        <w:tc>
          <w:tcPr>
            <w:tcW w:w="825"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项目效益</w:t>
            </w:r>
          </w:p>
          <w:p>
            <w:pPr>
              <w:pageBreakBefore w:val="0"/>
              <w:widowControl/>
              <w:kinsoku/>
              <w:wordWrap/>
              <w:overflowPunct/>
              <w:topLinePunct w:val="0"/>
              <w:autoSpaceDE/>
              <w:autoSpaceDN/>
              <w:bidi w:val="0"/>
              <w:adjustRightInd/>
              <w:snapToGrid/>
              <w:spacing w:line="560" w:lineRule="exact"/>
              <w:jc w:val="center"/>
              <w:textAlignment w:val="center"/>
              <w:rPr>
                <w:rFonts w:hint="eastAsia" w:eastAsia="宋体"/>
                <w:lang w:eastAsia="zh-CN"/>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15分</w:t>
            </w:r>
            <w:r>
              <w:rPr>
                <w:rFonts w:hint="eastAsia" w:ascii="仿宋" w:hAnsi="仿宋" w:eastAsia="仿宋" w:cs="仿宋"/>
                <w:color w:val="000000"/>
                <w:kern w:val="0"/>
                <w:sz w:val="24"/>
                <w:szCs w:val="24"/>
                <w:lang w:eastAsia="zh-CN"/>
              </w:rPr>
              <w:t>）</w:t>
            </w:r>
          </w:p>
        </w:tc>
        <w:tc>
          <w:tcPr>
            <w:tcW w:w="152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1"/>
                <w:szCs w:val="21"/>
              </w:rPr>
            </w:pPr>
            <w:r>
              <w:rPr>
                <w:rFonts w:hint="eastAsia" w:ascii="仿宋" w:hAnsi="仿宋" w:eastAsia="仿宋" w:cs="仿宋"/>
                <w:sz w:val="24"/>
                <w:szCs w:val="24"/>
              </w:rPr>
              <w:t>社会效益</w:t>
            </w:r>
          </w:p>
        </w:tc>
        <w:tc>
          <w:tcPr>
            <w:tcW w:w="85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8</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8</w:t>
            </w:r>
          </w:p>
        </w:tc>
      </w:tr>
      <w:tr>
        <w:tblPrEx>
          <w:tblCellMar>
            <w:top w:w="15" w:type="dxa"/>
            <w:left w:w="15" w:type="dxa"/>
            <w:bottom w:w="15" w:type="dxa"/>
            <w:right w:w="15" w:type="dxa"/>
          </w:tblCellMar>
        </w:tblPrEx>
        <w:trPr>
          <w:trHeight w:val="684" w:hRule="exact"/>
          <w:jc w:val="center"/>
        </w:trPr>
        <w:tc>
          <w:tcPr>
            <w:tcW w:w="1044"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52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1"/>
                <w:szCs w:val="21"/>
              </w:rPr>
            </w:pPr>
            <w:r>
              <w:rPr>
                <w:rFonts w:hint="eastAsia" w:ascii="仿宋" w:hAnsi="仿宋" w:eastAsia="仿宋" w:cs="仿宋"/>
                <w:sz w:val="24"/>
                <w:szCs w:val="24"/>
              </w:rPr>
              <w:t>群众满意度</w:t>
            </w:r>
          </w:p>
        </w:tc>
        <w:tc>
          <w:tcPr>
            <w:tcW w:w="85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lang w:val="en-US" w:eastAsia="zh-CN"/>
              </w:rPr>
              <w:t>7</w:t>
            </w:r>
          </w:p>
        </w:tc>
      </w:tr>
      <w:tr>
        <w:tblPrEx>
          <w:tblCellMar>
            <w:top w:w="15" w:type="dxa"/>
            <w:left w:w="15" w:type="dxa"/>
            <w:bottom w:w="15" w:type="dxa"/>
            <w:right w:w="15" w:type="dxa"/>
          </w:tblCellMar>
        </w:tblPrEx>
        <w:trPr>
          <w:trHeight w:val="454" w:hRule="exact"/>
          <w:jc w:val="center"/>
        </w:trPr>
        <w:tc>
          <w:tcPr>
            <w:tcW w:w="339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85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15</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15</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1.社会效益（</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项目实施对社会发展所带来的直接或间接影响情况</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val="en-US" w:eastAsia="zh-CN"/>
        </w:rPr>
        <w:t>截止2021年12月末，全县享受困难残疾人生活补贴3517人，重度残疾人护理补贴5817人，有效解决残疾人家庭的实际困难，保障残疾人基本生活来源，使残疾人生活状况得到改善，扩大民生项目社会影响</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color w:val="FF0000"/>
          <w:sz w:val="30"/>
          <w:szCs w:val="30"/>
        </w:rPr>
      </w:pPr>
      <w:r>
        <w:rPr>
          <w:rFonts w:hint="eastAsia" w:ascii="仿宋" w:hAnsi="仿宋" w:eastAsia="仿宋" w:cs="仿宋"/>
          <w:sz w:val="30"/>
          <w:szCs w:val="30"/>
        </w:rPr>
        <w:t>2.群众满意度（</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该指标主要评价受益</w:t>
      </w:r>
      <w:r>
        <w:rPr>
          <w:rFonts w:hint="eastAsia" w:ascii="仿宋" w:hAnsi="仿宋" w:eastAsia="仿宋" w:cs="仿宋"/>
          <w:sz w:val="30"/>
          <w:szCs w:val="30"/>
          <w:lang w:val="en-US" w:eastAsia="zh-CN"/>
        </w:rPr>
        <w:t>民众</w:t>
      </w:r>
      <w:r>
        <w:rPr>
          <w:rFonts w:hint="eastAsia" w:ascii="仿宋" w:hAnsi="仿宋" w:eastAsia="仿宋" w:cs="仿宋"/>
          <w:sz w:val="30"/>
          <w:szCs w:val="30"/>
        </w:rPr>
        <w:t>的满意程度。通过抽查问卷调查统计发现，目前对该项目的实施满意度较高</w:t>
      </w:r>
      <w:r>
        <w:rPr>
          <w:rFonts w:hint="eastAsia" w:ascii="仿宋" w:hAnsi="仿宋" w:eastAsia="仿宋" w:cs="仿宋"/>
          <w:sz w:val="30"/>
          <w:szCs w:val="30"/>
          <w:lang w:eastAsia="zh-CN"/>
        </w:rPr>
        <w:t>。</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bookmarkStart w:id="67" w:name="_Toc30943"/>
      <w:bookmarkStart w:id="68" w:name="_Toc10581"/>
      <w:bookmarkStart w:id="69" w:name="_Toc6602"/>
      <w:bookmarkStart w:id="70" w:name="_Toc501368363"/>
      <w:bookmarkStart w:id="71" w:name="_Toc10985"/>
      <w:bookmarkStart w:id="72" w:name="_Toc12802"/>
      <w:bookmarkStart w:id="73" w:name="_Toc83631048"/>
      <w:bookmarkStart w:id="74" w:name="_Toc83630434"/>
      <w:r>
        <w:rPr>
          <w:rFonts w:hint="eastAsia" w:ascii="仿宋_GB2312" w:eastAsia="仿宋_GB2312" w:cs="Times New Roman" w:hAnsiTheme="minorEastAsia"/>
          <w:color w:val="auto"/>
          <w:sz w:val="32"/>
          <w:szCs w:val="32"/>
          <w:u w:color="000000"/>
        </w:rPr>
        <w:t>针对该指标，我们随机选取了</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0个调查对象进行了问卷调查，具体调查情况如下：</w:t>
      </w:r>
    </w:p>
    <w:p>
      <w:pPr>
        <w:spacing w:after="0" w:line="360" w:lineRule="auto"/>
        <w:jc w:val="center"/>
        <w:textAlignment w:val="baseline"/>
        <w:rPr>
          <w:rFonts w:asciiTheme="minorEastAsia" w:hAnsiTheme="minorEastAsia" w:eastAsiaTheme="minorEastAsia" w:cstheme="minorEastAsia"/>
          <w:b/>
          <w:bCs/>
          <w:color w:val="auto"/>
          <w:sz w:val="32"/>
          <w:szCs w:val="32"/>
          <w:u w:color="000000"/>
        </w:rPr>
      </w:pPr>
      <w:r>
        <w:rPr>
          <w:rFonts w:hint="eastAsia" w:asciiTheme="minorEastAsia" w:hAnsiTheme="minorEastAsia" w:eastAsiaTheme="minorEastAsia" w:cstheme="minorEastAsia"/>
          <w:b/>
          <w:bCs/>
          <w:color w:val="auto"/>
          <w:sz w:val="32"/>
          <w:szCs w:val="32"/>
          <w:u w:color="000000"/>
        </w:rPr>
        <w:t xml:space="preserve"> 服务对象满意度调查问卷汇总表</w:t>
      </w:r>
    </w:p>
    <w:p>
      <w:pPr>
        <w:spacing w:after="0" w:line="540" w:lineRule="exact"/>
        <w:ind w:firstLine="6930" w:firstLineChars="3300"/>
        <w:jc w:val="both"/>
        <w:textAlignment w:val="baseline"/>
        <w:rPr>
          <w:rFonts w:hint="eastAsia" w:asciiTheme="minorEastAsia" w:hAnsiTheme="minorEastAsia" w:eastAsiaTheme="minorEastAsia" w:cstheme="minorEastAsia"/>
          <w:color w:val="auto"/>
          <w:sz w:val="21"/>
          <w:szCs w:val="21"/>
          <w:u w:color="000000"/>
        </w:rPr>
      </w:pPr>
      <w:r>
        <w:rPr>
          <w:rFonts w:hint="eastAsia" w:asciiTheme="minorEastAsia" w:hAnsiTheme="minorEastAsia" w:eastAsiaTheme="minorEastAsia" w:cstheme="minorEastAsia"/>
          <w:color w:val="auto"/>
          <w:sz w:val="21"/>
          <w:szCs w:val="21"/>
          <w:u w:color="000000"/>
        </w:rPr>
        <w:t>单位：人次</w:t>
      </w:r>
    </w:p>
    <w:tbl>
      <w:tblPr>
        <w:tblStyle w:val="16"/>
        <w:tblW w:w="7948" w:type="dxa"/>
        <w:jc w:val="center"/>
        <w:tblLayout w:type="fixed"/>
        <w:tblCellMar>
          <w:top w:w="15" w:type="dxa"/>
          <w:left w:w="15" w:type="dxa"/>
          <w:bottom w:w="15" w:type="dxa"/>
          <w:right w:w="15" w:type="dxa"/>
        </w:tblCellMar>
      </w:tblPr>
      <w:tblGrid>
        <w:gridCol w:w="2834"/>
        <w:gridCol w:w="1114"/>
        <w:gridCol w:w="1134"/>
        <w:gridCol w:w="1218"/>
        <w:gridCol w:w="767"/>
        <w:gridCol w:w="881"/>
      </w:tblGrid>
      <w:tr>
        <w:tblPrEx>
          <w:tblCellMar>
            <w:top w:w="15" w:type="dxa"/>
            <w:left w:w="15" w:type="dxa"/>
            <w:bottom w:w="15" w:type="dxa"/>
            <w:right w:w="15" w:type="dxa"/>
          </w:tblCellMar>
        </w:tblPrEx>
        <w:trPr>
          <w:trHeight w:val="525" w:hRule="atLeast"/>
          <w:jc w:val="center"/>
        </w:trPr>
        <w:tc>
          <w:tcPr>
            <w:tcW w:w="28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调查项目</w:t>
            </w:r>
          </w:p>
        </w:tc>
        <w:tc>
          <w:tcPr>
            <w:tcW w:w="111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满意</w:t>
            </w:r>
          </w:p>
        </w:tc>
        <w:tc>
          <w:tcPr>
            <w:tcW w:w="11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一般</w:t>
            </w:r>
          </w:p>
        </w:tc>
        <w:tc>
          <w:tcPr>
            <w:tcW w:w="1218"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不满意</w:t>
            </w:r>
          </w:p>
        </w:tc>
        <w:tc>
          <w:tcPr>
            <w:tcW w:w="767"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合计</w:t>
            </w:r>
          </w:p>
        </w:tc>
        <w:tc>
          <w:tcPr>
            <w:tcW w:w="881"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hint="eastAsia" w:ascii="仿宋" w:hAnsi="仿宋" w:eastAsia="仿宋" w:cs="仿宋"/>
                <w:b/>
                <w:bCs/>
                <w:color w:val="auto"/>
                <w:sz w:val="21"/>
                <w:szCs w:val="21"/>
                <w:u w:color="000000"/>
              </w:rPr>
            </w:pPr>
            <w:r>
              <w:rPr>
                <w:rFonts w:hint="eastAsia" w:ascii="仿宋" w:hAnsi="仿宋" w:eastAsia="仿宋" w:cs="仿宋"/>
                <w:b/>
                <w:bCs/>
                <w:color w:val="auto"/>
                <w:sz w:val="21"/>
                <w:szCs w:val="21"/>
                <w:u w:color="000000"/>
              </w:rPr>
              <w:t>单项得分</w:t>
            </w:r>
          </w:p>
        </w:tc>
      </w:tr>
      <w:tr>
        <w:tblPrEx>
          <w:tblCellMar>
            <w:top w:w="15" w:type="dxa"/>
            <w:left w:w="15" w:type="dxa"/>
            <w:bottom w:w="15" w:type="dxa"/>
            <w:right w:w="15" w:type="dxa"/>
          </w:tblCellMar>
        </w:tblPrEx>
        <w:trPr>
          <w:trHeight w:val="590"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ascii="仿宋" w:hAnsi="仿宋" w:eastAsia="仿宋" w:cs="仿宋"/>
                <w:color w:val="auto"/>
                <w:sz w:val="21"/>
                <w:szCs w:val="21"/>
                <w:highlight w:val="none"/>
                <w:u w:color="000000"/>
                <w:lang w:val="en-US" w:eastAsia="zh-CN"/>
              </w:rPr>
            </w:pPr>
            <w:r>
              <w:rPr>
                <w:rFonts w:hint="eastAsia" w:ascii="仿宋" w:hAnsi="仿宋" w:eastAsia="仿宋" w:cs="仿宋"/>
                <w:color w:val="auto"/>
                <w:sz w:val="21"/>
                <w:szCs w:val="21"/>
                <w:highlight w:val="none"/>
                <w:u w:color="000000"/>
                <w:lang w:val="en-US" w:eastAsia="zh-CN"/>
              </w:rPr>
              <w:t>残疾人两项补贴发放是否准时</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eastAsia="zh-CN"/>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r>
              <w:rPr>
                <w:rFonts w:hint="eastAsia" w:ascii="仿宋" w:hAnsi="仿宋" w:eastAsia="仿宋" w:cs="仿宋"/>
                <w:color w:val="auto"/>
                <w:sz w:val="21"/>
                <w:szCs w:val="21"/>
                <w:u w:color="000000"/>
                <w:lang w:val="en-US" w:eastAsia="zh-CN"/>
              </w:rPr>
              <w:t>50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rPr>
            </w:pPr>
            <w:r>
              <w:rPr>
                <w:rFonts w:hint="eastAsia" w:ascii="仿宋" w:hAnsi="仿宋" w:eastAsia="仿宋" w:cs="仿宋"/>
                <w:color w:val="auto"/>
                <w:sz w:val="21"/>
                <w:szCs w:val="21"/>
                <w:u w:color="000000"/>
                <w:lang w:val="en-US" w:eastAsia="zh-CN"/>
              </w:rPr>
              <w:t>100</w:t>
            </w:r>
          </w:p>
        </w:tc>
      </w:tr>
      <w:tr>
        <w:tblPrEx>
          <w:tblCellMar>
            <w:top w:w="15" w:type="dxa"/>
            <w:left w:w="15" w:type="dxa"/>
            <w:bottom w:w="15" w:type="dxa"/>
            <w:right w:w="15" w:type="dxa"/>
          </w:tblCellMar>
        </w:tblPrEx>
        <w:trPr>
          <w:trHeight w:val="510"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ascii="仿宋" w:hAnsi="仿宋" w:eastAsia="仿宋" w:cs="仿宋"/>
                <w:color w:val="auto"/>
                <w:sz w:val="21"/>
                <w:szCs w:val="21"/>
                <w:highlight w:val="none"/>
                <w:u w:color="000000"/>
                <w:lang w:val="en-US" w:eastAsia="zh-CN"/>
              </w:rPr>
            </w:pPr>
            <w:r>
              <w:rPr>
                <w:rFonts w:hint="eastAsia" w:ascii="仿宋" w:hAnsi="仿宋" w:eastAsia="仿宋" w:cs="仿宋"/>
                <w:color w:val="auto"/>
                <w:sz w:val="21"/>
                <w:szCs w:val="21"/>
                <w:highlight w:val="none"/>
                <w:u w:color="000000"/>
                <w:lang w:val="en-US" w:eastAsia="zh-CN"/>
              </w:rPr>
              <w:t>残疾人两项补贴发放是否足额</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eastAsia="zh-CN"/>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r>
              <w:rPr>
                <w:rFonts w:hint="eastAsia" w:ascii="仿宋" w:hAnsi="仿宋" w:eastAsia="仿宋" w:cs="仿宋"/>
                <w:color w:val="auto"/>
                <w:sz w:val="21"/>
                <w:szCs w:val="21"/>
                <w:u w:color="000000"/>
                <w:lang w:val="en-US" w:eastAsia="zh-CN"/>
              </w:rPr>
              <w:t>50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r>
              <w:rPr>
                <w:rFonts w:hint="eastAsia" w:ascii="仿宋" w:hAnsi="仿宋" w:eastAsia="仿宋" w:cs="仿宋"/>
                <w:color w:val="auto"/>
                <w:sz w:val="21"/>
                <w:szCs w:val="21"/>
                <w:u w:color="000000"/>
                <w:lang w:val="en-US" w:eastAsia="zh-CN"/>
              </w:rPr>
              <w:t>100</w:t>
            </w:r>
          </w:p>
        </w:tc>
      </w:tr>
      <w:tr>
        <w:tblPrEx>
          <w:tblCellMar>
            <w:top w:w="15" w:type="dxa"/>
            <w:left w:w="15" w:type="dxa"/>
            <w:bottom w:w="15" w:type="dxa"/>
            <w:right w:w="15" w:type="dxa"/>
          </w:tblCellMar>
        </w:tblPrEx>
        <w:trPr>
          <w:trHeight w:val="585"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ascii="仿宋" w:hAnsi="仿宋" w:eastAsia="仿宋" w:cs="仿宋"/>
                <w:color w:val="auto"/>
                <w:sz w:val="21"/>
                <w:szCs w:val="21"/>
                <w:highlight w:val="none"/>
                <w:u w:color="000000"/>
                <w:lang w:val="en-US" w:eastAsia="zh-CN"/>
              </w:rPr>
            </w:pPr>
            <w:r>
              <w:rPr>
                <w:rFonts w:hint="eastAsia" w:ascii="仿宋" w:hAnsi="仿宋" w:eastAsia="仿宋" w:cs="仿宋"/>
                <w:color w:val="auto"/>
                <w:sz w:val="21"/>
                <w:szCs w:val="21"/>
                <w:highlight w:val="none"/>
                <w:u w:color="000000"/>
                <w:lang w:val="en-US" w:eastAsia="zh-CN"/>
              </w:rPr>
              <w:t>期间遇到困难，工作人员是否主动协助解决</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r>
              <w:rPr>
                <w:rFonts w:hint="eastAsia" w:ascii="仿宋" w:hAnsi="仿宋" w:eastAsia="仿宋" w:cs="仿宋"/>
                <w:color w:val="auto"/>
                <w:sz w:val="21"/>
                <w:szCs w:val="21"/>
                <w:u w:color="000000"/>
                <w:lang w:val="en-US" w:eastAsia="zh-CN"/>
              </w:rPr>
              <w:t>50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rPr>
            </w:pPr>
            <w:r>
              <w:rPr>
                <w:rFonts w:hint="eastAsia" w:ascii="仿宋" w:hAnsi="仿宋" w:eastAsia="仿宋" w:cs="仿宋"/>
                <w:color w:val="auto"/>
                <w:sz w:val="21"/>
                <w:szCs w:val="21"/>
                <w:u w:color="000000"/>
                <w:lang w:val="en-US" w:eastAsia="zh-CN"/>
              </w:rPr>
              <w:t>100</w:t>
            </w:r>
          </w:p>
        </w:tc>
      </w:tr>
      <w:tr>
        <w:tblPrEx>
          <w:tblCellMar>
            <w:top w:w="15" w:type="dxa"/>
            <w:left w:w="15" w:type="dxa"/>
            <w:bottom w:w="15" w:type="dxa"/>
            <w:right w:w="15" w:type="dxa"/>
          </w:tblCellMar>
        </w:tblPrEx>
        <w:trPr>
          <w:trHeight w:val="585"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ascii="仿宋" w:hAnsi="仿宋" w:eastAsia="仿宋" w:cs="仿宋"/>
                <w:color w:val="auto"/>
                <w:sz w:val="21"/>
                <w:szCs w:val="21"/>
                <w:highlight w:val="none"/>
                <w:u w:color="000000"/>
                <w:lang w:val="en-US" w:eastAsia="zh-CN"/>
              </w:rPr>
            </w:pPr>
            <w:r>
              <w:rPr>
                <w:rFonts w:hint="eastAsia" w:ascii="仿宋" w:hAnsi="仿宋" w:eastAsia="仿宋" w:cs="仿宋"/>
                <w:color w:val="auto"/>
                <w:sz w:val="21"/>
                <w:szCs w:val="21"/>
                <w:highlight w:val="none"/>
                <w:u w:color="000000"/>
                <w:lang w:val="en-US" w:eastAsia="zh-CN"/>
              </w:rPr>
              <w:t>服务态度如何</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100</w:t>
            </w:r>
          </w:p>
        </w:tc>
      </w:tr>
      <w:tr>
        <w:tblPrEx>
          <w:tblCellMar>
            <w:top w:w="15" w:type="dxa"/>
            <w:left w:w="15" w:type="dxa"/>
            <w:bottom w:w="15" w:type="dxa"/>
            <w:right w:w="15" w:type="dxa"/>
          </w:tblCellMar>
        </w:tblPrEx>
        <w:trPr>
          <w:trHeight w:val="585"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ascii="仿宋" w:hAnsi="仿宋" w:eastAsia="仿宋" w:cs="仿宋"/>
                <w:color w:val="auto"/>
                <w:sz w:val="21"/>
                <w:szCs w:val="21"/>
                <w:highlight w:val="none"/>
                <w:u w:color="000000"/>
                <w:lang w:val="en-US" w:eastAsia="zh-CN"/>
              </w:rPr>
            </w:pPr>
            <w:r>
              <w:rPr>
                <w:rFonts w:hint="eastAsia" w:ascii="仿宋" w:hAnsi="仿宋" w:eastAsia="仿宋" w:cs="仿宋"/>
                <w:color w:val="auto"/>
                <w:sz w:val="21"/>
                <w:szCs w:val="21"/>
                <w:highlight w:val="none"/>
                <w:u w:color="000000"/>
                <w:lang w:val="en-US" w:eastAsia="zh-CN"/>
              </w:rPr>
              <w:t>总体满意度如何</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rPr>
            </w:pP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50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ascii="仿宋" w:hAnsi="仿宋" w:eastAsia="仿宋" w:cs="仿宋"/>
                <w:color w:val="auto"/>
                <w:sz w:val="21"/>
                <w:szCs w:val="21"/>
                <w:u w:color="000000"/>
                <w:lang w:val="en-US" w:eastAsia="zh-CN"/>
              </w:rPr>
            </w:pPr>
            <w:r>
              <w:rPr>
                <w:rFonts w:hint="eastAsia" w:ascii="仿宋" w:hAnsi="仿宋" w:eastAsia="仿宋" w:cs="仿宋"/>
                <w:color w:val="auto"/>
                <w:sz w:val="21"/>
                <w:szCs w:val="21"/>
                <w:u w:color="000000"/>
                <w:lang w:val="en-US" w:eastAsia="zh-CN"/>
              </w:rPr>
              <w:t>100</w:t>
            </w:r>
          </w:p>
        </w:tc>
      </w:tr>
    </w:tbl>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调查问卷共分为</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个单项，每个单项满分为100分。其中：满意为100分，一般为50分，不满意为0分。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单项满意度得分=总分数/总人数</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总体满意度得分=∑1/</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各单项满意度得分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经计算，总体得分为</w:t>
      </w:r>
      <w:r>
        <w:rPr>
          <w:rFonts w:hint="eastAsia" w:ascii="仿宋_GB2312" w:eastAsia="仿宋_GB2312" w:cs="Times New Roman" w:hAnsiTheme="minorEastAsia"/>
          <w:color w:val="auto"/>
          <w:sz w:val="32"/>
          <w:szCs w:val="32"/>
          <w:u w:color="000000"/>
          <w:lang w:val="en-US" w:eastAsia="zh-CN"/>
        </w:rPr>
        <w:t>100</w:t>
      </w:r>
      <w:r>
        <w:rPr>
          <w:rFonts w:hint="eastAsia" w:ascii="仿宋_GB2312" w:eastAsia="仿宋_GB2312" w:cs="Times New Roman" w:hAnsiTheme="minorEastAsia"/>
          <w:color w:val="auto"/>
          <w:sz w:val="32"/>
          <w:szCs w:val="32"/>
          <w:u w:color="000000"/>
        </w:rPr>
        <w:t>，</w:t>
      </w:r>
      <w:r>
        <w:rPr>
          <w:rFonts w:hint="eastAsia" w:ascii="仿宋_GB2312" w:eastAsia="仿宋_GB2312" w:cs="Times New Roman" w:hAnsiTheme="minorEastAsia"/>
          <w:color w:val="auto"/>
          <w:sz w:val="32"/>
          <w:szCs w:val="32"/>
          <w:u w:color="000000"/>
          <w:lang w:val="en-US" w:eastAsia="zh-CN"/>
        </w:rPr>
        <w:t>大</w:t>
      </w:r>
      <w:r>
        <w:rPr>
          <w:rFonts w:hint="eastAsia" w:ascii="仿宋_GB2312" w:eastAsia="仿宋_GB2312" w:cs="Times New Roman" w:hAnsiTheme="minorEastAsia"/>
          <w:color w:val="auto"/>
          <w:sz w:val="32"/>
          <w:szCs w:val="32"/>
          <w:u w:color="000000"/>
        </w:rPr>
        <w:t>于9</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分，评价等级为“</w:t>
      </w:r>
      <w:r>
        <w:rPr>
          <w:rFonts w:hint="eastAsia" w:ascii="仿宋_GB2312" w:eastAsia="仿宋_GB2312" w:cs="Times New Roman" w:hAnsiTheme="minorEastAsia"/>
          <w:color w:val="auto"/>
          <w:sz w:val="32"/>
          <w:szCs w:val="32"/>
          <w:u w:color="000000"/>
          <w:lang w:val="en-US" w:eastAsia="zh-CN"/>
        </w:rPr>
        <w:t>优</w:t>
      </w:r>
      <w:r>
        <w:rPr>
          <w:rFonts w:hint="eastAsia" w:ascii="仿宋_GB2312" w:eastAsia="仿宋_GB2312" w:cs="Times New Roman" w:hAnsiTheme="minorEastAsia"/>
          <w:color w:val="auto"/>
          <w:sz w:val="32"/>
          <w:szCs w:val="32"/>
          <w:u w:color="000000"/>
        </w:rPr>
        <w:t>”。</w:t>
      </w:r>
    </w:p>
    <w:p>
      <w:pPr>
        <w:spacing w:after="0" w:line="360" w:lineRule="auto"/>
        <w:ind w:firstLine="640" w:firstLineChars="200"/>
        <w:jc w:val="both"/>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该指标实际得分</w:t>
      </w:r>
      <w:r>
        <w:rPr>
          <w:rFonts w:hint="eastAsia" w:ascii="仿宋_GB2312" w:eastAsia="仿宋_GB2312" w:cs="Times New Roman" w:hAnsiTheme="minorEastAsia"/>
          <w:color w:val="auto"/>
          <w:sz w:val="32"/>
          <w:szCs w:val="32"/>
          <w:u w:color="000000"/>
          <w:lang w:val="en-US" w:eastAsia="zh-CN"/>
        </w:rPr>
        <w:t>7</w:t>
      </w:r>
      <w:r>
        <w:rPr>
          <w:rFonts w:hint="eastAsia" w:ascii="仿宋_GB2312" w:eastAsia="仿宋_GB2312" w:cs="Times New Roman" w:hAnsiTheme="minorEastAsia"/>
          <w:color w:val="auto"/>
          <w:sz w:val="32"/>
          <w:szCs w:val="32"/>
          <w:u w:color="000000"/>
        </w:rPr>
        <w:t>分。</w:t>
      </w:r>
    </w:p>
    <w:p>
      <w:pPr>
        <w:pageBreakBefore w:val="0"/>
        <w:kinsoku/>
        <w:wordWrap/>
        <w:overflowPunct/>
        <w:topLinePunct w:val="0"/>
        <w:autoSpaceDE/>
        <w:autoSpaceDN/>
        <w:bidi w:val="0"/>
        <w:adjustRightInd/>
        <w:snapToGrid/>
        <w:spacing w:line="560" w:lineRule="exact"/>
        <w:ind w:firstLine="643" w:firstLineChars="200"/>
        <w:jc w:val="left"/>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绩效评价依据</w:t>
      </w:r>
      <w:bookmarkEnd w:id="67"/>
      <w:bookmarkEnd w:id="68"/>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（1）《中华人民共和国预算法》(主席令第21号)；</w:t>
      </w:r>
      <w:r>
        <w:rPr>
          <w:rFonts w:hint="eastAsia" w:ascii="仿宋" w:hAnsi="仿宋" w:eastAsia="仿宋" w:cs="仿宋"/>
          <w:sz w:val="30"/>
          <w:szCs w:val="30"/>
        </w:rPr>
        <w:br w:type="textWrapping"/>
      </w:r>
      <w:r>
        <w:rPr>
          <w:rFonts w:hint="eastAsia" w:ascii="仿宋" w:hAnsi="仿宋" w:eastAsia="仿宋" w:cs="仿宋"/>
          <w:sz w:val="30"/>
          <w:szCs w:val="30"/>
        </w:rPr>
        <w:t xml:space="preserve">    （2）《河北省财政支出绩效评价管理办法》（冀财预〔2011〕68号）；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（3）《关于印发〈财政支出绩效评价管理暂行办法〉的通知》（财预〔2011〕285号）；</w:t>
      </w:r>
      <w:r>
        <w:rPr>
          <w:rFonts w:hint="eastAsia" w:ascii="仿宋" w:hAnsi="仿宋" w:eastAsia="仿宋" w:cs="仿宋"/>
          <w:sz w:val="30"/>
          <w:szCs w:val="30"/>
        </w:rPr>
        <w:br w:type="textWrapping"/>
      </w:r>
      <w:r>
        <w:rPr>
          <w:rFonts w:hint="eastAsia" w:ascii="仿宋" w:hAnsi="仿宋" w:eastAsia="仿宋" w:cs="仿宋"/>
          <w:sz w:val="30"/>
          <w:szCs w:val="30"/>
        </w:rPr>
        <w:t xml:space="preserve">    （4）《关于印发&lt;预算绩效评价共性指标体系框架&gt;的通知》（财预〔2013〕53号）；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（5）《河北省项目支出绩效指标框架体系》（冀财预[2016]92号）；</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yellow"/>
        </w:rPr>
      </w:pPr>
      <w:bookmarkStart w:id="75" w:name="_Toc83631036"/>
      <w:bookmarkStart w:id="76" w:name="_Toc3143"/>
      <w:bookmarkStart w:id="77" w:name="_Toc83630326"/>
      <w:bookmarkStart w:id="78" w:name="_Toc14814"/>
      <w:bookmarkStart w:id="79" w:name="_Toc83630422"/>
      <w:r>
        <w:rPr>
          <w:rFonts w:hint="eastAsia" w:ascii="仿宋" w:hAnsi="仿宋" w:eastAsia="仿宋" w:cs="仿宋"/>
          <w:sz w:val="30"/>
          <w:szCs w:val="30"/>
        </w:rPr>
        <w:t>（6）</w:t>
      </w:r>
      <w:r>
        <w:rPr>
          <w:rFonts w:hint="eastAsia" w:ascii="仿宋" w:hAnsi="仿宋" w:eastAsia="仿宋" w:cs="仿宋"/>
          <w:sz w:val="30"/>
          <w:szCs w:val="30"/>
          <w:lang w:val="en-US" w:eastAsia="zh-CN"/>
        </w:rPr>
        <w:t>《国务院关于全面建立困难残疾人生活补贴和重度残疾人护理制度的意见》（国发【2015】52号）</w:t>
      </w:r>
      <w:bookmarkEnd w:id="75"/>
      <w:bookmarkEnd w:id="76"/>
      <w:bookmarkEnd w:id="77"/>
      <w:bookmarkEnd w:id="78"/>
      <w:bookmarkEnd w:id="79"/>
      <w:r>
        <w:rPr>
          <w:rFonts w:hint="eastAsia" w:ascii="仿宋" w:hAnsi="仿宋" w:eastAsia="仿宋" w:cs="仿宋"/>
          <w:sz w:val="30"/>
          <w:szCs w:val="30"/>
          <w:lang w:val="en-US"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（7）</w:t>
      </w:r>
      <w:r>
        <w:rPr>
          <w:rFonts w:hint="eastAsia" w:ascii="仿宋" w:hAnsi="仿宋" w:eastAsia="仿宋" w:cs="仿宋"/>
          <w:sz w:val="30"/>
          <w:szCs w:val="30"/>
          <w:highlight w:val="none"/>
          <w:lang w:val="en-US" w:eastAsia="zh-CN"/>
        </w:rPr>
        <w:t>《河北省人民政府关于全面建立困难残疾人生活补贴和重度残疾人护理补贴制度的实施意见》（冀政字【2015】74号）</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（8）《河北省财政厅 河北省民政厅 河北省残疾人联合会关于调整困难残疾人生活补贴和重度残疾人护理补贴标准的通知》（冀财社【2018】4号）；</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（9）《河北省财政厅关于提前下达2021年省级财政困难群众基本生活救助补助预算指标的通知》（冀财社【2020】210号）；</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《河北省财政厅 河北省民政厅 河北省残疾人联合会关于进一步完善困难残疾人生活补贴和重度残疾人护理补贴制度的实施意见》（冀民【2021】87号）</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11</w:t>
      </w:r>
      <w:r>
        <w:rPr>
          <w:rFonts w:hint="eastAsia" w:ascii="仿宋" w:hAnsi="仿宋" w:eastAsia="仿宋" w:cs="仿宋"/>
          <w:sz w:val="30"/>
          <w:szCs w:val="30"/>
          <w:lang w:eastAsia="zh-CN"/>
        </w:rPr>
        <w:t>）</w:t>
      </w:r>
      <w:r>
        <w:rPr>
          <w:rFonts w:hint="eastAsia" w:ascii="仿宋" w:hAnsi="仿宋" w:eastAsia="仿宋" w:cs="仿宋"/>
          <w:sz w:val="30"/>
          <w:szCs w:val="30"/>
        </w:rPr>
        <w:t>该项目其他相关资料。</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rPr>
      </w:pPr>
      <w:bookmarkStart w:id="80" w:name="_Toc24878"/>
      <w:bookmarkStart w:id="81" w:name="_Toc2211"/>
      <w:r>
        <w:rPr>
          <w:rFonts w:hint="eastAsia" w:ascii="仿宋" w:hAnsi="仿宋" w:eastAsia="仿宋" w:cs="仿宋"/>
          <w:sz w:val="32"/>
          <w:szCs w:val="32"/>
          <w:lang w:val="en-US" w:eastAsia="zh-CN"/>
        </w:rPr>
        <w:t>六</w:t>
      </w:r>
      <w:r>
        <w:rPr>
          <w:rFonts w:hint="eastAsia" w:ascii="仿宋" w:hAnsi="仿宋" w:eastAsia="仿宋" w:cs="仿宋"/>
          <w:sz w:val="32"/>
          <w:szCs w:val="32"/>
        </w:rPr>
        <w:t>、项目综合评价</w:t>
      </w:r>
      <w:bookmarkEnd w:id="69"/>
      <w:bookmarkEnd w:id="70"/>
      <w:r>
        <w:rPr>
          <w:rFonts w:hint="eastAsia" w:ascii="仿宋" w:hAnsi="仿宋" w:eastAsia="仿宋" w:cs="仿宋"/>
          <w:sz w:val="32"/>
          <w:szCs w:val="32"/>
        </w:rPr>
        <w:t>结论和评价等级</w:t>
      </w:r>
      <w:bookmarkEnd w:id="71"/>
      <w:bookmarkEnd w:id="72"/>
      <w:bookmarkEnd w:id="73"/>
      <w:bookmarkEnd w:id="74"/>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bookmarkStart w:id="82" w:name="_Toc501368364"/>
      <w:r>
        <w:rPr>
          <w:rFonts w:hint="eastAsia" w:ascii="仿宋" w:hAnsi="仿宋" w:eastAsia="仿宋" w:cs="仿宋"/>
          <w:sz w:val="30"/>
          <w:szCs w:val="30"/>
        </w:rPr>
        <w:t>1.</w:t>
      </w:r>
      <w:r>
        <w:rPr>
          <w:rFonts w:hint="eastAsia" w:ascii="仿宋" w:hAnsi="仿宋" w:eastAsia="仿宋" w:cs="仿宋"/>
          <w:sz w:val="30"/>
          <w:szCs w:val="30"/>
          <w:lang w:val="en-US" w:eastAsia="zh-CN"/>
        </w:rPr>
        <w:t>确定</w:t>
      </w:r>
      <w:r>
        <w:rPr>
          <w:rFonts w:hint="eastAsia" w:ascii="仿宋" w:hAnsi="仿宋" w:eastAsia="仿宋" w:cs="仿宋"/>
          <w:sz w:val="30"/>
          <w:szCs w:val="30"/>
        </w:rPr>
        <w:t>评</w:t>
      </w:r>
      <w:bookmarkEnd w:id="82"/>
      <w:r>
        <w:rPr>
          <w:rFonts w:hint="eastAsia" w:ascii="仿宋" w:hAnsi="仿宋" w:eastAsia="仿宋" w:cs="仿宋"/>
          <w:sz w:val="30"/>
          <w:szCs w:val="30"/>
          <w:lang w:val="en-US" w:eastAsia="zh-CN"/>
        </w:rPr>
        <w:t>价分值</w:t>
      </w:r>
      <w:r>
        <w:rPr>
          <w:rFonts w:hint="eastAsia" w:ascii="仿宋" w:hAnsi="仿宋" w:eastAsia="仿宋" w:cs="仿宋"/>
          <w:sz w:val="30"/>
          <w:szCs w:val="30"/>
          <w:highlight w:val="none"/>
          <w:lang w:val="en-US" w:eastAsia="zh-CN"/>
        </w:rPr>
        <w:t>：98分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2.评价等级</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3.项目综合评价结论</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rPr>
      </w:pPr>
      <w:bookmarkStart w:id="83" w:name="_Toc25027"/>
      <w:bookmarkStart w:id="84" w:name="_Toc83630435"/>
      <w:bookmarkStart w:id="85" w:name="_Toc83631049"/>
      <w:bookmarkStart w:id="86" w:name="_Toc28969"/>
      <w:r>
        <w:rPr>
          <w:rFonts w:hint="eastAsia" w:ascii="仿宋" w:hAnsi="仿宋" w:eastAsia="仿宋" w:cs="仿宋"/>
          <w:sz w:val="30"/>
          <w:szCs w:val="30"/>
        </w:rPr>
        <w:t>该项目严格资金使用管理，专款专用，项目受益对象明确，项目宣传及实施不断推进，群众对项目的知晓率和满意度逐步提高，通过该项目的实施帮助改善了残疾人生活及护理，体现了党和国家对残疾人这个弱势群体的关怀，同时也得到广大残疾人和社会的高度赞赏，提高了广大群众对残疾人两项补助的满意度</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提升人民群众的幸福感，维护社会和谐稳定</w:t>
      </w:r>
      <w:r>
        <w:rPr>
          <w:rFonts w:hint="eastAsia" w:ascii="仿宋" w:hAnsi="仿宋" w:eastAsia="仿宋" w:cs="仿宋"/>
          <w:sz w:val="30"/>
          <w:szCs w:val="30"/>
        </w:rPr>
        <w:t>。</w:t>
      </w:r>
      <w:bookmarkEnd w:id="83"/>
      <w:bookmarkEnd w:id="84"/>
      <w:bookmarkEnd w:id="85"/>
      <w:bookmarkEnd w:id="86"/>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rPr>
      </w:pPr>
      <w:bookmarkStart w:id="87" w:name="_Toc27278"/>
      <w:bookmarkStart w:id="88" w:name="_Toc83631050"/>
      <w:bookmarkStart w:id="89" w:name="_Toc22941"/>
      <w:bookmarkStart w:id="90" w:name="_Toc7207"/>
      <w:bookmarkStart w:id="91" w:name="_Toc30518"/>
      <w:bookmarkStart w:id="92" w:name="_Toc83630436"/>
      <w:r>
        <w:rPr>
          <w:rFonts w:hint="eastAsia" w:ascii="仿宋" w:hAnsi="仿宋" w:eastAsia="仿宋" w:cs="仿宋"/>
          <w:bCs/>
          <w:sz w:val="32"/>
          <w:szCs w:val="32"/>
          <w:lang w:val="en-US" w:eastAsia="zh-CN"/>
        </w:rPr>
        <w:t>七</w:t>
      </w:r>
      <w:r>
        <w:rPr>
          <w:rFonts w:hint="eastAsia" w:ascii="仿宋" w:hAnsi="仿宋" w:eastAsia="仿宋" w:cs="仿宋"/>
          <w:bCs/>
          <w:sz w:val="32"/>
          <w:szCs w:val="32"/>
        </w:rPr>
        <w:t>、存在的问题及改进措施</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highlight w:val="yellow"/>
        </w:rPr>
      </w:pPr>
      <w:r>
        <w:rPr>
          <w:rFonts w:hint="eastAsia" w:ascii="仿宋" w:hAnsi="仿宋" w:eastAsia="仿宋" w:cs="仿宋"/>
          <w:sz w:val="30"/>
          <w:szCs w:val="30"/>
        </w:rPr>
        <w:t>（一）</w:t>
      </w: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1、经</w:t>
      </w:r>
      <w:r>
        <w:rPr>
          <w:rFonts w:hint="eastAsia" w:ascii="仿宋" w:hAnsi="仿宋" w:eastAsia="仿宋" w:cs="仿宋"/>
          <w:sz w:val="30"/>
          <w:szCs w:val="30"/>
          <w:highlight w:val="none"/>
          <w:lang w:val="en-US" w:eastAsia="zh-CN"/>
        </w:rPr>
        <w:t>检</w:t>
      </w:r>
      <w:r>
        <w:rPr>
          <w:rFonts w:hint="eastAsia" w:ascii="仿宋" w:hAnsi="仿宋" w:eastAsia="仿宋" w:cs="仿宋"/>
          <w:sz w:val="30"/>
          <w:szCs w:val="30"/>
          <w:highlight w:val="none"/>
        </w:rPr>
        <w:t>查项目的档案资料发现</w:t>
      </w:r>
      <w:r>
        <w:rPr>
          <w:rFonts w:hint="eastAsia" w:ascii="仿宋" w:hAnsi="仿宋" w:eastAsia="仿宋" w:cs="仿宋"/>
          <w:sz w:val="30"/>
          <w:szCs w:val="30"/>
          <w:highlight w:val="none"/>
          <w:lang w:val="en-US" w:eastAsia="zh-CN"/>
        </w:rPr>
        <w:t>单位未针对本项目制定相关的项目管理制度。</w:t>
      </w:r>
      <w:bookmarkStart w:id="97" w:name="_GoBack"/>
      <w:bookmarkEnd w:id="97"/>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yellow"/>
          <w:lang w:val="en-US" w:eastAsia="zh-CN"/>
        </w:rPr>
      </w:pPr>
      <w:r>
        <w:rPr>
          <w:rFonts w:hint="eastAsia" w:ascii="仿宋" w:hAnsi="仿宋" w:eastAsia="仿宋" w:cs="仿宋"/>
          <w:kern w:val="2"/>
          <w:sz w:val="30"/>
          <w:szCs w:val="30"/>
          <w:highlight w:val="none"/>
          <w:lang w:val="en-US" w:eastAsia="zh-CN" w:bidi="ar-SA"/>
        </w:rPr>
        <w:t>2、</w:t>
      </w:r>
      <w:r>
        <w:rPr>
          <w:rFonts w:hint="eastAsia" w:ascii="仿宋" w:hAnsi="仿宋" w:eastAsia="仿宋" w:cs="仿宋"/>
          <w:sz w:val="30"/>
          <w:szCs w:val="30"/>
          <w:highlight w:val="none"/>
          <w:lang w:val="en-US" w:eastAsia="zh-CN"/>
        </w:rPr>
        <w:t>残疾</w:t>
      </w:r>
      <w:r>
        <w:rPr>
          <w:rFonts w:hint="eastAsia" w:ascii="仿宋" w:hAnsi="仿宋" w:eastAsia="仿宋" w:cs="仿宋"/>
          <w:sz w:val="30"/>
          <w:szCs w:val="30"/>
          <w:lang w:val="en-US" w:eastAsia="zh-CN"/>
        </w:rPr>
        <w:t>人补贴资金部分月份未按规定时间发放，2021年11月应按规定于25日前发放，实际转入代发账户为2021年11月30日。</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（二）意见和建议</w:t>
      </w:r>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rPr>
      </w:pPr>
      <w:r>
        <w:rPr>
          <w:rFonts w:hint="eastAsia" w:ascii="仿宋" w:hAnsi="仿宋" w:eastAsia="仿宋" w:cs="仿宋"/>
          <w:sz w:val="30"/>
          <w:szCs w:val="30"/>
        </w:rPr>
        <w:t>通过本次的绩效评价工作，找出了项目管理过程中的亮点和缺陷，总结出项目绩效管理经验，对于以后相似项目的管理工作起到很好的借鉴作用。同时，本次绩效评价工作对于安排以后的资金预算，考核项目管理效果也将起到示范作用。同时，使国家财政资金得到安全保障，更好的发挥效应。通过评价工作，我们逐一分析该项目存在的问题并提出相应的意见和建议。</w:t>
      </w:r>
    </w:p>
    <w:p>
      <w:pPr>
        <w:pageBreakBefore w:val="0"/>
        <w:numPr>
          <w:ilvl w:val="0"/>
          <w:numId w:val="2"/>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b w:val="0"/>
          <w:bCs w:val="0"/>
          <w:sz w:val="30"/>
          <w:szCs w:val="30"/>
          <w:highlight w:val="none"/>
          <w:lang w:val="en-US" w:eastAsia="zh-CN"/>
        </w:rPr>
        <w:t>建议项目实施单位进一步制定和完善项目的管理制度，加强对项目的管理，保障项目顺利、有效的实施</w:t>
      </w:r>
      <w:r>
        <w:rPr>
          <w:rFonts w:hint="eastAsia" w:ascii="仿宋" w:hAnsi="仿宋" w:eastAsia="仿宋" w:cs="仿宋"/>
          <w:sz w:val="30"/>
          <w:szCs w:val="30"/>
          <w:lang w:val="en-US" w:eastAsia="zh-CN"/>
        </w:rPr>
        <w:t>。</w:t>
      </w:r>
    </w:p>
    <w:p>
      <w:pPr>
        <w:pageBreakBefore w:val="0"/>
        <w:numPr>
          <w:ilvl w:val="0"/>
          <w:numId w:val="2"/>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建议根据上年度残疾人数及以往年度残疾人变动率，合理预计当年残疾人变动情况，科学编制项目预算，</w:t>
      </w:r>
      <w:r>
        <w:rPr>
          <w:rFonts w:hint="eastAsia" w:ascii="仿宋" w:hAnsi="仿宋" w:eastAsia="仿宋" w:cs="仿宋"/>
          <w:sz w:val="30"/>
          <w:szCs w:val="30"/>
          <w:lang w:val="en-US" w:eastAsia="zh-CN"/>
        </w:rPr>
        <w:t>提高</w:t>
      </w:r>
      <w:r>
        <w:rPr>
          <w:rFonts w:hint="eastAsia" w:ascii="仿宋" w:hAnsi="仿宋" w:eastAsia="仿宋" w:cs="仿宋"/>
          <w:sz w:val="30"/>
          <w:szCs w:val="30"/>
        </w:rPr>
        <w:t>预算</w:t>
      </w:r>
      <w:r>
        <w:rPr>
          <w:rFonts w:hint="eastAsia" w:ascii="仿宋" w:hAnsi="仿宋" w:eastAsia="仿宋" w:cs="仿宋"/>
          <w:sz w:val="30"/>
          <w:szCs w:val="30"/>
          <w:lang w:val="en-US" w:eastAsia="zh-CN"/>
        </w:rPr>
        <w:t>执行</w:t>
      </w:r>
      <w:r>
        <w:rPr>
          <w:rFonts w:hint="eastAsia" w:ascii="仿宋" w:hAnsi="仿宋" w:eastAsia="仿宋" w:cs="仿宋"/>
          <w:sz w:val="30"/>
          <w:szCs w:val="30"/>
        </w:rPr>
        <w:t xml:space="preserve">率。有效发挥财政资金作用。 </w:t>
      </w:r>
    </w:p>
    <w:p>
      <w:pPr>
        <w:pStyle w:val="8"/>
        <w:pageBreakBefore w:val="0"/>
        <w:kinsoku/>
        <w:wordWrap/>
        <w:overflowPunct/>
        <w:topLinePunct w:val="0"/>
        <w:autoSpaceDE/>
        <w:autoSpaceDN/>
        <w:bidi w:val="0"/>
        <w:adjustRightInd/>
        <w:snapToGrid/>
        <w:spacing w:line="560" w:lineRule="exact"/>
        <w:ind w:right="210" w:rightChars="100" w:firstLine="600" w:firstLineChars="200"/>
        <w:rPr>
          <w:rFonts w:hint="eastAsia" w:ascii="仿宋" w:hAnsi="仿宋" w:eastAsia="仿宋" w:cs="仿宋"/>
          <w:sz w:val="30"/>
          <w:szCs w:val="30"/>
          <w:highlight w:val="yellow"/>
        </w:rPr>
      </w:pPr>
      <w:r>
        <w:rPr>
          <w:rFonts w:hint="eastAsia" w:ascii="仿宋" w:hAnsi="仿宋" w:eastAsia="仿宋" w:cs="仿宋"/>
          <w:sz w:val="30"/>
          <w:szCs w:val="30"/>
          <w:lang w:val="en-US" w:eastAsia="zh-CN"/>
        </w:rPr>
        <w:t>3</w:t>
      </w:r>
      <w:r>
        <w:rPr>
          <w:rFonts w:hint="eastAsia" w:ascii="仿宋" w:hAnsi="仿宋" w:eastAsia="仿宋" w:cs="仿宋"/>
          <w:sz w:val="30"/>
          <w:szCs w:val="30"/>
        </w:rPr>
        <w:t>、</w:t>
      </w:r>
      <w:r>
        <w:rPr>
          <w:rFonts w:hint="eastAsia" w:ascii="仿宋" w:hAnsi="仿宋" w:eastAsia="仿宋" w:cs="仿宋"/>
          <w:sz w:val="30"/>
          <w:szCs w:val="30"/>
          <w:highlight w:val="none"/>
          <w:lang w:val="en-US" w:eastAsia="zh-CN"/>
        </w:rPr>
        <w:t>建议按照相关政策规定，及时将补贴资金发放至困难和重疾残疾人手中，切实保护残疾人的合法权益</w:t>
      </w:r>
      <w:r>
        <w:rPr>
          <w:rFonts w:hint="eastAsia" w:ascii="仿宋" w:hAnsi="仿宋" w:eastAsia="仿宋" w:cs="仿宋"/>
          <w:sz w:val="30"/>
          <w:szCs w:val="30"/>
          <w:highlight w:val="none"/>
        </w:rPr>
        <w:t>。</w:t>
      </w:r>
    </w:p>
    <w:p>
      <w:pPr>
        <w:pStyle w:val="2"/>
        <w:rPr>
          <w:rFonts w:hint="eastAsia"/>
        </w:rPr>
      </w:pPr>
      <w:bookmarkStart w:id="93" w:name="_Toc23781"/>
      <w:bookmarkStart w:id="94" w:name="_Toc6530"/>
      <w:bookmarkStart w:id="95" w:name="_Toc83631051"/>
      <w:bookmarkStart w:id="96" w:name="_Toc83630437"/>
    </w:p>
    <w:p>
      <w:pPr>
        <w:rPr>
          <w:rFonts w:hint="eastAsia"/>
        </w:rPr>
      </w:pPr>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kern w:val="2"/>
          <w:sz w:val="30"/>
          <w:szCs w:val="30"/>
        </w:rPr>
      </w:pPr>
      <w:r>
        <w:rPr>
          <w:rFonts w:hint="eastAsia" w:ascii="仿宋" w:hAnsi="仿宋" w:eastAsia="仿宋" w:cs="仿宋"/>
          <w:b w:val="0"/>
          <w:kern w:val="2"/>
          <w:sz w:val="30"/>
          <w:szCs w:val="30"/>
        </w:rPr>
        <w:t>附件：绩效评价指标体系及评分情况表</w:t>
      </w:r>
      <w:bookmarkEnd w:id="93"/>
      <w:bookmarkEnd w:id="94"/>
      <w:bookmarkEnd w:id="95"/>
      <w:bookmarkEnd w:id="96"/>
    </w:p>
    <w:p>
      <w:pPr>
        <w:rPr>
          <w:rFonts w:hint="eastAsia"/>
        </w:rPr>
      </w:pPr>
    </w:p>
    <w:p>
      <w:pPr>
        <w:rPr>
          <w:rFonts w:hint="eastAsia"/>
        </w:rPr>
      </w:pPr>
    </w:p>
    <w:p>
      <w:pPr>
        <w:rPr>
          <w:rFonts w:hint="eastAsia"/>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p>
    <w:p>
      <w:pPr>
        <w:pStyle w:val="2"/>
        <w:rPr>
          <w:rFonts w:hint="eastAsia"/>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ascii="仿宋" w:hAnsi="仿宋" w:eastAsia="仿宋" w:cs="仿宋"/>
          <w:sz w:val="30"/>
          <w:szCs w:val="30"/>
          <w:lang w:val="en-US" w:eastAsia="zh-CN"/>
        </w:rPr>
        <w:t>30</w:t>
      </w:r>
      <w:r>
        <w:rPr>
          <w:rFonts w:hint="eastAsia" w:ascii="仿宋" w:hAnsi="仿宋" w:eastAsia="仿宋" w:cs="仿宋"/>
          <w:sz w:val="30"/>
          <w:szCs w:val="30"/>
        </w:rPr>
        <w:t>日</w:t>
      </w:r>
    </w:p>
    <w:sectPr>
      <w:footerReference r:id="rId6" w:type="default"/>
      <w:pgSz w:w="11906" w:h="16838"/>
      <w:pgMar w:top="964" w:right="1134" w:bottom="964" w:left="1134" w:header="1134" w:footer="680"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08" o:spid="_x0000_s410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pict>
        <v:shape id="_x0000_s4106" o:spid="_x0000_s410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p>
    <w:pPr>
      <w:pStyle w:val="11"/>
      <w:pBdr>
        <w:top w:val="thinThickSmallGap" w:color="622423" w:sz="24" w:space="1"/>
      </w:pBdr>
      <w:tabs>
        <w:tab w:val="right" w:pos="9070"/>
        <w:tab w:val="clear" w:pos="4153"/>
        <w:tab w:val="clear" w:pos="8306"/>
      </w:tabs>
      <w:rPr>
        <w:rFonts w:ascii="Cambria" w:hAnsi="Cambria"/>
      </w:rPr>
    </w:pPr>
    <w:r>
      <w:rPr>
        <w:rFonts w:hint="eastAsia" w:ascii="Cambria" w:hAnsi="Cambria"/>
      </w:rPr>
      <w:t xml:space="preserve">       保定市乐凯北大街3088号电谷科技中心4号楼518室                电话：0312-3328961</w:t>
    </w:r>
    <w:r>
      <w:rPr>
        <w:rFonts w:ascii="Cambria" w:hAnsi="Cambria"/>
        <w:vanish/>
      </w:rPr>
      <w:t>&lt;&gt;</w:t>
    </w:r>
    <w:r>
      <w:rPr>
        <w:rFonts w:ascii="Cambria" w:hAnsi="Cambria"/>
        <w:lang w:val="zh-CN"/>
      </w:rPr>
      <w:tab/>
    </w:r>
    <w:r>
      <w:rPr>
        <w:rFonts w:ascii="Cambria" w:hAnsi="Cambria"/>
        <w:lang w:val="zh-CN"/>
      </w:rPr>
      <w:t xml:space="preserve"> </w:t>
    </w:r>
  </w:p>
  <w:p>
    <w:pPr>
      <w:pStyle w:val="11"/>
      <w:tabs>
        <w:tab w:val="left" w:pos="3585"/>
        <w:tab w:val="clear" w:pos="4153"/>
        <w:tab w:val="clear" w:pos="8306"/>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09" o:spid="_x0000_s4109"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i/>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DEDCE49A"/>
    <w:multiLevelType w:val="singleLevel"/>
    <w:tmpl w:val="DEDCE49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RlYjBmZjM5NTcwMzdlM2FkMTA1ODk5YmM1NzYzYTA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9E57B97"/>
    <w:rsid w:val="0ADA152D"/>
    <w:rsid w:val="0B8C781C"/>
    <w:rsid w:val="0D9E1C0C"/>
    <w:rsid w:val="0DF50715"/>
    <w:rsid w:val="0E0C39EC"/>
    <w:rsid w:val="0E4B143D"/>
    <w:rsid w:val="0EF02E72"/>
    <w:rsid w:val="0F9C0FEB"/>
    <w:rsid w:val="107609BE"/>
    <w:rsid w:val="10814158"/>
    <w:rsid w:val="116B540D"/>
    <w:rsid w:val="12844DC1"/>
    <w:rsid w:val="17863D0E"/>
    <w:rsid w:val="1823357E"/>
    <w:rsid w:val="187036B2"/>
    <w:rsid w:val="18E00334"/>
    <w:rsid w:val="1A1D607E"/>
    <w:rsid w:val="1B1A3889"/>
    <w:rsid w:val="1F94354A"/>
    <w:rsid w:val="21460153"/>
    <w:rsid w:val="21DA3F9D"/>
    <w:rsid w:val="223D0F22"/>
    <w:rsid w:val="24743B37"/>
    <w:rsid w:val="25470B20"/>
    <w:rsid w:val="29483C47"/>
    <w:rsid w:val="2A8F3BCE"/>
    <w:rsid w:val="2CAF4831"/>
    <w:rsid w:val="2DB565E9"/>
    <w:rsid w:val="2F1D0509"/>
    <w:rsid w:val="30BB6EC9"/>
    <w:rsid w:val="31AA78D1"/>
    <w:rsid w:val="33A06C3F"/>
    <w:rsid w:val="33CF2590"/>
    <w:rsid w:val="36A41F9C"/>
    <w:rsid w:val="378A143D"/>
    <w:rsid w:val="3A730803"/>
    <w:rsid w:val="3ADB2BD2"/>
    <w:rsid w:val="3D876672"/>
    <w:rsid w:val="3E792B8A"/>
    <w:rsid w:val="436D3360"/>
    <w:rsid w:val="4512309B"/>
    <w:rsid w:val="45361007"/>
    <w:rsid w:val="46907594"/>
    <w:rsid w:val="48C15F81"/>
    <w:rsid w:val="494A68AB"/>
    <w:rsid w:val="49F75CEB"/>
    <w:rsid w:val="4AF73C7C"/>
    <w:rsid w:val="4D03459A"/>
    <w:rsid w:val="4E2540DD"/>
    <w:rsid w:val="4F0928DF"/>
    <w:rsid w:val="53387659"/>
    <w:rsid w:val="55104550"/>
    <w:rsid w:val="57F3068C"/>
    <w:rsid w:val="58D20590"/>
    <w:rsid w:val="5D410D65"/>
    <w:rsid w:val="5E660CC1"/>
    <w:rsid w:val="661D5A78"/>
    <w:rsid w:val="663B1AE6"/>
    <w:rsid w:val="69352D01"/>
    <w:rsid w:val="6B300AA0"/>
    <w:rsid w:val="6CC838DC"/>
    <w:rsid w:val="6E3D39F9"/>
    <w:rsid w:val="6FA81A09"/>
    <w:rsid w:val="70350492"/>
    <w:rsid w:val="71D44901"/>
    <w:rsid w:val="720924FA"/>
    <w:rsid w:val="73007C27"/>
    <w:rsid w:val="74414889"/>
    <w:rsid w:val="74B13A97"/>
    <w:rsid w:val="74DE6D70"/>
    <w:rsid w:val="7500552C"/>
    <w:rsid w:val="75435570"/>
    <w:rsid w:val="75A01A5D"/>
    <w:rsid w:val="76171091"/>
    <w:rsid w:val="77DA3F20"/>
    <w:rsid w:val="79B63281"/>
    <w:rsid w:val="7AFE135D"/>
    <w:rsid w:val="7C683D87"/>
    <w:rsid w:val="7CEF1D89"/>
    <w:rsid w:val="7E494DA3"/>
    <w:rsid w:val="7E577659"/>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unhideWhenUsed/>
    <w:qFormat/>
    <w:uiPriority w:val="1"/>
    <w:pPr>
      <w:spacing w:before="41"/>
      <w:ind w:left="121"/>
      <w:jc w:val="left"/>
    </w:pPr>
    <w:rPr>
      <w:rFonts w:ascii="仿宋" w:hAnsi="仿宋" w:eastAsia="仿宋"/>
      <w:kern w:val="0"/>
      <w:sz w:val="28"/>
      <w:szCs w:val="28"/>
      <w:lang w:eastAsia="en-US"/>
    </w:rPr>
  </w:style>
  <w:style w:type="paragraph" w:styleId="6">
    <w:name w:val="Body Text Indent"/>
    <w:basedOn w:val="1"/>
    <w:qFormat/>
    <w:uiPriority w:val="0"/>
    <w:pPr>
      <w:spacing w:line="380" w:lineRule="exact"/>
      <w:ind w:firstLine="480" w:firstLineChars="200"/>
    </w:pPr>
    <w:rPr>
      <w:rFonts w:ascii="宋体" w:hAnsi="宋体"/>
      <w:sz w:val="24"/>
    </w:rPr>
  </w:style>
  <w:style w:type="paragraph" w:styleId="7">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rPr>
      <w:rFonts w:ascii="宋体" w:hAnsi="宋体"/>
      <w:sz w:val="24"/>
    </w:r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27"/>
    <w:qFormat/>
    <w:uiPriority w:val="0"/>
    <w:pPr>
      <w:snapToGrid w:val="0"/>
      <w:jc w:val="left"/>
    </w:pPr>
    <w:rPr>
      <w:sz w:val="18"/>
      <w:szCs w:val="18"/>
    </w:rPr>
  </w:style>
  <w:style w:type="paragraph" w:styleId="15">
    <w:name w:val="Normal (Web)"/>
    <w:basedOn w:val="1"/>
    <w:qFormat/>
    <w:uiPriority w:val="0"/>
    <w:pPr>
      <w:spacing w:beforeAutospacing="1"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rPr>
  </w:style>
  <w:style w:type="character" w:styleId="21">
    <w:name w:val="footnote reference"/>
    <w:basedOn w:val="18"/>
    <w:qFormat/>
    <w:uiPriority w:val="0"/>
    <w:rPr>
      <w:vertAlign w:val="superscript"/>
    </w:rPr>
  </w:style>
  <w:style w:type="character" w:customStyle="1" w:styleId="22">
    <w:name w:val="无间隔 Char"/>
    <w:basedOn w:val="18"/>
    <w:link w:val="23"/>
    <w:qFormat/>
    <w:uiPriority w:val="1"/>
    <w:rPr>
      <w:rFonts w:ascii="Calibri" w:hAnsi="Calibri"/>
      <w:sz w:val="22"/>
      <w:szCs w:val="22"/>
      <w:lang w:val="en-US" w:eastAsia="zh-CN" w:bidi="ar-SA"/>
    </w:rPr>
  </w:style>
  <w:style w:type="paragraph" w:styleId="23">
    <w:name w:val="No Spacing"/>
    <w:link w:val="22"/>
    <w:qFormat/>
    <w:uiPriority w:val="1"/>
    <w:rPr>
      <w:rFonts w:ascii="Calibri" w:hAnsi="Calibri" w:eastAsia="宋体" w:cs="Times New Roman"/>
      <w:sz w:val="22"/>
      <w:szCs w:val="22"/>
      <w:lang w:val="en-US" w:eastAsia="zh-CN" w:bidi="ar-SA"/>
    </w:rPr>
  </w:style>
  <w:style w:type="character" w:customStyle="1" w:styleId="24">
    <w:name w:val="页脚 Char"/>
    <w:basedOn w:val="18"/>
    <w:link w:val="11"/>
    <w:qFormat/>
    <w:uiPriority w:val="99"/>
    <w:rPr>
      <w:kern w:val="2"/>
      <w:sz w:val="18"/>
      <w:szCs w:val="18"/>
    </w:rPr>
  </w:style>
  <w:style w:type="character" w:customStyle="1" w:styleId="25">
    <w:name w:val="批注框文本 Char"/>
    <w:basedOn w:val="18"/>
    <w:link w:val="10"/>
    <w:qFormat/>
    <w:uiPriority w:val="0"/>
    <w:rPr>
      <w:kern w:val="2"/>
      <w:sz w:val="18"/>
      <w:szCs w:val="18"/>
    </w:rPr>
  </w:style>
  <w:style w:type="character" w:customStyle="1" w:styleId="26">
    <w:name w:val="页眉 Char"/>
    <w:basedOn w:val="18"/>
    <w:link w:val="12"/>
    <w:qFormat/>
    <w:uiPriority w:val="99"/>
    <w:rPr>
      <w:kern w:val="2"/>
      <w:sz w:val="18"/>
      <w:szCs w:val="18"/>
    </w:rPr>
  </w:style>
  <w:style w:type="character" w:customStyle="1" w:styleId="27">
    <w:name w:val="脚注文本 Char"/>
    <w:basedOn w:val="18"/>
    <w:link w:val="14"/>
    <w:qFormat/>
    <w:uiPriority w:val="0"/>
    <w:rPr>
      <w:kern w:val="2"/>
      <w:sz w:val="18"/>
      <w:szCs w:val="18"/>
    </w:rPr>
  </w:style>
  <w:style w:type="paragraph" w:customStyle="1" w:styleId="28">
    <w:name w:val="Other|2"/>
    <w:basedOn w:val="1"/>
    <w:qFormat/>
    <w:uiPriority w:val="0"/>
    <w:pPr>
      <w:jc w:val="center"/>
    </w:pPr>
    <w:rPr>
      <w:rFonts w:ascii="宋体" w:hAnsi="宋体" w:cs="宋体"/>
      <w:sz w:val="20"/>
      <w:lang w:val="zh-TW" w:eastAsia="zh-TW" w:bidi="zh-TW"/>
    </w:rPr>
  </w:style>
  <w:style w:type="paragraph" w:customStyle="1" w:styleId="29">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66091"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8" textRotate="1"/>
    <customShpInfo spid="_x0000_s4106"/>
    <customShpInfo spid="_x0000_s4109"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14</Pages>
  <Words>6060</Words>
  <Characters>6430</Characters>
  <Lines>90</Lines>
  <Paragraphs>25</Paragraphs>
  <TotalTime>17</TotalTime>
  <ScaleCrop>false</ScaleCrop>
  <LinksUpToDate>false</LinksUpToDate>
  <CharactersWithSpaces>6640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2022-11-07T03:33:42Z</cp:lastPrinted>
  <dcterms:modified xsi:type="dcterms:W3CDTF">2022-11-07T03:35:01Z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4A2DA667480C4F48BEB562C0F7E0314E</vt:lpwstr>
  </property>
</Properties>
</file>