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jc w:val="center"/>
        <w:rPr>
          <w:rFonts w:ascii="宋体" w:hAnsi="宋体"/>
          <w:sz w:val="24"/>
          <w:szCs w:val="24"/>
        </w:rPr>
      </w:pPr>
    </w:p>
    <w:p>
      <w:pPr>
        <w:jc w:val="center"/>
        <w:rPr>
          <w:rFonts w:ascii="宋体" w:hAnsi="宋体"/>
          <w:sz w:val="24"/>
          <w:szCs w:val="24"/>
        </w:rPr>
      </w:pPr>
    </w:p>
    <w:p>
      <w:pPr>
        <w:jc w:val="center"/>
        <w:rPr>
          <w:rFonts w:ascii="宋体" w:hAnsi="宋体"/>
          <w:sz w:val="24"/>
          <w:szCs w:val="24"/>
        </w:rPr>
      </w:pPr>
    </w:p>
    <w:p>
      <w:pPr>
        <w:jc w:val="center"/>
        <w:rPr>
          <w:rFonts w:ascii="宋体" w:hAnsi="宋体"/>
          <w:sz w:val="24"/>
          <w:szCs w:val="24"/>
        </w:rPr>
      </w:pPr>
    </w:p>
    <w:p>
      <w:pPr>
        <w:rPr>
          <w:rFonts w:ascii="宋体" w:hAnsi="宋体"/>
          <w:sz w:val="36"/>
          <w:szCs w:val="36"/>
        </w:rPr>
      </w:pPr>
    </w:p>
    <w:p>
      <w:pPr>
        <w:jc w:val="center"/>
        <w:rPr>
          <w:rFonts w:ascii="宋体" w:hAnsi="宋体"/>
          <w:szCs w:val="21"/>
        </w:rPr>
      </w:pPr>
    </w:p>
    <w:p>
      <w:pPr>
        <w:spacing w:line="900" w:lineRule="exact"/>
        <w:jc w:val="center"/>
        <w:rPr>
          <w:rFonts w:hint="eastAsia" w:ascii="仿宋" w:hAnsi="仿宋" w:eastAsia="仿宋" w:cs="仿宋"/>
          <w:b/>
          <w:bCs/>
          <w:sz w:val="52"/>
          <w:szCs w:val="52"/>
        </w:rPr>
      </w:pPr>
      <w:r>
        <w:rPr>
          <w:rFonts w:hint="eastAsia" w:ascii="仿宋" w:hAnsi="仿宋" w:eastAsia="仿宋" w:cs="仿宋"/>
          <w:b/>
          <w:bCs/>
          <w:sz w:val="52"/>
          <w:szCs w:val="52"/>
        </w:rPr>
        <w:t>特岗教师工资待遇资金</w:t>
      </w:r>
      <w:r>
        <w:rPr>
          <w:rFonts w:hint="eastAsia" w:ascii="仿宋" w:hAnsi="仿宋" w:eastAsia="仿宋" w:cs="仿宋"/>
          <w:b/>
          <w:bCs/>
          <w:sz w:val="52"/>
          <w:szCs w:val="52"/>
          <w:lang w:eastAsia="zh-CN"/>
        </w:rPr>
        <w:t>（</w:t>
      </w:r>
      <w:r>
        <w:rPr>
          <w:rFonts w:hint="eastAsia" w:ascii="仿宋" w:hAnsi="仿宋" w:eastAsia="仿宋" w:cs="仿宋"/>
          <w:b/>
          <w:bCs/>
          <w:sz w:val="52"/>
          <w:szCs w:val="52"/>
          <w:lang w:val="en-US" w:eastAsia="zh-CN"/>
        </w:rPr>
        <w:t>中央直达</w:t>
      </w:r>
      <w:r>
        <w:rPr>
          <w:rFonts w:hint="eastAsia" w:ascii="仿宋" w:hAnsi="仿宋" w:eastAsia="仿宋" w:cs="仿宋"/>
          <w:b/>
          <w:bCs/>
          <w:sz w:val="52"/>
          <w:szCs w:val="52"/>
          <w:lang w:eastAsia="zh-CN"/>
        </w:rPr>
        <w:t>）</w:t>
      </w:r>
      <w:r>
        <w:rPr>
          <w:rFonts w:hint="eastAsia" w:ascii="仿宋" w:hAnsi="仿宋" w:eastAsia="仿宋" w:cs="仿宋"/>
          <w:b/>
          <w:bCs/>
          <w:sz w:val="52"/>
          <w:szCs w:val="52"/>
        </w:rPr>
        <w:t>项目</w:t>
      </w:r>
    </w:p>
    <w:p>
      <w:pPr>
        <w:spacing w:line="900" w:lineRule="exact"/>
        <w:jc w:val="center"/>
        <w:rPr>
          <w:rFonts w:hint="eastAsia" w:ascii="仿宋" w:hAnsi="仿宋" w:eastAsia="仿宋" w:cs="仿宋"/>
          <w:b/>
          <w:bCs/>
          <w:sz w:val="52"/>
          <w:szCs w:val="52"/>
        </w:rPr>
      </w:pPr>
      <w:r>
        <w:rPr>
          <w:rFonts w:hint="eastAsia" w:ascii="仿宋" w:hAnsi="仿宋" w:eastAsia="仿宋" w:cs="仿宋"/>
          <w:b/>
          <w:bCs/>
          <w:sz w:val="52"/>
          <w:szCs w:val="52"/>
        </w:rPr>
        <w:t>绩效评价报告</w:t>
      </w:r>
    </w:p>
    <w:p>
      <w:pPr>
        <w:spacing w:line="900" w:lineRule="exact"/>
        <w:jc w:val="center"/>
        <w:rPr>
          <w:rFonts w:ascii="方正小标宋_GBK" w:eastAsia="方正小标宋_GBK"/>
          <w:sz w:val="52"/>
          <w:szCs w:val="52"/>
        </w:rPr>
      </w:pPr>
    </w:p>
    <w:p>
      <w:pPr>
        <w:jc w:val="center"/>
        <w:rPr>
          <w:rFonts w:hint="eastAsia" w:ascii="仿宋" w:hAnsi="仿宋" w:eastAsia="仿宋" w:cs="仿宋"/>
          <w:sz w:val="32"/>
          <w:szCs w:val="32"/>
        </w:rPr>
      </w:pPr>
    </w:p>
    <w:p>
      <w:pPr>
        <w:spacing w:line="900" w:lineRule="exact"/>
        <w:rPr>
          <w:rFonts w:ascii="宋体" w:hAnsi="宋体"/>
          <w:sz w:val="30"/>
          <w:szCs w:val="30"/>
        </w:rPr>
      </w:pPr>
    </w:p>
    <w:p>
      <w:pPr>
        <w:pStyle w:val="2"/>
      </w:pPr>
    </w:p>
    <w:p>
      <w:pPr>
        <w:spacing w:line="900" w:lineRule="exact"/>
        <w:ind w:firstLine="1120" w:firstLineChars="350"/>
        <w:jc w:val="left"/>
        <w:rPr>
          <w:rFonts w:hint="eastAsia" w:ascii="仿宋" w:hAnsi="仿宋" w:eastAsia="仿宋" w:cs="仿宋"/>
          <w:sz w:val="32"/>
          <w:szCs w:val="32"/>
        </w:rPr>
      </w:pPr>
      <w:r>
        <w:rPr>
          <w:rFonts w:hint="eastAsia" w:ascii="仿宋" w:hAnsi="仿宋" w:eastAsia="仿宋" w:cs="仿宋"/>
          <w:sz w:val="32"/>
          <w:szCs w:val="32"/>
        </w:rPr>
        <w:t>评价机构：</w:t>
      </w:r>
      <w:r>
        <w:rPr>
          <w:rFonts w:hint="eastAsia" w:ascii="仿宋" w:hAnsi="仿宋" w:eastAsia="仿宋" w:cs="仿宋"/>
          <w:sz w:val="32"/>
          <w:szCs w:val="32"/>
          <w:lang w:val="en-US" w:eastAsia="zh-CN"/>
        </w:rPr>
        <w:t>曲阳县</w:t>
      </w:r>
      <w:r>
        <w:rPr>
          <w:rFonts w:hint="eastAsia" w:ascii="仿宋" w:hAnsi="仿宋" w:eastAsia="仿宋" w:cs="仿宋"/>
          <w:sz w:val="32"/>
          <w:szCs w:val="32"/>
        </w:rPr>
        <w:t>财政局</w:t>
      </w:r>
      <w:r>
        <w:rPr>
          <w:rFonts w:hint="eastAsia" w:ascii="仿宋" w:hAnsi="仿宋" w:eastAsia="仿宋" w:cs="仿宋"/>
          <w:sz w:val="32"/>
          <w:szCs w:val="32"/>
          <w:lang w:eastAsia="zh-CN"/>
        </w:rPr>
        <w:t>、</w:t>
      </w:r>
      <w:r>
        <w:rPr>
          <w:rFonts w:hint="eastAsia" w:ascii="仿宋" w:hAnsi="仿宋" w:eastAsia="仿宋" w:cs="仿宋"/>
          <w:sz w:val="32"/>
          <w:szCs w:val="32"/>
        </w:rPr>
        <w:t>河北中盛信达会计师事务所有限公司</w:t>
      </w:r>
    </w:p>
    <w:p>
      <w:pPr>
        <w:spacing w:line="900" w:lineRule="exact"/>
        <w:ind w:firstLine="1120" w:firstLineChars="350"/>
        <w:jc w:val="both"/>
        <w:rPr>
          <w:rFonts w:hint="eastAsia" w:ascii="仿宋" w:hAnsi="仿宋" w:eastAsia="仿宋" w:cs="仿宋"/>
          <w:sz w:val="32"/>
          <w:szCs w:val="32"/>
        </w:rPr>
      </w:pPr>
      <w:r>
        <w:rPr>
          <w:rFonts w:hint="eastAsia" w:ascii="仿宋" w:hAnsi="仿宋" w:eastAsia="仿宋" w:cs="仿宋"/>
          <w:sz w:val="32"/>
          <w:szCs w:val="32"/>
        </w:rPr>
        <w:t>项目名称：</w:t>
      </w:r>
      <w:r>
        <w:rPr>
          <w:rFonts w:hint="eastAsia" w:ascii="仿宋" w:hAnsi="仿宋" w:eastAsia="仿宋" w:cs="仿宋"/>
          <w:sz w:val="32"/>
          <w:szCs w:val="32"/>
          <w:lang w:val="en-US" w:eastAsia="zh-CN"/>
        </w:rPr>
        <w:t>特岗教师工资待遇</w:t>
      </w:r>
      <w:r>
        <w:rPr>
          <w:rFonts w:hint="eastAsia" w:ascii="仿宋" w:hAnsi="仿宋" w:eastAsia="仿宋" w:cs="仿宋"/>
          <w:sz w:val="32"/>
          <w:szCs w:val="32"/>
        </w:rPr>
        <w:t>资金</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中央直达</w:t>
      </w:r>
      <w:r>
        <w:rPr>
          <w:rFonts w:hint="eastAsia" w:ascii="仿宋" w:hAnsi="仿宋" w:eastAsia="仿宋" w:cs="仿宋"/>
          <w:sz w:val="32"/>
          <w:szCs w:val="32"/>
          <w:lang w:eastAsia="zh-CN"/>
        </w:rPr>
        <w:t>）</w:t>
      </w:r>
      <w:r>
        <w:rPr>
          <w:rFonts w:hint="eastAsia" w:ascii="仿宋" w:hAnsi="仿宋" w:eastAsia="仿宋" w:cs="仿宋"/>
          <w:sz w:val="32"/>
          <w:szCs w:val="32"/>
        </w:rPr>
        <w:t>项目</w:t>
      </w:r>
    </w:p>
    <w:p>
      <w:pPr>
        <w:spacing w:line="900" w:lineRule="exact"/>
        <w:ind w:firstLine="1120" w:firstLineChars="350"/>
        <w:jc w:val="left"/>
        <w:rPr>
          <w:rFonts w:hint="eastAsia" w:ascii="仿宋" w:hAnsi="仿宋" w:eastAsia="仿宋" w:cs="仿宋"/>
          <w:sz w:val="32"/>
          <w:szCs w:val="32"/>
          <w:lang w:val="en-US" w:eastAsia="zh-CN"/>
        </w:rPr>
      </w:pPr>
      <w:r>
        <w:rPr>
          <w:rFonts w:hint="eastAsia" w:ascii="仿宋" w:hAnsi="仿宋" w:eastAsia="仿宋" w:cs="仿宋"/>
          <w:sz w:val="32"/>
          <w:szCs w:val="32"/>
        </w:rPr>
        <w:t>项目承担单位：</w:t>
      </w:r>
      <w:r>
        <w:rPr>
          <w:rFonts w:hint="eastAsia" w:ascii="仿宋" w:hAnsi="仿宋" w:eastAsia="仿宋" w:cs="仿宋"/>
          <w:sz w:val="32"/>
          <w:szCs w:val="32"/>
          <w:lang w:val="en-US" w:eastAsia="zh-CN"/>
        </w:rPr>
        <w:t>曲阳县教育和体育局</w:t>
      </w:r>
    </w:p>
    <w:p>
      <w:pPr>
        <w:spacing w:line="900" w:lineRule="exact"/>
        <w:ind w:firstLine="1120" w:firstLineChars="350"/>
        <w:jc w:val="left"/>
        <w:rPr>
          <w:rFonts w:hint="eastAsia" w:ascii="仿宋" w:hAnsi="仿宋" w:eastAsia="仿宋" w:cs="仿宋"/>
          <w:sz w:val="32"/>
          <w:szCs w:val="32"/>
        </w:rPr>
      </w:pPr>
      <w:r>
        <w:rPr>
          <w:rFonts w:hint="eastAsia" w:ascii="仿宋" w:hAnsi="仿宋" w:eastAsia="仿宋" w:cs="仿宋"/>
          <w:sz w:val="32"/>
          <w:szCs w:val="32"/>
        </w:rPr>
        <w:t>报 告 日 期：202</w:t>
      </w:r>
      <w:r>
        <w:rPr>
          <w:rFonts w:hint="eastAsia" w:ascii="仿宋" w:hAnsi="仿宋" w:eastAsia="仿宋" w:cs="仿宋"/>
          <w:sz w:val="32"/>
          <w:szCs w:val="32"/>
          <w:lang w:val="en-US" w:eastAsia="zh-CN"/>
        </w:rPr>
        <w:t>2</w:t>
      </w:r>
      <w:r>
        <w:rPr>
          <w:rFonts w:hint="eastAsia" w:ascii="仿宋" w:hAnsi="仿宋" w:eastAsia="仿宋" w:cs="仿宋"/>
          <w:sz w:val="32"/>
          <w:szCs w:val="32"/>
        </w:rPr>
        <w:t>年</w:t>
      </w:r>
      <w:r>
        <w:rPr>
          <w:rFonts w:hint="eastAsia" w:ascii="仿宋" w:hAnsi="仿宋" w:eastAsia="仿宋" w:cs="仿宋"/>
          <w:sz w:val="32"/>
          <w:szCs w:val="32"/>
          <w:lang w:val="en-US" w:eastAsia="zh-CN"/>
        </w:rPr>
        <w:t>9</w:t>
      </w:r>
      <w:r>
        <w:rPr>
          <w:rFonts w:hint="eastAsia" w:ascii="仿宋" w:hAnsi="仿宋" w:eastAsia="仿宋" w:cs="仿宋"/>
          <w:sz w:val="32"/>
          <w:szCs w:val="32"/>
        </w:rPr>
        <w:t>月</w:t>
      </w:r>
      <w:r>
        <w:rPr>
          <w:rFonts w:hint="eastAsia" w:ascii="仿宋" w:hAnsi="仿宋" w:eastAsia="仿宋" w:cs="仿宋"/>
          <w:sz w:val="32"/>
          <w:szCs w:val="32"/>
          <w:lang w:val="en-US" w:eastAsia="zh-CN"/>
        </w:rPr>
        <w:t>30</w:t>
      </w:r>
      <w:r>
        <w:rPr>
          <w:rFonts w:hint="eastAsia" w:ascii="仿宋" w:hAnsi="仿宋" w:eastAsia="仿宋" w:cs="仿宋"/>
          <w:sz w:val="32"/>
          <w:szCs w:val="32"/>
        </w:rPr>
        <w:t>日</w:t>
      </w:r>
    </w:p>
    <w:p>
      <w:pPr>
        <w:spacing w:line="900" w:lineRule="exact"/>
        <w:ind w:firstLine="1120" w:firstLineChars="350"/>
        <w:jc w:val="left"/>
        <w:rPr>
          <w:rFonts w:hint="eastAsia" w:ascii="仿宋" w:hAnsi="仿宋" w:eastAsia="仿宋" w:cs="仿宋"/>
          <w:sz w:val="32"/>
          <w:szCs w:val="32"/>
        </w:rPr>
      </w:pPr>
    </w:p>
    <w:p>
      <w:pPr>
        <w:pStyle w:val="13"/>
        <w:spacing w:line="360" w:lineRule="exact"/>
        <w:ind w:firstLine="3240" w:firstLineChars="900"/>
        <w:rPr>
          <w:rFonts w:ascii="黑体" w:hAnsi="黑体" w:eastAsia="黑体" w:cs="黑体"/>
          <w:sz w:val="36"/>
          <w:szCs w:val="36"/>
        </w:rPr>
      </w:pPr>
    </w:p>
    <w:p>
      <w:pPr>
        <w:sectPr>
          <w:headerReference r:id="rId4" w:type="first"/>
          <w:footerReference r:id="rId6" w:type="first"/>
          <w:headerReference r:id="rId3" w:type="default"/>
          <w:footerReference r:id="rId5" w:type="default"/>
          <w:pgSz w:w="11906" w:h="16838"/>
          <w:pgMar w:top="1077" w:right="1304" w:bottom="1077" w:left="1304" w:header="1134" w:footer="680" w:gutter="0"/>
          <w:pgBorders>
            <w:top w:val="none" w:sz="0" w:space="0"/>
            <w:left w:val="none" w:sz="0" w:space="0"/>
            <w:bottom w:val="none" w:sz="0" w:space="0"/>
            <w:right w:val="none" w:sz="0" w:space="0"/>
          </w:pgBorders>
          <w:pgNumType w:start="1"/>
          <w:cols w:space="720" w:num="1"/>
          <w:titlePg/>
          <w:docGrid w:type="lines" w:linePitch="312" w:charSpace="0"/>
        </w:sectPr>
      </w:pPr>
    </w:p>
    <w:p>
      <w:pPr>
        <w:pStyle w:val="2"/>
      </w:pPr>
    </w:p>
    <w:sdt>
      <w:sdtPr>
        <w:rPr>
          <w:rFonts w:ascii="宋体" w:hAnsi="宋体" w:eastAsia="宋体" w:cs="Times New Roman"/>
          <w:kern w:val="2"/>
          <w:sz w:val="21"/>
          <w:lang w:val="en-US" w:eastAsia="zh-CN" w:bidi="ar-SA"/>
        </w:rPr>
        <w:id w:val="147465289"/>
        <w15:color w:val="DBDBDB"/>
        <w:docPartObj>
          <w:docPartGallery w:val="Table of Contents"/>
          <w:docPartUnique/>
        </w:docPartObj>
      </w:sdtPr>
      <w:sdtEndPr>
        <w:rPr>
          <w:rFonts w:hint="eastAsia" w:ascii="仿宋" w:hAnsi="仿宋" w:eastAsia="仿宋" w:cs="仿宋"/>
          <w:kern w:val="2"/>
          <w:sz w:val="30"/>
          <w:szCs w:val="30"/>
          <w:lang w:val="en-US" w:eastAsia="zh-CN" w:bidi="ar-SA"/>
        </w:rPr>
      </w:sdtEndPr>
      <w:sdtContent>
        <w:p>
          <w:pPr>
            <w:spacing w:before="0" w:beforeLines="0" w:after="0" w:afterLines="0" w:line="240" w:lineRule="auto"/>
            <w:ind w:left="0" w:leftChars="0" w:right="0" w:rightChars="0" w:firstLine="0" w:firstLineChars="0"/>
            <w:jc w:val="center"/>
            <w:rPr>
              <w:b/>
              <w:bCs/>
              <w:sz w:val="30"/>
              <w:szCs w:val="30"/>
            </w:rPr>
          </w:pPr>
          <w:r>
            <w:rPr>
              <w:rFonts w:ascii="宋体" w:hAnsi="宋体" w:eastAsia="宋体"/>
              <w:b/>
              <w:bCs/>
              <w:sz w:val="30"/>
              <w:szCs w:val="30"/>
            </w:rPr>
            <w:t>目录</w:t>
          </w:r>
        </w:p>
        <w:p>
          <w:pPr>
            <w:pStyle w:val="32"/>
            <w:tabs>
              <w:tab w:val="right" w:leader="dot" w:pos="9298"/>
            </w:tabs>
            <w:rPr>
              <w:rFonts w:hint="eastAsia" w:ascii="仿宋" w:hAnsi="仿宋" w:eastAsia="仿宋" w:cs="仿宋"/>
              <w:sz w:val="30"/>
              <w:szCs w:val="30"/>
            </w:rPr>
          </w:pPr>
          <w:r>
            <w:rPr>
              <w:rFonts w:hint="eastAsia" w:ascii="仿宋" w:hAnsi="仿宋" w:eastAsia="仿宋" w:cs="仿宋"/>
              <w:sz w:val="30"/>
              <w:szCs w:val="30"/>
            </w:rPr>
            <w:fldChar w:fldCharType="begin"/>
          </w:r>
          <w:r>
            <w:rPr>
              <w:rFonts w:hint="eastAsia" w:ascii="仿宋" w:hAnsi="仿宋" w:eastAsia="仿宋" w:cs="仿宋"/>
              <w:sz w:val="30"/>
              <w:szCs w:val="30"/>
            </w:rPr>
            <w:instrText xml:space="preserve">TOC \o "1-1" \h \u </w:instrText>
          </w:r>
          <w:r>
            <w:rPr>
              <w:rFonts w:hint="eastAsia" w:ascii="仿宋" w:hAnsi="仿宋" w:eastAsia="仿宋" w:cs="仿宋"/>
              <w:sz w:val="30"/>
              <w:szCs w:val="30"/>
            </w:rPr>
            <w:fldChar w:fldCharType="separate"/>
          </w:r>
        </w:p>
        <w:p>
          <w:pPr>
            <w:pStyle w:val="32"/>
            <w:tabs>
              <w:tab w:val="right" w:leader="dot" w:pos="9298"/>
            </w:tabs>
            <w:rPr>
              <w:rFonts w:hint="eastAsia" w:ascii="仿宋" w:hAnsi="仿宋" w:eastAsia="仿宋" w:cs="仿宋"/>
              <w:sz w:val="30"/>
              <w:szCs w:val="30"/>
            </w:rPr>
          </w:pPr>
          <w:r>
            <w:rPr>
              <w:rFonts w:hint="eastAsia" w:ascii="仿宋" w:hAnsi="仿宋" w:eastAsia="仿宋" w:cs="仿宋"/>
              <w:sz w:val="30"/>
              <w:szCs w:val="30"/>
            </w:rPr>
            <w:fldChar w:fldCharType="begin"/>
          </w:r>
          <w:r>
            <w:rPr>
              <w:rFonts w:hint="eastAsia" w:ascii="仿宋" w:hAnsi="仿宋" w:eastAsia="仿宋" w:cs="仿宋"/>
              <w:sz w:val="30"/>
              <w:szCs w:val="30"/>
            </w:rPr>
            <w:instrText xml:space="preserve"> HYPERLINK \l _Toc8967 </w:instrText>
          </w:r>
          <w:r>
            <w:rPr>
              <w:rFonts w:hint="eastAsia" w:ascii="仿宋" w:hAnsi="仿宋" w:eastAsia="仿宋" w:cs="仿宋"/>
              <w:sz w:val="30"/>
              <w:szCs w:val="30"/>
            </w:rPr>
            <w:fldChar w:fldCharType="separate"/>
          </w:r>
          <w:r>
            <w:rPr>
              <w:rFonts w:hint="eastAsia" w:ascii="仿宋" w:hAnsi="仿宋" w:eastAsia="仿宋" w:cs="仿宋"/>
              <w:bCs/>
              <w:sz w:val="30"/>
              <w:szCs w:val="30"/>
              <w:lang w:val="en-US" w:eastAsia="zh-CN"/>
            </w:rPr>
            <w:t>一、</w:t>
          </w:r>
          <w:r>
            <w:rPr>
              <w:rFonts w:hint="eastAsia" w:ascii="仿宋" w:hAnsi="仿宋" w:eastAsia="仿宋" w:cs="仿宋"/>
              <w:bCs/>
              <w:sz w:val="30"/>
              <w:szCs w:val="30"/>
            </w:rPr>
            <w:t>项目概况</w:t>
          </w:r>
          <w:r>
            <w:rPr>
              <w:rFonts w:hint="eastAsia" w:ascii="仿宋" w:hAnsi="仿宋" w:eastAsia="仿宋" w:cs="仿宋"/>
              <w:sz w:val="30"/>
              <w:szCs w:val="30"/>
            </w:rPr>
            <w:tab/>
          </w:r>
          <w:r>
            <w:rPr>
              <w:rFonts w:hint="eastAsia" w:ascii="仿宋" w:hAnsi="仿宋" w:eastAsia="仿宋" w:cs="仿宋"/>
              <w:sz w:val="30"/>
              <w:szCs w:val="30"/>
            </w:rPr>
            <w:fldChar w:fldCharType="begin"/>
          </w:r>
          <w:r>
            <w:rPr>
              <w:rFonts w:hint="eastAsia" w:ascii="仿宋" w:hAnsi="仿宋" w:eastAsia="仿宋" w:cs="仿宋"/>
              <w:sz w:val="30"/>
              <w:szCs w:val="30"/>
            </w:rPr>
            <w:instrText xml:space="preserve"> PAGEREF _Toc8967 \h </w:instrText>
          </w:r>
          <w:r>
            <w:rPr>
              <w:rFonts w:hint="eastAsia" w:ascii="仿宋" w:hAnsi="仿宋" w:eastAsia="仿宋" w:cs="仿宋"/>
              <w:sz w:val="30"/>
              <w:szCs w:val="30"/>
            </w:rPr>
            <w:fldChar w:fldCharType="separate"/>
          </w:r>
          <w:r>
            <w:rPr>
              <w:rFonts w:hint="eastAsia" w:ascii="仿宋" w:hAnsi="仿宋" w:eastAsia="仿宋" w:cs="仿宋"/>
              <w:sz w:val="30"/>
              <w:szCs w:val="30"/>
            </w:rPr>
            <w:t>1</w:t>
          </w:r>
          <w:r>
            <w:rPr>
              <w:rFonts w:hint="eastAsia" w:ascii="仿宋" w:hAnsi="仿宋" w:eastAsia="仿宋" w:cs="仿宋"/>
              <w:sz w:val="30"/>
              <w:szCs w:val="30"/>
            </w:rPr>
            <w:fldChar w:fldCharType="end"/>
          </w:r>
          <w:r>
            <w:rPr>
              <w:rFonts w:hint="eastAsia" w:ascii="仿宋" w:hAnsi="仿宋" w:eastAsia="仿宋" w:cs="仿宋"/>
              <w:sz w:val="30"/>
              <w:szCs w:val="30"/>
            </w:rPr>
            <w:fldChar w:fldCharType="end"/>
          </w:r>
        </w:p>
        <w:p>
          <w:pPr>
            <w:pStyle w:val="32"/>
            <w:tabs>
              <w:tab w:val="right" w:leader="dot" w:pos="9298"/>
            </w:tabs>
            <w:rPr>
              <w:rFonts w:hint="eastAsia" w:ascii="仿宋" w:hAnsi="仿宋" w:eastAsia="仿宋" w:cs="仿宋"/>
              <w:sz w:val="30"/>
              <w:szCs w:val="30"/>
            </w:rPr>
          </w:pPr>
        </w:p>
        <w:p>
          <w:pPr>
            <w:pStyle w:val="32"/>
            <w:tabs>
              <w:tab w:val="right" w:leader="dot" w:pos="9298"/>
            </w:tabs>
            <w:rPr>
              <w:rFonts w:hint="eastAsia" w:ascii="仿宋" w:hAnsi="仿宋" w:eastAsia="仿宋" w:cs="仿宋"/>
              <w:sz w:val="30"/>
              <w:szCs w:val="30"/>
            </w:rPr>
          </w:pPr>
          <w:r>
            <w:rPr>
              <w:rFonts w:hint="eastAsia" w:ascii="仿宋" w:hAnsi="仿宋" w:eastAsia="仿宋" w:cs="仿宋"/>
              <w:sz w:val="30"/>
              <w:szCs w:val="30"/>
            </w:rPr>
            <w:fldChar w:fldCharType="begin"/>
          </w:r>
          <w:r>
            <w:rPr>
              <w:rFonts w:hint="eastAsia" w:ascii="仿宋" w:hAnsi="仿宋" w:eastAsia="仿宋" w:cs="仿宋"/>
              <w:sz w:val="30"/>
              <w:szCs w:val="30"/>
            </w:rPr>
            <w:instrText xml:space="preserve"> HYPERLINK \l _Toc19822 </w:instrText>
          </w:r>
          <w:r>
            <w:rPr>
              <w:rFonts w:hint="eastAsia" w:ascii="仿宋" w:hAnsi="仿宋" w:eastAsia="仿宋" w:cs="仿宋"/>
              <w:sz w:val="30"/>
              <w:szCs w:val="30"/>
            </w:rPr>
            <w:fldChar w:fldCharType="separate"/>
          </w:r>
          <w:r>
            <w:rPr>
              <w:rFonts w:hint="eastAsia" w:ascii="仿宋" w:hAnsi="仿宋" w:eastAsia="仿宋" w:cs="仿宋"/>
              <w:bCs/>
              <w:sz w:val="30"/>
              <w:szCs w:val="30"/>
              <w:lang w:val="en-US" w:eastAsia="zh-CN"/>
            </w:rPr>
            <w:t>二、</w:t>
          </w:r>
          <w:r>
            <w:rPr>
              <w:rFonts w:hint="eastAsia" w:ascii="仿宋" w:hAnsi="仿宋" w:eastAsia="仿宋" w:cs="仿宋"/>
              <w:bCs/>
              <w:sz w:val="30"/>
              <w:szCs w:val="30"/>
            </w:rPr>
            <w:t>项目实施内容和范围</w:t>
          </w:r>
          <w:r>
            <w:rPr>
              <w:rFonts w:hint="eastAsia" w:ascii="仿宋" w:hAnsi="仿宋" w:eastAsia="仿宋" w:cs="仿宋"/>
              <w:sz w:val="30"/>
              <w:szCs w:val="30"/>
            </w:rPr>
            <w:tab/>
          </w:r>
          <w:r>
            <w:rPr>
              <w:rFonts w:hint="eastAsia" w:ascii="仿宋" w:hAnsi="仿宋" w:eastAsia="仿宋" w:cs="仿宋"/>
              <w:sz w:val="30"/>
              <w:szCs w:val="30"/>
            </w:rPr>
            <w:fldChar w:fldCharType="begin"/>
          </w:r>
          <w:r>
            <w:rPr>
              <w:rFonts w:hint="eastAsia" w:ascii="仿宋" w:hAnsi="仿宋" w:eastAsia="仿宋" w:cs="仿宋"/>
              <w:sz w:val="30"/>
              <w:szCs w:val="30"/>
            </w:rPr>
            <w:instrText xml:space="preserve"> PAGEREF _Toc19822 \h </w:instrText>
          </w:r>
          <w:r>
            <w:rPr>
              <w:rFonts w:hint="eastAsia" w:ascii="仿宋" w:hAnsi="仿宋" w:eastAsia="仿宋" w:cs="仿宋"/>
              <w:sz w:val="30"/>
              <w:szCs w:val="30"/>
            </w:rPr>
            <w:fldChar w:fldCharType="separate"/>
          </w:r>
          <w:r>
            <w:rPr>
              <w:rFonts w:hint="eastAsia" w:ascii="仿宋" w:hAnsi="仿宋" w:eastAsia="仿宋" w:cs="仿宋"/>
              <w:sz w:val="30"/>
              <w:szCs w:val="30"/>
            </w:rPr>
            <w:t>2</w:t>
          </w:r>
          <w:r>
            <w:rPr>
              <w:rFonts w:hint="eastAsia" w:ascii="仿宋" w:hAnsi="仿宋" w:eastAsia="仿宋" w:cs="仿宋"/>
              <w:sz w:val="30"/>
              <w:szCs w:val="30"/>
            </w:rPr>
            <w:fldChar w:fldCharType="end"/>
          </w:r>
          <w:r>
            <w:rPr>
              <w:rFonts w:hint="eastAsia" w:ascii="仿宋" w:hAnsi="仿宋" w:eastAsia="仿宋" w:cs="仿宋"/>
              <w:sz w:val="30"/>
              <w:szCs w:val="30"/>
            </w:rPr>
            <w:fldChar w:fldCharType="end"/>
          </w:r>
        </w:p>
        <w:p>
          <w:pPr>
            <w:pStyle w:val="32"/>
            <w:tabs>
              <w:tab w:val="right" w:leader="dot" w:pos="9298"/>
            </w:tabs>
            <w:rPr>
              <w:rFonts w:hint="eastAsia" w:ascii="仿宋" w:hAnsi="仿宋" w:eastAsia="仿宋" w:cs="仿宋"/>
              <w:sz w:val="30"/>
              <w:szCs w:val="30"/>
            </w:rPr>
          </w:pPr>
        </w:p>
        <w:p>
          <w:pPr>
            <w:pStyle w:val="32"/>
            <w:tabs>
              <w:tab w:val="right" w:leader="dot" w:pos="9298"/>
            </w:tabs>
            <w:rPr>
              <w:rFonts w:hint="eastAsia" w:ascii="仿宋" w:hAnsi="仿宋" w:eastAsia="仿宋" w:cs="仿宋"/>
              <w:sz w:val="30"/>
              <w:szCs w:val="30"/>
            </w:rPr>
          </w:pPr>
          <w:r>
            <w:rPr>
              <w:rFonts w:hint="eastAsia" w:ascii="仿宋" w:hAnsi="仿宋" w:eastAsia="仿宋" w:cs="仿宋"/>
              <w:sz w:val="30"/>
              <w:szCs w:val="30"/>
            </w:rPr>
            <w:fldChar w:fldCharType="begin"/>
          </w:r>
          <w:r>
            <w:rPr>
              <w:rFonts w:hint="eastAsia" w:ascii="仿宋" w:hAnsi="仿宋" w:eastAsia="仿宋" w:cs="仿宋"/>
              <w:sz w:val="30"/>
              <w:szCs w:val="30"/>
            </w:rPr>
            <w:instrText xml:space="preserve"> HYPERLINK \l _Toc1525 </w:instrText>
          </w:r>
          <w:r>
            <w:rPr>
              <w:rFonts w:hint="eastAsia" w:ascii="仿宋" w:hAnsi="仿宋" w:eastAsia="仿宋" w:cs="仿宋"/>
              <w:sz w:val="30"/>
              <w:szCs w:val="30"/>
            </w:rPr>
            <w:fldChar w:fldCharType="separate"/>
          </w:r>
          <w:r>
            <w:rPr>
              <w:rFonts w:hint="eastAsia" w:ascii="仿宋" w:hAnsi="仿宋" w:eastAsia="仿宋" w:cs="仿宋"/>
              <w:bCs/>
              <w:sz w:val="30"/>
              <w:szCs w:val="30"/>
              <w:lang w:val="en-US" w:eastAsia="zh-CN"/>
            </w:rPr>
            <w:t>三、</w:t>
          </w:r>
          <w:r>
            <w:rPr>
              <w:rFonts w:hint="eastAsia" w:ascii="仿宋" w:hAnsi="仿宋" w:eastAsia="仿宋" w:cs="仿宋"/>
              <w:bCs/>
              <w:sz w:val="30"/>
              <w:szCs w:val="30"/>
            </w:rPr>
            <w:t>项目资金使用情况</w:t>
          </w:r>
          <w:r>
            <w:rPr>
              <w:rFonts w:hint="eastAsia" w:ascii="仿宋" w:hAnsi="仿宋" w:eastAsia="仿宋" w:cs="仿宋"/>
              <w:sz w:val="30"/>
              <w:szCs w:val="30"/>
            </w:rPr>
            <w:tab/>
          </w:r>
          <w:r>
            <w:rPr>
              <w:rFonts w:hint="eastAsia" w:ascii="仿宋" w:hAnsi="仿宋" w:eastAsia="仿宋" w:cs="仿宋"/>
              <w:sz w:val="30"/>
              <w:szCs w:val="30"/>
            </w:rPr>
            <w:fldChar w:fldCharType="begin"/>
          </w:r>
          <w:r>
            <w:rPr>
              <w:rFonts w:hint="eastAsia" w:ascii="仿宋" w:hAnsi="仿宋" w:eastAsia="仿宋" w:cs="仿宋"/>
              <w:sz w:val="30"/>
              <w:szCs w:val="30"/>
            </w:rPr>
            <w:instrText xml:space="preserve"> PAGEREF _Toc1525 \h </w:instrText>
          </w:r>
          <w:r>
            <w:rPr>
              <w:rFonts w:hint="eastAsia" w:ascii="仿宋" w:hAnsi="仿宋" w:eastAsia="仿宋" w:cs="仿宋"/>
              <w:sz w:val="30"/>
              <w:szCs w:val="30"/>
            </w:rPr>
            <w:fldChar w:fldCharType="separate"/>
          </w:r>
          <w:r>
            <w:rPr>
              <w:rFonts w:hint="eastAsia" w:ascii="仿宋" w:hAnsi="仿宋" w:eastAsia="仿宋" w:cs="仿宋"/>
              <w:sz w:val="30"/>
              <w:szCs w:val="30"/>
            </w:rPr>
            <w:t>2</w:t>
          </w:r>
          <w:r>
            <w:rPr>
              <w:rFonts w:hint="eastAsia" w:ascii="仿宋" w:hAnsi="仿宋" w:eastAsia="仿宋" w:cs="仿宋"/>
              <w:sz w:val="30"/>
              <w:szCs w:val="30"/>
            </w:rPr>
            <w:fldChar w:fldCharType="end"/>
          </w:r>
          <w:r>
            <w:rPr>
              <w:rFonts w:hint="eastAsia" w:ascii="仿宋" w:hAnsi="仿宋" w:eastAsia="仿宋" w:cs="仿宋"/>
              <w:sz w:val="30"/>
              <w:szCs w:val="30"/>
            </w:rPr>
            <w:fldChar w:fldCharType="end"/>
          </w:r>
        </w:p>
        <w:p>
          <w:pPr>
            <w:pStyle w:val="32"/>
            <w:tabs>
              <w:tab w:val="right" w:leader="dot" w:pos="9298"/>
            </w:tabs>
            <w:rPr>
              <w:rFonts w:hint="eastAsia" w:ascii="仿宋" w:hAnsi="仿宋" w:eastAsia="仿宋" w:cs="仿宋"/>
              <w:sz w:val="30"/>
              <w:szCs w:val="30"/>
            </w:rPr>
          </w:pPr>
        </w:p>
        <w:p>
          <w:pPr>
            <w:pStyle w:val="32"/>
            <w:tabs>
              <w:tab w:val="right" w:leader="dot" w:pos="9298"/>
            </w:tabs>
            <w:rPr>
              <w:rFonts w:hint="eastAsia" w:ascii="仿宋" w:hAnsi="仿宋" w:eastAsia="仿宋" w:cs="仿宋"/>
              <w:sz w:val="30"/>
              <w:szCs w:val="30"/>
            </w:rPr>
          </w:pPr>
          <w:r>
            <w:rPr>
              <w:rFonts w:hint="eastAsia" w:ascii="仿宋" w:hAnsi="仿宋" w:eastAsia="仿宋" w:cs="仿宋"/>
              <w:sz w:val="30"/>
              <w:szCs w:val="30"/>
            </w:rPr>
            <w:fldChar w:fldCharType="begin"/>
          </w:r>
          <w:r>
            <w:rPr>
              <w:rFonts w:hint="eastAsia" w:ascii="仿宋" w:hAnsi="仿宋" w:eastAsia="仿宋" w:cs="仿宋"/>
              <w:sz w:val="30"/>
              <w:szCs w:val="30"/>
            </w:rPr>
            <w:instrText xml:space="preserve"> HYPERLINK \l _Toc21592 </w:instrText>
          </w:r>
          <w:r>
            <w:rPr>
              <w:rFonts w:hint="eastAsia" w:ascii="仿宋" w:hAnsi="仿宋" w:eastAsia="仿宋" w:cs="仿宋"/>
              <w:sz w:val="30"/>
              <w:szCs w:val="30"/>
            </w:rPr>
            <w:fldChar w:fldCharType="separate"/>
          </w:r>
          <w:r>
            <w:rPr>
              <w:rFonts w:hint="eastAsia" w:ascii="仿宋" w:hAnsi="仿宋" w:eastAsia="仿宋" w:cs="仿宋"/>
              <w:bCs/>
              <w:sz w:val="30"/>
              <w:szCs w:val="30"/>
              <w:lang w:val="en-US" w:eastAsia="zh-CN"/>
            </w:rPr>
            <w:t>四、</w:t>
          </w:r>
          <w:r>
            <w:rPr>
              <w:rFonts w:hint="eastAsia" w:ascii="仿宋" w:hAnsi="仿宋" w:eastAsia="仿宋" w:cs="仿宋"/>
              <w:bCs/>
              <w:sz w:val="30"/>
              <w:szCs w:val="30"/>
            </w:rPr>
            <w:t>项目</w:t>
          </w:r>
          <w:r>
            <w:rPr>
              <w:rFonts w:hint="eastAsia" w:ascii="仿宋" w:hAnsi="仿宋" w:eastAsia="仿宋" w:cs="仿宋"/>
              <w:bCs/>
              <w:sz w:val="30"/>
              <w:szCs w:val="30"/>
              <w:lang w:val="en-US" w:eastAsia="zh-CN"/>
            </w:rPr>
            <w:t>管理</w:t>
          </w:r>
          <w:r>
            <w:rPr>
              <w:rFonts w:hint="eastAsia" w:ascii="仿宋" w:hAnsi="仿宋" w:eastAsia="仿宋" w:cs="仿宋"/>
              <w:bCs/>
              <w:sz w:val="30"/>
              <w:szCs w:val="30"/>
            </w:rPr>
            <w:t>绩效</w:t>
          </w:r>
          <w:r>
            <w:rPr>
              <w:rFonts w:hint="eastAsia" w:ascii="仿宋" w:hAnsi="仿宋" w:eastAsia="仿宋" w:cs="仿宋"/>
              <w:bCs/>
              <w:sz w:val="30"/>
              <w:szCs w:val="30"/>
              <w:lang w:val="en-US" w:eastAsia="zh-CN"/>
            </w:rPr>
            <w:t>情况</w:t>
          </w:r>
          <w:r>
            <w:rPr>
              <w:rFonts w:hint="eastAsia" w:ascii="仿宋" w:hAnsi="仿宋" w:eastAsia="仿宋" w:cs="仿宋"/>
              <w:sz w:val="30"/>
              <w:szCs w:val="30"/>
            </w:rPr>
            <w:tab/>
          </w:r>
          <w:r>
            <w:rPr>
              <w:rFonts w:hint="eastAsia" w:ascii="仿宋" w:hAnsi="仿宋" w:eastAsia="仿宋" w:cs="仿宋"/>
              <w:sz w:val="30"/>
              <w:szCs w:val="30"/>
            </w:rPr>
            <w:fldChar w:fldCharType="begin"/>
          </w:r>
          <w:r>
            <w:rPr>
              <w:rFonts w:hint="eastAsia" w:ascii="仿宋" w:hAnsi="仿宋" w:eastAsia="仿宋" w:cs="仿宋"/>
              <w:sz w:val="30"/>
              <w:szCs w:val="30"/>
            </w:rPr>
            <w:instrText xml:space="preserve"> PAGEREF _Toc21592 \h </w:instrText>
          </w:r>
          <w:r>
            <w:rPr>
              <w:rFonts w:hint="eastAsia" w:ascii="仿宋" w:hAnsi="仿宋" w:eastAsia="仿宋" w:cs="仿宋"/>
              <w:sz w:val="30"/>
              <w:szCs w:val="30"/>
            </w:rPr>
            <w:fldChar w:fldCharType="separate"/>
          </w:r>
          <w:r>
            <w:rPr>
              <w:rFonts w:hint="eastAsia" w:ascii="仿宋" w:hAnsi="仿宋" w:eastAsia="仿宋" w:cs="仿宋"/>
              <w:sz w:val="30"/>
              <w:szCs w:val="30"/>
            </w:rPr>
            <w:t>3</w:t>
          </w:r>
          <w:r>
            <w:rPr>
              <w:rFonts w:hint="eastAsia" w:ascii="仿宋" w:hAnsi="仿宋" w:eastAsia="仿宋" w:cs="仿宋"/>
              <w:sz w:val="30"/>
              <w:szCs w:val="30"/>
            </w:rPr>
            <w:fldChar w:fldCharType="end"/>
          </w:r>
          <w:r>
            <w:rPr>
              <w:rFonts w:hint="eastAsia" w:ascii="仿宋" w:hAnsi="仿宋" w:eastAsia="仿宋" w:cs="仿宋"/>
              <w:sz w:val="30"/>
              <w:szCs w:val="30"/>
            </w:rPr>
            <w:fldChar w:fldCharType="end"/>
          </w:r>
        </w:p>
        <w:p>
          <w:pPr>
            <w:pStyle w:val="32"/>
            <w:tabs>
              <w:tab w:val="right" w:leader="dot" w:pos="9298"/>
            </w:tabs>
            <w:rPr>
              <w:rFonts w:hint="eastAsia" w:ascii="仿宋" w:hAnsi="仿宋" w:eastAsia="仿宋" w:cs="仿宋"/>
              <w:sz w:val="30"/>
              <w:szCs w:val="30"/>
            </w:rPr>
          </w:pPr>
        </w:p>
        <w:p>
          <w:pPr>
            <w:pStyle w:val="32"/>
            <w:tabs>
              <w:tab w:val="right" w:leader="dot" w:pos="9298"/>
            </w:tabs>
            <w:rPr>
              <w:rFonts w:hint="eastAsia" w:ascii="仿宋" w:hAnsi="仿宋" w:eastAsia="仿宋" w:cs="仿宋"/>
              <w:sz w:val="30"/>
              <w:szCs w:val="30"/>
            </w:rPr>
          </w:pPr>
          <w:r>
            <w:rPr>
              <w:rFonts w:hint="eastAsia" w:ascii="仿宋" w:hAnsi="仿宋" w:eastAsia="仿宋" w:cs="仿宋"/>
              <w:sz w:val="30"/>
              <w:szCs w:val="30"/>
            </w:rPr>
            <w:fldChar w:fldCharType="begin"/>
          </w:r>
          <w:r>
            <w:rPr>
              <w:rFonts w:hint="eastAsia" w:ascii="仿宋" w:hAnsi="仿宋" w:eastAsia="仿宋" w:cs="仿宋"/>
              <w:sz w:val="30"/>
              <w:szCs w:val="30"/>
            </w:rPr>
            <w:instrText xml:space="preserve"> HYPERLINK \l _Toc10581 </w:instrText>
          </w:r>
          <w:r>
            <w:rPr>
              <w:rFonts w:hint="eastAsia" w:ascii="仿宋" w:hAnsi="仿宋" w:eastAsia="仿宋" w:cs="仿宋"/>
              <w:sz w:val="30"/>
              <w:szCs w:val="30"/>
            </w:rPr>
            <w:fldChar w:fldCharType="separate"/>
          </w:r>
          <w:r>
            <w:rPr>
              <w:rFonts w:hint="eastAsia" w:ascii="仿宋" w:hAnsi="仿宋" w:eastAsia="仿宋" w:cs="仿宋"/>
              <w:bCs/>
              <w:sz w:val="30"/>
              <w:szCs w:val="30"/>
              <w:lang w:val="en-US" w:eastAsia="zh-CN"/>
            </w:rPr>
            <w:t>五、</w:t>
          </w:r>
          <w:r>
            <w:rPr>
              <w:rFonts w:hint="eastAsia" w:ascii="仿宋" w:hAnsi="仿宋" w:eastAsia="仿宋" w:cs="仿宋"/>
              <w:bCs/>
              <w:sz w:val="30"/>
              <w:szCs w:val="30"/>
            </w:rPr>
            <w:t>绩效评价依据</w:t>
          </w:r>
          <w:r>
            <w:rPr>
              <w:rFonts w:hint="eastAsia" w:ascii="仿宋" w:hAnsi="仿宋" w:eastAsia="仿宋" w:cs="仿宋"/>
              <w:sz w:val="30"/>
              <w:szCs w:val="30"/>
            </w:rPr>
            <w:tab/>
          </w:r>
          <w:r>
            <w:rPr>
              <w:rFonts w:hint="eastAsia" w:ascii="仿宋" w:hAnsi="仿宋" w:eastAsia="仿宋" w:cs="仿宋"/>
              <w:sz w:val="30"/>
              <w:szCs w:val="30"/>
            </w:rPr>
            <w:fldChar w:fldCharType="begin"/>
          </w:r>
          <w:r>
            <w:rPr>
              <w:rFonts w:hint="eastAsia" w:ascii="仿宋" w:hAnsi="仿宋" w:eastAsia="仿宋" w:cs="仿宋"/>
              <w:sz w:val="30"/>
              <w:szCs w:val="30"/>
            </w:rPr>
            <w:instrText xml:space="preserve"> PAGEREF _Toc10581 \h </w:instrText>
          </w:r>
          <w:r>
            <w:rPr>
              <w:rFonts w:hint="eastAsia" w:ascii="仿宋" w:hAnsi="仿宋" w:eastAsia="仿宋" w:cs="仿宋"/>
              <w:sz w:val="30"/>
              <w:szCs w:val="30"/>
            </w:rPr>
            <w:fldChar w:fldCharType="separate"/>
          </w:r>
          <w:r>
            <w:rPr>
              <w:rFonts w:hint="eastAsia" w:ascii="仿宋" w:hAnsi="仿宋" w:eastAsia="仿宋" w:cs="仿宋"/>
              <w:sz w:val="30"/>
              <w:szCs w:val="30"/>
            </w:rPr>
            <w:t>10</w:t>
          </w:r>
          <w:r>
            <w:rPr>
              <w:rFonts w:hint="eastAsia" w:ascii="仿宋" w:hAnsi="仿宋" w:eastAsia="仿宋" w:cs="仿宋"/>
              <w:sz w:val="30"/>
              <w:szCs w:val="30"/>
            </w:rPr>
            <w:fldChar w:fldCharType="end"/>
          </w:r>
          <w:r>
            <w:rPr>
              <w:rFonts w:hint="eastAsia" w:ascii="仿宋" w:hAnsi="仿宋" w:eastAsia="仿宋" w:cs="仿宋"/>
              <w:sz w:val="30"/>
              <w:szCs w:val="30"/>
            </w:rPr>
            <w:fldChar w:fldCharType="end"/>
          </w:r>
        </w:p>
        <w:p>
          <w:pPr>
            <w:pStyle w:val="32"/>
            <w:tabs>
              <w:tab w:val="right" w:leader="dot" w:pos="9298"/>
            </w:tabs>
            <w:rPr>
              <w:rFonts w:hint="eastAsia" w:ascii="仿宋" w:hAnsi="仿宋" w:eastAsia="仿宋" w:cs="仿宋"/>
              <w:sz w:val="30"/>
              <w:szCs w:val="30"/>
            </w:rPr>
          </w:pPr>
        </w:p>
        <w:p>
          <w:pPr>
            <w:pStyle w:val="32"/>
            <w:tabs>
              <w:tab w:val="right" w:leader="dot" w:pos="9298"/>
            </w:tabs>
            <w:rPr>
              <w:rFonts w:hint="eastAsia" w:ascii="仿宋" w:hAnsi="仿宋" w:eastAsia="仿宋" w:cs="仿宋"/>
              <w:sz w:val="30"/>
              <w:szCs w:val="30"/>
            </w:rPr>
          </w:pPr>
          <w:r>
            <w:rPr>
              <w:rFonts w:hint="eastAsia" w:ascii="仿宋" w:hAnsi="仿宋" w:eastAsia="仿宋" w:cs="仿宋"/>
              <w:sz w:val="30"/>
              <w:szCs w:val="30"/>
            </w:rPr>
            <w:fldChar w:fldCharType="begin"/>
          </w:r>
          <w:r>
            <w:rPr>
              <w:rFonts w:hint="eastAsia" w:ascii="仿宋" w:hAnsi="仿宋" w:eastAsia="仿宋" w:cs="仿宋"/>
              <w:sz w:val="30"/>
              <w:szCs w:val="30"/>
            </w:rPr>
            <w:instrText xml:space="preserve"> HYPERLINK \l _Toc2211 </w:instrText>
          </w:r>
          <w:r>
            <w:rPr>
              <w:rFonts w:hint="eastAsia" w:ascii="仿宋" w:hAnsi="仿宋" w:eastAsia="仿宋" w:cs="仿宋"/>
              <w:sz w:val="30"/>
              <w:szCs w:val="30"/>
            </w:rPr>
            <w:fldChar w:fldCharType="separate"/>
          </w:r>
          <w:r>
            <w:rPr>
              <w:rFonts w:hint="eastAsia" w:ascii="仿宋" w:hAnsi="仿宋" w:eastAsia="仿宋" w:cs="仿宋"/>
              <w:sz w:val="30"/>
              <w:szCs w:val="30"/>
              <w:lang w:val="en-US" w:eastAsia="zh-CN"/>
            </w:rPr>
            <w:t>六</w:t>
          </w:r>
          <w:r>
            <w:rPr>
              <w:rFonts w:hint="eastAsia" w:ascii="仿宋" w:hAnsi="仿宋" w:eastAsia="仿宋" w:cs="仿宋"/>
              <w:sz w:val="30"/>
              <w:szCs w:val="30"/>
            </w:rPr>
            <w:t>、项目综合评价结论和评价等级</w:t>
          </w:r>
          <w:r>
            <w:rPr>
              <w:rFonts w:hint="eastAsia" w:ascii="仿宋" w:hAnsi="仿宋" w:eastAsia="仿宋" w:cs="仿宋"/>
              <w:sz w:val="30"/>
              <w:szCs w:val="30"/>
            </w:rPr>
            <w:tab/>
          </w:r>
          <w:r>
            <w:rPr>
              <w:rFonts w:hint="eastAsia" w:ascii="仿宋" w:hAnsi="仿宋" w:eastAsia="仿宋" w:cs="仿宋"/>
              <w:sz w:val="30"/>
              <w:szCs w:val="30"/>
            </w:rPr>
            <w:fldChar w:fldCharType="begin"/>
          </w:r>
          <w:r>
            <w:rPr>
              <w:rFonts w:hint="eastAsia" w:ascii="仿宋" w:hAnsi="仿宋" w:eastAsia="仿宋" w:cs="仿宋"/>
              <w:sz w:val="30"/>
              <w:szCs w:val="30"/>
            </w:rPr>
            <w:instrText xml:space="preserve"> PAGEREF _Toc2211 \h </w:instrText>
          </w:r>
          <w:r>
            <w:rPr>
              <w:rFonts w:hint="eastAsia" w:ascii="仿宋" w:hAnsi="仿宋" w:eastAsia="仿宋" w:cs="仿宋"/>
              <w:sz w:val="30"/>
              <w:szCs w:val="30"/>
            </w:rPr>
            <w:fldChar w:fldCharType="separate"/>
          </w:r>
          <w:r>
            <w:rPr>
              <w:rFonts w:hint="eastAsia" w:ascii="仿宋" w:hAnsi="仿宋" w:eastAsia="仿宋" w:cs="仿宋"/>
              <w:sz w:val="30"/>
              <w:szCs w:val="30"/>
            </w:rPr>
            <w:t>11</w:t>
          </w:r>
          <w:r>
            <w:rPr>
              <w:rFonts w:hint="eastAsia" w:ascii="仿宋" w:hAnsi="仿宋" w:eastAsia="仿宋" w:cs="仿宋"/>
              <w:sz w:val="30"/>
              <w:szCs w:val="30"/>
            </w:rPr>
            <w:fldChar w:fldCharType="end"/>
          </w:r>
          <w:r>
            <w:rPr>
              <w:rFonts w:hint="eastAsia" w:ascii="仿宋" w:hAnsi="仿宋" w:eastAsia="仿宋" w:cs="仿宋"/>
              <w:sz w:val="30"/>
              <w:szCs w:val="30"/>
            </w:rPr>
            <w:fldChar w:fldCharType="end"/>
          </w:r>
        </w:p>
        <w:p>
          <w:pPr>
            <w:pStyle w:val="32"/>
            <w:tabs>
              <w:tab w:val="right" w:leader="dot" w:pos="9298"/>
            </w:tabs>
            <w:rPr>
              <w:rFonts w:hint="eastAsia" w:ascii="仿宋" w:hAnsi="仿宋" w:eastAsia="仿宋" w:cs="仿宋"/>
              <w:sz w:val="30"/>
              <w:szCs w:val="30"/>
            </w:rPr>
          </w:pPr>
        </w:p>
        <w:p>
          <w:pPr>
            <w:pStyle w:val="32"/>
            <w:tabs>
              <w:tab w:val="right" w:leader="dot" w:pos="9298"/>
            </w:tabs>
            <w:rPr>
              <w:rFonts w:hint="eastAsia" w:ascii="仿宋" w:hAnsi="仿宋" w:eastAsia="仿宋" w:cs="仿宋"/>
              <w:sz w:val="30"/>
              <w:szCs w:val="30"/>
            </w:rPr>
          </w:pPr>
          <w:r>
            <w:rPr>
              <w:rFonts w:hint="eastAsia" w:ascii="仿宋" w:hAnsi="仿宋" w:eastAsia="仿宋" w:cs="仿宋"/>
              <w:sz w:val="30"/>
              <w:szCs w:val="30"/>
            </w:rPr>
            <w:fldChar w:fldCharType="begin"/>
          </w:r>
          <w:r>
            <w:rPr>
              <w:rFonts w:hint="eastAsia" w:ascii="仿宋" w:hAnsi="仿宋" w:eastAsia="仿宋" w:cs="仿宋"/>
              <w:sz w:val="30"/>
              <w:szCs w:val="30"/>
            </w:rPr>
            <w:instrText xml:space="preserve"> HYPERLINK \l _Toc30518 </w:instrText>
          </w:r>
          <w:r>
            <w:rPr>
              <w:rFonts w:hint="eastAsia" w:ascii="仿宋" w:hAnsi="仿宋" w:eastAsia="仿宋" w:cs="仿宋"/>
              <w:sz w:val="30"/>
              <w:szCs w:val="30"/>
            </w:rPr>
            <w:fldChar w:fldCharType="separate"/>
          </w:r>
          <w:r>
            <w:rPr>
              <w:rFonts w:hint="eastAsia" w:ascii="仿宋" w:hAnsi="仿宋" w:eastAsia="仿宋" w:cs="仿宋"/>
              <w:bCs/>
              <w:sz w:val="30"/>
              <w:szCs w:val="30"/>
              <w:lang w:val="en-US" w:eastAsia="zh-CN"/>
            </w:rPr>
            <w:t>七</w:t>
          </w:r>
          <w:r>
            <w:rPr>
              <w:rFonts w:hint="eastAsia" w:ascii="仿宋" w:hAnsi="仿宋" w:eastAsia="仿宋" w:cs="仿宋"/>
              <w:bCs/>
              <w:sz w:val="30"/>
              <w:szCs w:val="30"/>
            </w:rPr>
            <w:t>、存在的问题及改进措施</w:t>
          </w:r>
          <w:r>
            <w:rPr>
              <w:rFonts w:hint="eastAsia" w:ascii="仿宋" w:hAnsi="仿宋" w:eastAsia="仿宋" w:cs="仿宋"/>
              <w:sz w:val="30"/>
              <w:szCs w:val="30"/>
            </w:rPr>
            <w:tab/>
          </w:r>
          <w:r>
            <w:rPr>
              <w:rFonts w:hint="eastAsia" w:ascii="仿宋" w:hAnsi="仿宋" w:eastAsia="仿宋" w:cs="仿宋"/>
              <w:sz w:val="30"/>
              <w:szCs w:val="30"/>
            </w:rPr>
            <w:fldChar w:fldCharType="begin"/>
          </w:r>
          <w:r>
            <w:rPr>
              <w:rFonts w:hint="eastAsia" w:ascii="仿宋" w:hAnsi="仿宋" w:eastAsia="仿宋" w:cs="仿宋"/>
              <w:sz w:val="30"/>
              <w:szCs w:val="30"/>
            </w:rPr>
            <w:instrText xml:space="preserve"> PAGEREF _Toc30518 \h </w:instrText>
          </w:r>
          <w:r>
            <w:rPr>
              <w:rFonts w:hint="eastAsia" w:ascii="仿宋" w:hAnsi="仿宋" w:eastAsia="仿宋" w:cs="仿宋"/>
              <w:sz w:val="30"/>
              <w:szCs w:val="30"/>
            </w:rPr>
            <w:fldChar w:fldCharType="separate"/>
          </w:r>
          <w:r>
            <w:rPr>
              <w:rFonts w:hint="eastAsia" w:ascii="仿宋" w:hAnsi="仿宋" w:eastAsia="仿宋" w:cs="仿宋"/>
              <w:sz w:val="30"/>
              <w:szCs w:val="30"/>
            </w:rPr>
            <w:t>11</w:t>
          </w:r>
          <w:r>
            <w:rPr>
              <w:rFonts w:hint="eastAsia" w:ascii="仿宋" w:hAnsi="仿宋" w:eastAsia="仿宋" w:cs="仿宋"/>
              <w:sz w:val="30"/>
              <w:szCs w:val="30"/>
            </w:rPr>
            <w:fldChar w:fldCharType="end"/>
          </w:r>
          <w:r>
            <w:rPr>
              <w:rFonts w:hint="eastAsia" w:ascii="仿宋" w:hAnsi="仿宋" w:eastAsia="仿宋" w:cs="仿宋"/>
              <w:sz w:val="30"/>
              <w:szCs w:val="30"/>
            </w:rPr>
            <w:fldChar w:fldCharType="end"/>
          </w:r>
        </w:p>
        <w:p>
          <w:pPr>
            <w:pStyle w:val="32"/>
            <w:tabs>
              <w:tab w:val="right" w:leader="dot" w:pos="9298"/>
            </w:tabs>
            <w:rPr>
              <w:rFonts w:hint="eastAsia" w:ascii="仿宋" w:hAnsi="仿宋" w:eastAsia="仿宋" w:cs="仿宋"/>
              <w:sz w:val="30"/>
              <w:szCs w:val="30"/>
            </w:rPr>
          </w:pPr>
        </w:p>
        <w:p>
          <w:pPr>
            <w:pStyle w:val="32"/>
            <w:tabs>
              <w:tab w:val="right" w:leader="dot" w:pos="9298"/>
            </w:tabs>
            <w:rPr>
              <w:rFonts w:hint="eastAsia" w:ascii="仿宋" w:hAnsi="仿宋" w:eastAsia="仿宋" w:cs="仿宋"/>
              <w:sz w:val="30"/>
              <w:szCs w:val="30"/>
            </w:rPr>
          </w:pPr>
          <w:r>
            <w:rPr>
              <w:rFonts w:hint="eastAsia" w:ascii="仿宋" w:hAnsi="仿宋" w:eastAsia="仿宋" w:cs="仿宋"/>
              <w:sz w:val="30"/>
              <w:szCs w:val="30"/>
            </w:rPr>
            <w:fldChar w:fldCharType="begin"/>
          </w:r>
          <w:r>
            <w:rPr>
              <w:rFonts w:hint="eastAsia" w:ascii="仿宋" w:hAnsi="仿宋" w:eastAsia="仿宋" w:cs="仿宋"/>
              <w:sz w:val="30"/>
              <w:szCs w:val="30"/>
            </w:rPr>
            <w:instrText xml:space="preserve"> HYPERLINK \l _Toc23781 </w:instrText>
          </w:r>
          <w:r>
            <w:rPr>
              <w:rFonts w:hint="eastAsia" w:ascii="仿宋" w:hAnsi="仿宋" w:eastAsia="仿宋" w:cs="仿宋"/>
              <w:sz w:val="30"/>
              <w:szCs w:val="30"/>
            </w:rPr>
            <w:fldChar w:fldCharType="separate"/>
          </w:r>
          <w:r>
            <w:rPr>
              <w:rFonts w:hint="eastAsia" w:ascii="仿宋" w:hAnsi="仿宋" w:eastAsia="仿宋" w:cs="仿宋"/>
              <w:kern w:val="2"/>
              <w:sz w:val="30"/>
              <w:szCs w:val="30"/>
            </w:rPr>
            <w:t>附件：绩效评价指标体系及评分情况表</w:t>
          </w:r>
          <w:r>
            <w:rPr>
              <w:rFonts w:hint="eastAsia" w:ascii="仿宋" w:hAnsi="仿宋" w:eastAsia="仿宋" w:cs="仿宋"/>
              <w:sz w:val="30"/>
              <w:szCs w:val="30"/>
            </w:rPr>
            <w:tab/>
          </w:r>
          <w:r>
            <w:rPr>
              <w:rFonts w:hint="eastAsia" w:ascii="仿宋" w:hAnsi="仿宋" w:eastAsia="仿宋" w:cs="仿宋"/>
              <w:sz w:val="30"/>
              <w:szCs w:val="30"/>
            </w:rPr>
            <w:fldChar w:fldCharType="begin"/>
          </w:r>
          <w:r>
            <w:rPr>
              <w:rFonts w:hint="eastAsia" w:ascii="仿宋" w:hAnsi="仿宋" w:eastAsia="仿宋" w:cs="仿宋"/>
              <w:sz w:val="30"/>
              <w:szCs w:val="30"/>
            </w:rPr>
            <w:instrText xml:space="preserve"> PAGEREF _Toc23781 \h </w:instrText>
          </w:r>
          <w:r>
            <w:rPr>
              <w:rFonts w:hint="eastAsia" w:ascii="仿宋" w:hAnsi="仿宋" w:eastAsia="仿宋" w:cs="仿宋"/>
              <w:sz w:val="30"/>
              <w:szCs w:val="30"/>
            </w:rPr>
            <w:fldChar w:fldCharType="separate"/>
          </w:r>
          <w:r>
            <w:rPr>
              <w:rFonts w:hint="eastAsia" w:ascii="仿宋" w:hAnsi="仿宋" w:eastAsia="仿宋" w:cs="仿宋"/>
              <w:sz w:val="30"/>
              <w:szCs w:val="30"/>
            </w:rPr>
            <w:t>12</w:t>
          </w:r>
          <w:r>
            <w:rPr>
              <w:rFonts w:hint="eastAsia" w:ascii="仿宋" w:hAnsi="仿宋" w:eastAsia="仿宋" w:cs="仿宋"/>
              <w:sz w:val="30"/>
              <w:szCs w:val="30"/>
            </w:rPr>
            <w:fldChar w:fldCharType="end"/>
          </w:r>
          <w:r>
            <w:rPr>
              <w:rFonts w:hint="eastAsia" w:ascii="仿宋" w:hAnsi="仿宋" w:eastAsia="仿宋" w:cs="仿宋"/>
              <w:sz w:val="30"/>
              <w:szCs w:val="30"/>
            </w:rPr>
            <w:fldChar w:fldCharType="end"/>
          </w:r>
        </w:p>
        <w:p>
          <w:pPr>
            <w:rPr>
              <w:rFonts w:hint="eastAsia" w:ascii="仿宋" w:hAnsi="仿宋" w:eastAsia="仿宋" w:cs="仿宋"/>
              <w:sz w:val="30"/>
              <w:szCs w:val="30"/>
            </w:rPr>
          </w:pPr>
          <w:r>
            <w:rPr>
              <w:rFonts w:hint="eastAsia" w:ascii="仿宋" w:hAnsi="仿宋" w:eastAsia="仿宋" w:cs="仿宋"/>
              <w:sz w:val="30"/>
              <w:szCs w:val="30"/>
            </w:rPr>
            <w:fldChar w:fldCharType="end"/>
          </w:r>
        </w:p>
      </w:sdtContent>
    </w:sdt>
    <w:p>
      <w:pPr>
        <w:pStyle w:val="2"/>
        <w:rPr>
          <w:rFonts w:hint="eastAsia" w:ascii="仿宋" w:hAnsi="仿宋" w:eastAsia="仿宋" w:cs="仿宋"/>
          <w:sz w:val="30"/>
          <w:szCs w:val="30"/>
        </w:rPr>
      </w:pPr>
    </w:p>
    <w:p>
      <w:pPr>
        <w:rPr>
          <w:rFonts w:hint="eastAsia" w:ascii="仿宋" w:hAnsi="仿宋" w:eastAsia="仿宋" w:cs="仿宋"/>
          <w:sz w:val="30"/>
          <w:szCs w:val="30"/>
        </w:rPr>
      </w:pPr>
    </w:p>
    <w:p>
      <w:pPr>
        <w:pStyle w:val="2"/>
        <w:rPr>
          <w:rFonts w:hint="eastAsia" w:ascii="仿宋" w:hAnsi="仿宋" w:eastAsia="仿宋" w:cs="仿宋"/>
          <w:sz w:val="30"/>
          <w:szCs w:val="30"/>
        </w:rPr>
      </w:pPr>
    </w:p>
    <w:p>
      <w:pPr>
        <w:sectPr>
          <w:footerReference r:id="rId8" w:type="first"/>
          <w:footerReference r:id="rId7" w:type="default"/>
          <w:pgSz w:w="11906" w:h="16838"/>
          <w:pgMar w:top="1077" w:right="1304" w:bottom="1077" w:left="1304" w:header="1134" w:footer="680" w:gutter="0"/>
          <w:pgBorders>
            <w:top w:val="none" w:sz="0" w:space="0"/>
            <w:left w:val="none" w:sz="0" w:space="0"/>
            <w:bottom w:val="none" w:sz="0" w:space="0"/>
            <w:right w:val="none" w:sz="0" w:space="0"/>
          </w:pgBorders>
          <w:pgNumType w:start="1"/>
          <w:cols w:space="720" w:num="1"/>
          <w:docGrid w:type="lines" w:linePitch="312" w:charSpace="0"/>
        </w:sectPr>
      </w:pPr>
    </w:p>
    <w:p>
      <w:pPr>
        <w:pStyle w:val="2"/>
      </w:pPr>
    </w:p>
    <w:p>
      <w:pPr>
        <w:spacing w:line="560" w:lineRule="exact"/>
        <w:jc w:val="center"/>
        <w:outlineLvl w:val="0"/>
        <w:rPr>
          <w:rFonts w:hint="eastAsia" w:ascii="仿宋" w:hAnsi="仿宋" w:eastAsia="仿宋" w:cs="仿宋"/>
          <w:b/>
          <w:bCs w:val="0"/>
          <w:sz w:val="36"/>
          <w:szCs w:val="36"/>
        </w:rPr>
      </w:pPr>
      <w:r>
        <w:rPr>
          <w:rFonts w:hint="eastAsia" w:ascii="仿宋" w:hAnsi="仿宋" w:eastAsia="仿宋" w:cs="仿宋"/>
          <w:b/>
          <w:bCs w:val="0"/>
          <w:sz w:val="36"/>
          <w:szCs w:val="36"/>
        </w:rPr>
        <w:t>特岗教师工资待遇资金</w:t>
      </w:r>
      <w:r>
        <w:rPr>
          <w:rFonts w:hint="eastAsia" w:ascii="仿宋" w:hAnsi="仿宋" w:eastAsia="仿宋" w:cs="仿宋"/>
          <w:b/>
          <w:bCs w:val="0"/>
          <w:sz w:val="36"/>
          <w:szCs w:val="36"/>
          <w:lang w:eastAsia="zh-CN"/>
        </w:rPr>
        <w:t>（</w:t>
      </w:r>
      <w:r>
        <w:rPr>
          <w:rFonts w:hint="eastAsia" w:ascii="仿宋" w:hAnsi="仿宋" w:eastAsia="仿宋" w:cs="仿宋"/>
          <w:b/>
          <w:bCs w:val="0"/>
          <w:sz w:val="36"/>
          <w:szCs w:val="36"/>
          <w:lang w:val="en-US" w:eastAsia="zh-CN"/>
        </w:rPr>
        <w:t>中央直达</w:t>
      </w:r>
      <w:r>
        <w:rPr>
          <w:rFonts w:hint="eastAsia" w:ascii="仿宋" w:hAnsi="仿宋" w:eastAsia="仿宋" w:cs="仿宋"/>
          <w:b/>
          <w:bCs w:val="0"/>
          <w:sz w:val="36"/>
          <w:szCs w:val="36"/>
          <w:lang w:eastAsia="zh-CN"/>
        </w:rPr>
        <w:t>）</w:t>
      </w:r>
      <w:r>
        <w:rPr>
          <w:rFonts w:hint="eastAsia" w:ascii="仿宋" w:hAnsi="仿宋" w:eastAsia="仿宋" w:cs="仿宋"/>
          <w:b/>
          <w:bCs w:val="0"/>
          <w:sz w:val="36"/>
          <w:szCs w:val="36"/>
        </w:rPr>
        <w:t>项目</w:t>
      </w:r>
    </w:p>
    <w:p>
      <w:pPr>
        <w:spacing w:after="156" w:line="560" w:lineRule="exact"/>
        <w:ind w:left="-359" w:leftChars="-171"/>
        <w:jc w:val="center"/>
        <w:outlineLvl w:val="0"/>
        <w:rPr>
          <w:rFonts w:hint="eastAsia" w:ascii="仿宋" w:hAnsi="仿宋" w:eastAsia="仿宋" w:cs="仿宋"/>
          <w:b/>
          <w:bCs w:val="0"/>
          <w:sz w:val="36"/>
          <w:szCs w:val="36"/>
        </w:rPr>
      </w:pPr>
      <w:bookmarkStart w:id="0" w:name="_Toc12514"/>
      <w:bookmarkStart w:id="1" w:name="_Toc2651"/>
      <w:r>
        <w:rPr>
          <w:rFonts w:hint="eastAsia" w:ascii="仿宋" w:hAnsi="仿宋" w:eastAsia="仿宋" w:cs="仿宋"/>
          <w:b/>
          <w:bCs w:val="0"/>
          <w:sz w:val="36"/>
          <w:szCs w:val="36"/>
        </w:rPr>
        <w:t>绩效评价报告</w:t>
      </w:r>
      <w:bookmarkEnd w:id="0"/>
      <w:bookmarkEnd w:id="1"/>
    </w:p>
    <w:p>
      <w:pPr>
        <w:spacing w:afterLines="50" w:line="560" w:lineRule="exact"/>
        <w:ind w:firstLine="1239" w:firstLineChars="590"/>
        <w:rPr>
          <w:rFonts w:hint="eastAsia" w:ascii="仿宋" w:hAnsi="仿宋" w:eastAsia="仿宋" w:cs="仿宋"/>
          <w:sz w:val="24"/>
          <w:szCs w:val="24"/>
        </w:rPr>
      </w:pPr>
      <w:r>
        <w:rPr>
          <w:rFonts w:hint="eastAsia"/>
        </w:rPr>
        <w:t xml:space="preserve">                                          </w:t>
      </w:r>
      <w:r>
        <w:rPr>
          <w:rFonts w:hint="eastAsia" w:ascii="仿宋" w:hAnsi="仿宋" w:eastAsia="仿宋" w:cs="仿宋"/>
          <w:sz w:val="24"/>
          <w:szCs w:val="24"/>
        </w:rPr>
        <w:t xml:space="preserve"> </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rPr>
      </w:pPr>
      <w:r>
        <w:rPr>
          <w:rFonts w:hint="eastAsia" w:ascii="仿宋" w:hAnsi="仿宋" w:eastAsia="仿宋" w:cs="仿宋"/>
          <w:sz w:val="30"/>
          <w:szCs w:val="30"/>
          <w:lang w:eastAsia="zh-CN"/>
        </w:rPr>
        <w:t>根据《曲阳县财政局关于印发</w:t>
      </w:r>
      <w:r>
        <w:rPr>
          <w:rFonts w:hint="eastAsia" w:ascii="仿宋" w:hAnsi="仿宋" w:eastAsia="仿宋" w:cs="仿宋"/>
          <w:sz w:val="30"/>
          <w:szCs w:val="30"/>
          <w:lang w:val="en-US" w:eastAsia="zh-CN"/>
        </w:rPr>
        <w:t>2022年县级财政重点绩效评价计划的通知</w:t>
      </w:r>
      <w:r>
        <w:rPr>
          <w:rFonts w:hint="eastAsia" w:ascii="仿宋" w:hAnsi="仿宋" w:eastAsia="仿宋" w:cs="仿宋"/>
          <w:sz w:val="30"/>
          <w:szCs w:val="30"/>
          <w:lang w:eastAsia="zh-CN"/>
        </w:rPr>
        <w:t>》</w:t>
      </w:r>
      <w:r>
        <w:rPr>
          <w:rFonts w:hint="eastAsia" w:ascii="仿宋" w:hAnsi="仿宋" w:eastAsia="仿宋" w:cs="仿宋"/>
          <w:sz w:val="30"/>
          <w:szCs w:val="30"/>
          <w:lang w:val="en-US" w:eastAsia="zh-CN"/>
        </w:rPr>
        <w:t>(</w:t>
      </w:r>
      <w:r>
        <w:rPr>
          <w:rFonts w:hint="eastAsia" w:ascii="仿宋" w:hAnsi="仿宋" w:eastAsia="仿宋" w:cs="仿宋"/>
          <w:sz w:val="30"/>
          <w:szCs w:val="30"/>
          <w:lang w:eastAsia="zh-CN"/>
        </w:rPr>
        <w:t>曲财</w:t>
      </w:r>
      <w:r>
        <w:rPr>
          <w:rFonts w:hint="eastAsia" w:ascii="仿宋" w:hAnsi="仿宋" w:eastAsia="仿宋" w:cs="仿宋"/>
          <w:sz w:val="30"/>
          <w:szCs w:val="30"/>
          <w:lang w:val="en-US" w:eastAsia="zh-CN"/>
        </w:rPr>
        <w:t>[2022] 54号),</w:t>
      </w:r>
      <w:r>
        <w:rPr>
          <w:rFonts w:hint="eastAsia" w:ascii="仿宋" w:hAnsi="仿宋" w:eastAsia="仿宋" w:cs="仿宋"/>
          <w:sz w:val="30"/>
          <w:szCs w:val="30"/>
        </w:rPr>
        <w:t>对曲阳县教育和体育局承担的特岗教师工资待遇资金</w:t>
      </w:r>
      <w:r>
        <w:rPr>
          <w:rFonts w:hint="eastAsia" w:ascii="仿宋" w:hAnsi="仿宋" w:eastAsia="仿宋" w:cs="仿宋"/>
          <w:sz w:val="30"/>
          <w:szCs w:val="30"/>
          <w:lang w:eastAsia="zh-CN"/>
        </w:rPr>
        <w:t>（</w:t>
      </w:r>
      <w:r>
        <w:rPr>
          <w:rFonts w:hint="eastAsia" w:ascii="仿宋" w:hAnsi="仿宋" w:eastAsia="仿宋" w:cs="仿宋"/>
          <w:sz w:val="30"/>
          <w:szCs w:val="30"/>
          <w:lang w:val="en-US" w:eastAsia="zh-CN"/>
        </w:rPr>
        <w:t>中央直达</w:t>
      </w:r>
      <w:r>
        <w:rPr>
          <w:rFonts w:hint="eastAsia" w:ascii="仿宋" w:hAnsi="仿宋" w:eastAsia="仿宋" w:cs="仿宋"/>
          <w:sz w:val="30"/>
          <w:szCs w:val="30"/>
          <w:lang w:eastAsia="zh-CN"/>
        </w:rPr>
        <w:t>）</w:t>
      </w:r>
      <w:r>
        <w:rPr>
          <w:rFonts w:hint="eastAsia" w:ascii="仿宋" w:hAnsi="仿宋" w:eastAsia="仿宋" w:cs="仿宋"/>
          <w:sz w:val="30"/>
          <w:szCs w:val="30"/>
        </w:rPr>
        <w:t>项目（以下简称“该项目”）的具体实施情况进行了绩效评价。曲阳县教育和体育局和相关单位提供与绩效评价有关的项目资料，并对其真实性、完整性、合法性负责，根据项目相关资料，对该项目的项目投入、项目过程管理、项目产出、项目效益四个方面和执行国家法律、法规的情况发表评价意见。</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color w:val="000000"/>
          <w:sz w:val="30"/>
          <w:szCs w:val="30"/>
        </w:rPr>
      </w:pPr>
      <w:r>
        <w:rPr>
          <w:rFonts w:hint="eastAsia" w:ascii="仿宋" w:hAnsi="仿宋" w:eastAsia="仿宋" w:cs="仿宋"/>
          <w:sz w:val="30"/>
          <w:szCs w:val="30"/>
          <w:lang w:eastAsia="zh-CN"/>
        </w:rPr>
        <w:t>本次</w:t>
      </w:r>
      <w:r>
        <w:rPr>
          <w:rFonts w:hint="eastAsia" w:ascii="仿宋" w:hAnsi="仿宋" w:eastAsia="仿宋" w:cs="仿宋"/>
          <w:sz w:val="30"/>
          <w:szCs w:val="30"/>
        </w:rPr>
        <w:t>绩效评价工作是依据</w:t>
      </w:r>
      <w:r>
        <w:rPr>
          <w:rFonts w:hint="eastAsia" w:ascii="仿宋" w:hAnsi="仿宋" w:eastAsia="仿宋" w:cs="仿宋"/>
          <w:sz w:val="30"/>
          <w:szCs w:val="30"/>
          <w:lang w:eastAsia="zh-CN"/>
        </w:rPr>
        <w:t>《河北省财政厅关于加强和改进预算绩效重点评价工作进一步提高评价质量的意见》（冀财绩</w:t>
      </w:r>
      <w:r>
        <w:rPr>
          <w:rFonts w:hint="eastAsia" w:ascii="仿宋" w:hAnsi="仿宋" w:eastAsia="仿宋" w:cs="仿宋"/>
          <w:sz w:val="30"/>
          <w:szCs w:val="30"/>
          <w:lang w:val="en-US" w:eastAsia="zh-CN"/>
        </w:rPr>
        <w:t>[2020]3号</w:t>
      </w:r>
      <w:r>
        <w:rPr>
          <w:rFonts w:hint="eastAsia" w:ascii="仿宋" w:hAnsi="仿宋" w:eastAsia="仿宋" w:cs="仿宋"/>
          <w:sz w:val="30"/>
          <w:szCs w:val="30"/>
          <w:lang w:eastAsia="zh-CN"/>
        </w:rPr>
        <w:t>），《曲阳县县级预算绩效重点评价管理办法》（曲财</w:t>
      </w:r>
      <w:r>
        <w:rPr>
          <w:rFonts w:hint="eastAsia" w:ascii="仿宋" w:hAnsi="仿宋" w:eastAsia="仿宋" w:cs="仿宋"/>
          <w:sz w:val="30"/>
          <w:szCs w:val="30"/>
          <w:lang w:val="en-US" w:eastAsia="zh-CN"/>
        </w:rPr>
        <w:t>[2020]16号</w:t>
      </w:r>
      <w:r>
        <w:rPr>
          <w:rFonts w:hint="eastAsia" w:ascii="仿宋" w:hAnsi="仿宋" w:eastAsia="仿宋" w:cs="仿宋"/>
          <w:sz w:val="30"/>
          <w:szCs w:val="30"/>
          <w:lang w:eastAsia="zh-CN"/>
        </w:rPr>
        <w:t>）等规定</w:t>
      </w:r>
      <w:r>
        <w:rPr>
          <w:rFonts w:hint="eastAsia" w:ascii="仿宋" w:hAnsi="仿宋" w:eastAsia="仿宋" w:cs="仿宋"/>
          <w:sz w:val="30"/>
          <w:szCs w:val="30"/>
        </w:rPr>
        <w:t>进行的。在评价工作中，我们结合该项目的实际情况制定了绩效评价指标体系，实施了包括资料查看、现场检查、问卷调查等我们认为必要的评价手段。绩效评价工作现已完成，具体</w:t>
      </w:r>
      <w:r>
        <w:rPr>
          <w:rFonts w:hint="eastAsia" w:ascii="仿宋" w:hAnsi="仿宋" w:eastAsia="仿宋" w:cs="仿宋"/>
          <w:color w:val="000000"/>
          <w:sz w:val="30"/>
          <w:szCs w:val="30"/>
        </w:rPr>
        <w:t>评价情况汇总如下：</w:t>
      </w:r>
    </w:p>
    <w:p>
      <w:pPr>
        <w:pageBreakBefore w:val="0"/>
        <w:kinsoku/>
        <w:wordWrap/>
        <w:overflowPunct/>
        <w:topLinePunct w:val="0"/>
        <w:autoSpaceDE/>
        <w:autoSpaceDN/>
        <w:bidi w:val="0"/>
        <w:adjustRightInd/>
        <w:snapToGrid/>
        <w:spacing w:line="560" w:lineRule="exact"/>
        <w:ind w:firstLine="643" w:firstLineChars="200"/>
        <w:outlineLvl w:val="0"/>
        <w:rPr>
          <w:rFonts w:hint="eastAsia" w:ascii="仿宋" w:hAnsi="仿宋" w:eastAsia="仿宋" w:cs="仿宋"/>
          <w:b/>
          <w:bCs/>
          <w:sz w:val="32"/>
          <w:szCs w:val="32"/>
        </w:rPr>
      </w:pPr>
      <w:bookmarkStart w:id="2" w:name="_Toc30480"/>
      <w:bookmarkStart w:id="3" w:name="_Toc83631027"/>
      <w:bookmarkStart w:id="4" w:name="_Toc83630317"/>
      <w:bookmarkStart w:id="5" w:name="_Toc8967"/>
      <w:r>
        <w:rPr>
          <w:rFonts w:hint="eastAsia" w:ascii="仿宋" w:hAnsi="仿宋" w:eastAsia="仿宋" w:cs="仿宋"/>
          <w:b/>
          <w:bCs/>
          <w:sz w:val="32"/>
          <w:szCs w:val="32"/>
          <w:lang w:val="en-US" w:eastAsia="zh-CN"/>
        </w:rPr>
        <w:t>一、</w:t>
      </w:r>
      <w:r>
        <w:rPr>
          <w:rFonts w:hint="eastAsia" w:ascii="仿宋" w:hAnsi="仿宋" w:eastAsia="仿宋" w:cs="仿宋"/>
          <w:b/>
          <w:bCs/>
          <w:sz w:val="32"/>
          <w:szCs w:val="32"/>
        </w:rPr>
        <w:t>项目概况</w:t>
      </w:r>
      <w:bookmarkEnd w:id="2"/>
      <w:bookmarkEnd w:id="3"/>
      <w:bookmarkEnd w:id="4"/>
      <w:bookmarkEnd w:id="5"/>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为贯彻落实全国教育大会精神和《中共中央 国务院关于全面深化新时代教师队伍建设改革的意见》，吸引优秀大学毕业生到农村学校任教，更好地服务乡村振兴战略和巩固拓展脱贫攻坚成果，根据教育部办公厅、财政部办公厅《关于做好 2021年农村义务教育阶段学校教师特设岗位计划实施工作的通知》(教师厅</w:t>
      </w:r>
      <w:r>
        <w:rPr>
          <w:rFonts w:hint="eastAsia" w:ascii="仿宋" w:hAnsi="仿宋" w:eastAsia="仿宋" w:cs="仿宋"/>
          <w:sz w:val="30"/>
          <w:szCs w:val="30"/>
          <w:lang w:val="en-US" w:eastAsia="zh-CN"/>
        </w:rPr>
        <w:t>[</w:t>
      </w:r>
      <w:r>
        <w:rPr>
          <w:rFonts w:hint="eastAsia" w:ascii="仿宋" w:hAnsi="仿宋" w:eastAsia="仿宋" w:cs="仿宋"/>
          <w:sz w:val="30"/>
          <w:szCs w:val="30"/>
        </w:rPr>
        <w:t>2021</w:t>
      </w:r>
      <w:r>
        <w:rPr>
          <w:rFonts w:hint="eastAsia" w:ascii="仿宋" w:hAnsi="仿宋" w:eastAsia="仿宋" w:cs="仿宋"/>
          <w:sz w:val="30"/>
          <w:szCs w:val="30"/>
          <w:lang w:val="en-US" w:eastAsia="zh-CN"/>
        </w:rPr>
        <w:t>]</w:t>
      </w:r>
      <w:r>
        <w:rPr>
          <w:rFonts w:hint="eastAsia" w:ascii="仿宋" w:hAnsi="仿宋" w:eastAsia="仿宋" w:cs="仿宋"/>
          <w:sz w:val="30"/>
          <w:szCs w:val="30"/>
        </w:rPr>
        <w:t>1号)和《人力资源社会保障部办公厅 教育部办公厅关于做好2021年中小学幼儿园教师公开招聘工作的通知》要求，</w:t>
      </w:r>
      <w:r>
        <w:rPr>
          <w:rFonts w:hint="eastAsia" w:ascii="仿宋" w:hAnsi="仿宋" w:eastAsia="仿宋" w:cs="仿宋"/>
          <w:sz w:val="30"/>
          <w:szCs w:val="30"/>
          <w:lang w:val="en-US" w:eastAsia="zh-CN"/>
        </w:rPr>
        <w:t>河北</w:t>
      </w:r>
      <w:r>
        <w:rPr>
          <w:rFonts w:hint="eastAsia" w:ascii="仿宋" w:hAnsi="仿宋" w:eastAsia="仿宋" w:cs="仿宋"/>
          <w:sz w:val="30"/>
          <w:szCs w:val="30"/>
        </w:rPr>
        <w:t>省</w:t>
      </w:r>
      <w:r>
        <w:rPr>
          <w:rFonts w:hint="eastAsia" w:ascii="仿宋" w:hAnsi="仿宋" w:eastAsia="仿宋" w:cs="仿宋"/>
          <w:sz w:val="30"/>
          <w:szCs w:val="30"/>
          <w:lang w:val="en-US" w:eastAsia="zh-CN"/>
        </w:rPr>
        <w:t>教育厅 河北省财政厅特发《关于做好河北省2021年农村义务教育阶段学校教师特设岗位计划实施工作的通知》（冀教师[2021]11号）</w:t>
      </w:r>
      <w:r>
        <w:rPr>
          <w:rFonts w:hint="eastAsia" w:ascii="仿宋" w:hAnsi="仿宋" w:eastAsia="仿宋" w:cs="仿宋"/>
          <w:sz w:val="30"/>
          <w:szCs w:val="30"/>
        </w:rPr>
        <w:t>。</w:t>
      </w:r>
    </w:p>
    <w:p>
      <w:pPr>
        <w:pageBreakBefore w:val="0"/>
        <w:kinsoku/>
        <w:wordWrap/>
        <w:overflowPunct/>
        <w:topLinePunct w:val="0"/>
        <w:autoSpaceDE/>
        <w:autoSpaceDN/>
        <w:bidi w:val="0"/>
        <w:adjustRightInd/>
        <w:snapToGrid/>
        <w:spacing w:line="560" w:lineRule="exact"/>
        <w:ind w:firstLine="600" w:firstLineChars="200"/>
        <w:rPr>
          <w:rFonts w:hint="default" w:ascii="仿宋" w:hAnsi="仿宋" w:eastAsia="仿宋" w:cs="仿宋"/>
          <w:sz w:val="30"/>
          <w:szCs w:val="30"/>
          <w:lang w:val="en-US"/>
        </w:rPr>
      </w:pPr>
    </w:p>
    <w:p>
      <w:pPr>
        <w:pageBreakBefore w:val="0"/>
        <w:numPr>
          <w:ilvl w:val="0"/>
          <w:numId w:val="0"/>
        </w:numPr>
        <w:kinsoku/>
        <w:wordWrap/>
        <w:overflowPunct/>
        <w:topLinePunct w:val="0"/>
        <w:autoSpaceDE/>
        <w:autoSpaceDN/>
        <w:bidi w:val="0"/>
        <w:adjustRightInd/>
        <w:snapToGrid/>
        <w:spacing w:line="560" w:lineRule="exact"/>
        <w:ind w:firstLine="643" w:firstLineChars="200"/>
        <w:outlineLvl w:val="0"/>
        <w:rPr>
          <w:rFonts w:hint="eastAsia" w:ascii="仿宋" w:hAnsi="仿宋" w:eastAsia="仿宋" w:cs="仿宋"/>
          <w:b/>
          <w:bCs/>
          <w:sz w:val="32"/>
          <w:szCs w:val="32"/>
          <w:highlight w:val="none"/>
        </w:rPr>
      </w:pPr>
      <w:bookmarkStart w:id="6" w:name="_Toc83631028"/>
      <w:bookmarkStart w:id="7" w:name="_Toc25381"/>
      <w:bookmarkStart w:id="8" w:name="_Toc83630318"/>
      <w:bookmarkStart w:id="9" w:name="_Toc19822"/>
      <w:bookmarkStart w:id="10" w:name="_Toc22022"/>
      <w:bookmarkStart w:id="11" w:name="_Toc22961"/>
      <w:r>
        <w:rPr>
          <w:rFonts w:hint="eastAsia" w:ascii="仿宋" w:hAnsi="仿宋" w:eastAsia="仿宋" w:cs="仿宋"/>
          <w:b/>
          <w:bCs/>
          <w:sz w:val="32"/>
          <w:szCs w:val="32"/>
          <w:highlight w:val="none"/>
          <w:lang w:val="en-US" w:eastAsia="zh-CN"/>
        </w:rPr>
        <w:t>二、</w:t>
      </w:r>
      <w:r>
        <w:rPr>
          <w:rFonts w:hint="eastAsia" w:ascii="仿宋" w:hAnsi="仿宋" w:eastAsia="仿宋" w:cs="仿宋"/>
          <w:b/>
          <w:bCs/>
          <w:sz w:val="32"/>
          <w:szCs w:val="32"/>
          <w:highlight w:val="none"/>
        </w:rPr>
        <w:t>项目实施内容和范围</w:t>
      </w:r>
      <w:bookmarkEnd w:id="6"/>
      <w:bookmarkEnd w:id="7"/>
      <w:bookmarkEnd w:id="8"/>
      <w:bookmarkEnd w:id="9"/>
      <w:bookmarkEnd w:id="10"/>
      <w:bookmarkEnd w:id="11"/>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lang w:eastAsia="zh-CN"/>
        </w:rPr>
      </w:pPr>
      <w:bookmarkStart w:id="12" w:name="_Toc16200"/>
      <w:bookmarkStart w:id="13" w:name="_Toc30654"/>
      <w:r>
        <w:rPr>
          <w:rFonts w:hint="eastAsia" w:ascii="仿宋" w:hAnsi="仿宋" w:eastAsia="仿宋" w:cs="仿宋"/>
          <w:sz w:val="30"/>
          <w:szCs w:val="30"/>
          <w:lang w:val="en-US" w:eastAsia="zh-CN"/>
        </w:rPr>
        <w:t>根据</w:t>
      </w:r>
      <w:r>
        <w:rPr>
          <w:rFonts w:hint="eastAsia" w:ascii="仿宋" w:hAnsi="仿宋" w:eastAsia="仿宋" w:cs="仿宋"/>
          <w:sz w:val="30"/>
          <w:szCs w:val="30"/>
        </w:rPr>
        <w:t>河北省教育厅 河北省财政厅《关于做好河北省2021年农村义务教育阶段学校教师特设岗位计划实施工作的通知》（冀教师[2021]11号）</w:t>
      </w:r>
      <w:r>
        <w:rPr>
          <w:rFonts w:hint="eastAsia" w:ascii="仿宋" w:hAnsi="仿宋" w:eastAsia="仿宋" w:cs="仿宋"/>
          <w:sz w:val="30"/>
          <w:szCs w:val="30"/>
          <w:lang w:val="en-US" w:eastAsia="zh-CN"/>
        </w:rPr>
        <w:t>的目标任务为：</w:t>
      </w:r>
      <w:r>
        <w:rPr>
          <w:rFonts w:hint="eastAsia" w:ascii="仿宋" w:hAnsi="仿宋" w:eastAsia="仿宋" w:cs="仿宋"/>
          <w:sz w:val="30"/>
          <w:szCs w:val="30"/>
          <w:lang w:eastAsia="zh-CN"/>
        </w:rPr>
        <w:t>面向全国招聘高校毕业生到我省脱贫地区(原集中连片特殊困难地区、中西部国家扶贫开发工作重点县和省级扶贫开发工作重点县)农村学校任教，完善我省农村教师补充新机制，逐步解决我省农村学校师资总量不足和结构性矛盾等问题，提高农村教师队伍整体素质和农村教育教学质量，缩小城乡教育差距，大力促进教育公平和城乡教育资源均衡配置。</w:t>
      </w:r>
    </w:p>
    <w:p>
      <w:pPr>
        <w:pageBreakBefore w:val="0"/>
        <w:kinsoku/>
        <w:wordWrap/>
        <w:overflowPunct/>
        <w:topLinePunct w:val="0"/>
        <w:autoSpaceDE/>
        <w:autoSpaceDN/>
        <w:bidi w:val="0"/>
        <w:adjustRightInd/>
        <w:snapToGrid/>
        <w:spacing w:line="560" w:lineRule="exact"/>
        <w:ind w:firstLine="600" w:firstLineChars="200"/>
        <w:rPr>
          <w:rFonts w:hint="default" w:ascii="仿宋" w:hAnsi="仿宋" w:eastAsia="仿宋" w:cs="仿宋"/>
          <w:sz w:val="30"/>
          <w:szCs w:val="30"/>
          <w:lang w:val="en-US" w:eastAsia="zh-CN"/>
        </w:rPr>
      </w:pPr>
      <w:r>
        <w:rPr>
          <w:rFonts w:hint="eastAsia" w:ascii="仿宋" w:hAnsi="仿宋" w:eastAsia="仿宋" w:cs="仿宋"/>
          <w:sz w:val="30"/>
          <w:szCs w:val="30"/>
          <w:lang w:eastAsia="zh-CN"/>
        </w:rPr>
        <w:t>“</w:t>
      </w:r>
      <w:r>
        <w:rPr>
          <w:rFonts w:hint="eastAsia" w:ascii="仿宋" w:hAnsi="仿宋" w:eastAsia="仿宋" w:cs="仿宋"/>
          <w:sz w:val="30"/>
          <w:szCs w:val="30"/>
          <w:lang w:val="en-US" w:eastAsia="zh-CN"/>
        </w:rPr>
        <w:t>特岗计划</w:t>
      </w:r>
      <w:r>
        <w:rPr>
          <w:rFonts w:hint="eastAsia" w:ascii="仿宋" w:hAnsi="仿宋" w:eastAsia="仿宋" w:cs="仿宋"/>
          <w:sz w:val="30"/>
          <w:szCs w:val="30"/>
          <w:lang w:eastAsia="zh-CN"/>
        </w:rPr>
        <w:t>”</w:t>
      </w:r>
      <w:r>
        <w:rPr>
          <w:rFonts w:hint="eastAsia" w:ascii="仿宋" w:hAnsi="仿宋" w:eastAsia="仿宋" w:cs="仿宋"/>
          <w:sz w:val="30"/>
          <w:szCs w:val="30"/>
          <w:lang w:val="en-US" w:eastAsia="zh-CN"/>
        </w:rPr>
        <w:t>所需资金由中央财政与地方政府共同承担，以中央财政为主。特岗教师服务期间，执行国家统一的工资制度和标准。其他津贴补贴由各地根据当地同等条件办公教师年收入水平和中央补助水平综合确定。特岗教师工资性收入高于中央补助经费标准的，其高出部分由设岗县人民政府承担。设岗县要统筹安排特岗教师的工资、地方性补贴、必要的交通补助、体检费和按规定纳入当地社会保障体系、享受相应的社会保障待遇（不含商业保险）应缴纳的相关费用等，确保特岗教师工资按时足额发放，按规定参加社会保险等。设岗县应切实保障特岗教师与当地公办学校教师同等待遇，落实好特岗教师的周转宿舍安排等相关保障工作。</w:t>
      </w:r>
    </w:p>
    <w:bookmarkEnd w:id="12"/>
    <w:bookmarkEnd w:id="13"/>
    <w:p>
      <w:pPr>
        <w:pageBreakBefore w:val="0"/>
        <w:kinsoku/>
        <w:wordWrap/>
        <w:overflowPunct/>
        <w:topLinePunct w:val="0"/>
        <w:autoSpaceDE/>
        <w:autoSpaceDN/>
        <w:bidi w:val="0"/>
        <w:adjustRightInd/>
        <w:snapToGrid/>
        <w:spacing w:line="560" w:lineRule="exact"/>
        <w:ind w:firstLine="643" w:firstLineChars="200"/>
        <w:outlineLvl w:val="0"/>
        <w:rPr>
          <w:rFonts w:hint="eastAsia" w:ascii="仿宋" w:hAnsi="仿宋" w:eastAsia="仿宋" w:cs="仿宋"/>
          <w:b/>
          <w:bCs/>
          <w:sz w:val="32"/>
          <w:szCs w:val="32"/>
        </w:rPr>
      </w:pPr>
      <w:bookmarkStart w:id="14" w:name="_Toc83631029"/>
      <w:bookmarkStart w:id="15" w:name="_Toc8527"/>
      <w:bookmarkStart w:id="16" w:name="_Toc24391"/>
      <w:bookmarkStart w:id="17" w:name="_Toc17013"/>
      <w:bookmarkStart w:id="18" w:name="_Toc1525"/>
      <w:bookmarkStart w:id="19" w:name="_Toc83630319"/>
      <w:r>
        <w:rPr>
          <w:rFonts w:hint="eastAsia" w:ascii="仿宋" w:hAnsi="仿宋" w:eastAsia="仿宋" w:cs="仿宋"/>
          <w:b/>
          <w:bCs/>
          <w:sz w:val="32"/>
          <w:szCs w:val="32"/>
          <w:lang w:val="en-US" w:eastAsia="zh-CN"/>
        </w:rPr>
        <w:t>三、</w:t>
      </w:r>
      <w:r>
        <w:rPr>
          <w:rFonts w:hint="eastAsia" w:ascii="仿宋" w:hAnsi="仿宋" w:eastAsia="仿宋" w:cs="仿宋"/>
          <w:b/>
          <w:bCs/>
          <w:sz w:val="32"/>
          <w:szCs w:val="32"/>
        </w:rPr>
        <w:t>项目资金使用情况</w:t>
      </w:r>
      <w:bookmarkEnd w:id="14"/>
      <w:bookmarkEnd w:id="15"/>
      <w:bookmarkEnd w:id="16"/>
      <w:bookmarkEnd w:id="17"/>
      <w:bookmarkEnd w:id="18"/>
      <w:bookmarkEnd w:id="19"/>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lang w:val="en-US" w:eastAsia="zh-CN"/>
        </w:rPr>
      </w:pPr>
      <w:r>
        <w:rPr>
          <w:rFonts w:hint="eastAsia" w:ascii="仿宋" w:hAnsi="仿宋" w:eastAsia="仿宋" w:cs="仿宋"/>
          <w:sz w:val="30"/>
          <w:szCs w:val="30"/>
        </w:rPr>
        <w:t>202</w:t>
      </w:r>
      <w:r>
        <w:rPr>
          <w:rFonts w:hint="eastAsia" w:ascii="仿宋" w:hAnsi="仿宋" w:eastAsia="仿宋" w:cs="仿宋"/>
          <w:sz w:val="30"/>
          <w:szCs w:val="30"/>
          <w:lang w:val="en-US" w:eastAsia="zh-CN"/>
        </w:rPr>
        <w:t>1</w:t>
      </w:r>
      <w:r>
        <w:rPr>
          <w:rFonts w:hint="eastAsia" w:ascii="仿宋" w:hAnsi="仿宋" w:eastAsia="仿宋" w:cs="仿宋"/>
          <w:sz w:val="30"/>
          <w:szCs w:val="30"/>
        </w:rPr>
        <w:t>年中央</w:t>
      </w:r>
      <w:r>
        <w:rPr>
          <w:rFonts w:hint="eastAsia" w:ascii="仿宋" w:hAnsi="仿宋" w:eastAsia="仿宋" w:cs="仿宋"/>
          <w:sz w:val="30"/>
          <w:szCs w:val="30"/>
          <w:lang w:val="en-US" w:eastAsia="zh-CN"/>
        </w:rPr>
        <w:t>直达资金预算安排1817</w:t>
      </w:r>
      <w:r>
        <w:rPr>
          <w:rFonts w:hint="eastAsia" w:ascii="仿宋" w:hAnsi="仿宋" w:eastAsia="仿宋" w:cs="仿宋"/>
          <w:sz w:val="30"/>
          <w:szCs w:val="30"/>
        </w:rPr>
        <w:t>万元，202</w:t>
      </w:r>
      <w:r>
        <w:rPr>
          <w:rFonts w:hint="eastAsia" w:ascii="仿宋" w:hAnsi="仿宋" w:eastAsia="仿宋" w:cs="仿宋"/>
          <w:sz w:val="30"/>
          <w:szCs w:val="30"/>
          <w:lang w:val="en-US" w:eastAsia="zh-CN"/>
        </w:rPr>
        <w:t>1</w:t>
      </w:r>
      <w:r>
        <w:rPr>
          <w:rFonts w:hint="eastAsia" w:ascii="仿宋" w:hAnsi="仿宋" w:eastAsia="仿宋" w:cs="仿宋"/>
          <w:sz w:val="30"/>
          <w:szCs w:val="30"/>
        </w:rPr>
        <w:t>年</w:t>
      </w:r>
      <w:r>
        <w:rPr>
          <w:rFonts w:hint="eastAsia" w:ascii="仿宋" w:hAnsi="仿宋" w:eastAsia="仿宋" w:cs="仿宋"/>
          <w:sz w:val="30"/>
          <w:szCs w:val="30"/>
          <w:lang w:val="en-US" w:eastAsia="zh-CN"/>
        </w:rPr>
        <w:t>预算执行1817</w:t>
      </w:r>
      <w:r>
        <w:rPr>
          <w:rFonts w:hint="eastAsia" w:ascii="仿宋" w:hAnsi="仿宋" w:eastAsia="仿宋" w:cs="仿宋"/>
          <w:sz w:val="30"/>
          <w:szCs w:val="30"/>
        </w:rPr>
        <w:t>万元，</w:t>
      </w:r>
      <w:r>
        <w:rPr>
          <w:rFonts w:hint="eastAsia" w:ascii="仿宋" w:hAnsi="仿宋" w:eastAsia="仿宋" w:cs="仿宋"/>
          <w:sz w:val="30"/>
          <w:szCs w:val="30"/>
          <w:lang w:val="en-US" w:eastAsia="zh-CN"/>
        </w:rPr>
        <w:t>无资金结余</w:t>
      </w:r>
      <w:r>
        <w:rPr>
          <w:rFonts w:hint="eastAsia" w:ascii="仿宋" w:hAnsi="仿宋" w:eastAsia="仿宋" w:cs="仿宋"/>
          <w:sz w:val="30"/>
          <w:szCs w:val="30"/>
        </w:rPr>
        <w:t>。</w:t>
      </w:r>
      <w:r>
        <w:rPr>
          <w:rFonts w:hint="eastAsia" w:ascii="仿宋" w:hAnsi="仿宋" w:eastAsia="仿宋" w:cs="仿宋"/>
          <w:sz w:val="30"/>
          <w:szCs w:val="30"/>
          <w:highlight w:val="none"/>
          <w:lang w:val="en-US" w:eastAsia="zh-CN"/>
        </w:rPr>
        <w:t>明细如下：</w:t>
      </w:r>
    </w:p>
    <w:p>
      <w:pPr>
        <w:pStyle w:val="2"/>
        <w:jc w:val="right"/>
        <w:rPr>
          <w:rFonts w:hint="default" w:ascii="仿宋" w:hAnsi="仿宋" w:eastAsia="仿宋" w:cs="仿宋"/>
          <w:sz w:val="30"/>
          <w:szCs w:val="30"/>
          <w:highlight w:val="none"/>
          <w:lang w:val="en-US" w:eastAsia="zh-CN"/>
        </w:rPr>
      </w:pPr>
      <w:r>
        <w:rPr>
          <w:rFonts w:hint="eastAsia" w:ascii="仿宋" w:hAnsi="仿宋" w:eastAsia="仿宋" w:cs="仿宋"/>
          <w:sz w:val="30"/>
          <w:szCs w:val="30"/>
          <w:highlight w:val="none"/>
          <w:lang w:val="en-US" w:eastAsia="zh-CN"/>
        </w:rPr>
        <w:t>单位：万元</w:t>
      </w:r>
    </w:p>
    <w:tbl>
      <w:tblPr>
        <w:tblStyle w:val="16"/>
        <w:tblW w:w="4998"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5560"/>
        <w:gridCol w:w="2944"/>
        <w:gridCol w:w="134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499" w:hRule="atLeast"/>
          <w:tblHeader/>
          <w:jc w:val="center"/>
        </w:trPr>
        <w:tc>
          <w:tcPr>
            <w:tcW w:w="28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top"/>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资金支出内容</w:t>
            </w:r>
          </w:p>
        </w:tc>
        <w:tc>
          <w:tcPr>
            <w:tcW w:w="149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top"/>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金额</w:t>
            </w:r>
          </w:p>
        </w:tc>
        <w:tc>
          <w:tcPr>
            <w:tcW w:w="6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top"/>
              <w:rPr>
                <w:rFonts w:hint="eastAsia" w:ascii="宋体" w:hAnsi="宋体" w:eastAsia="宋体" w:cs="宋体"/>
                <w:b/>
                <w:bCs/>
                <w:i w:val="0"/>
                <w:iCs w:val="0"/>
                <w:color w:val="000000"/>
                <w:sz w:val="22"/>
                <w:szCs w:val="22"/>
                <w:u w:val="none"/>
              </w:rPr>
            </w:pPr>
            <w:r>
              <w:rPr>
                <w:rFonts w:hint="eastAsia" w:ascii="宋体" w:hAnsi="宋体" w:eastAsia="宋体" w:cs="宋体"/>
                <w:b/>
                <w:bCs/>
                <w:i w:val="0"/>
                <w:iCs w:val="0"/>
                <w:color w:val="000000"/>
                <w:kern w:val="0"/>
                <w:sz w:val="22"/>
                <w:szCs w:val="22"/>
                <w:u w:val="none"/>
                <w:lang w:val="en-US" w:eastAsia="zh-CN" w:bidi="ar"/>
              </w:rPr>
              <w:t>备注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9" w:hRule="atLeast"/>
          <w:jc w:val="center"/>
        </w:trPr>
        <w:tc>
          <w:tcPr>
            <w:tcW w:w="28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top"/>
              <w:rPr>
                <w:rFonts w:hint="eastAsia" w:ascii="宋体" w:hAnsi="宋体" w:eastAsia="宋体" w:cs="宋体"/>
                <w:i w:val="0"/>
                <w:iCs w:val="0"/>
                <w:color w:val="000000"/>
                <w:sz w:val="22"/>
                <w:szCs w:val="22"/>
                <w:u w:val="none"/>
              </w:rPr>
            </w:pPr>
            <w:r>
              <w:rPr>
                <w:rFonts w:hint="eastAsia" w:ascii="宋体" w:hAnsi="宋体" w:cs="宋体"/>
                <w:i w:val="0"/>
                <w:iCs w:val="0"/>
                <w:color w:val="000000"/>
                <w:kern w:val="0"/>
                <w:sz w:val="22"/>
                <w:szCs w:val="22"/>
                <w:u w:val="none"/>
                <w:lang w:val="en-US" w:eastAsia="zh-CN" w:bidi="ar"/>
              </w:rPr>
              <w:t>2019年特岗教师</w:t>
            </w:r>
            <w:r>
              <w:rPr>
                <w:rFonts w:hint="eastAsia" w:ascii="宋体" w:hAnsi="宋体" w:eastAsia="宋体" w:cs="宋体"/>
                <w:i w:val="0"/>
                <w:iCs w:val="0"/>
                <w:color w:val="000000"/>
                <w:kern w:val="0"/>
                <w:sz w:val="22"/>
                <w:szCs w:val="22"/>
                <w:u w:val="none"/>
                <w:lang w:val="en-US" w:eastAsia="zh-CN" w:bidi="ar"/>
              </w:rPr>
              <w:t>精神文明奖</w:t>
            </w:r>
          </w:p>
        </w:tc>
        <w:tc>
          <w:tcPr>
            <w:tcW w:w="29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top"/>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299.92 </w:t>
            </w:r>
          </w:p>
        </w:tc>
        <w:tc>
          <w:tcPr>
            <w:tcW w:w="6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9" w:hRule="atLeast"/>
          <w:jc w:val="center"/>
        </w:trPr>
        <w:tc>
          <w:tcPr>
            <w:tcW w:w="28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top"/>
              <w:rPr>
                <w:rFonts w:hint="eastAsia" w:ascii="宋体" w:hAnsi="宋体" w:eastAsia="宋体" w:cs="宋体"/>
                <w:i w:val="0"/>
                <w:iCs w:val="0"/>
                <w:color w:val="000000"/>
                <w:sz w:val="22"/>
                <w:szCs w:val="22"/>
                <w:u w:val="none"/>
              </w:rPr>
            </w:pPr>
            <w:r>
              <w:rPr>
                <w:rFonts w:hint="eastAsia" w:ascii="宋体" w:hAnsi="宋体" w:cs="宋体"/>
                <w:i w:val="0"/>
                <w:iCs w:val="0"/>
                <w:color w:val="000000"/>
                <w:kern w:val="0"/>
                <w:sz w:val="22"/>
                <w:szCs w:val="22"/>
                <w:u w:val="none"/>
                <w:lang w:val="en-US" w:eastAsia="zh-CN" w:bidi="ar"/>
              </w:rPr>
              <w:t>2020年特岗教师</w:t>
            </w:r>
            <w:r>
              <w:rPr>
                <w:rFonts w:hint="eastAsia" w:ascii="宋体" w:hAnsi="宋体" w:eastAsia="宋体" w:cs="宋体"/>
                <w:i w:val="0"/>
                <w:iCs w:val="0"/>
                <w:color w:val="000000"/>
                <w:kern w:val="0"/>
                <w:sz w:val="22"/>
                <w:szCs w:val="22"/>
                <w:u w:val="none"/>
                <w:lang w:val="en-US" w:eastAsia="zh-CN" w:bidi="ar"/>
              </w:rPr>
              <w:t>绩效奖</w:t>
            </w:r>
          </w:p>
        </w:tc>
        <w:tc>
          <w:tcPr>
            <w:tcW w:w="29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top"/>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375.17 </w:t>
            </w:r>
          </w:p>
        </w:tc>
        <w:tc>
          <w:tcPr>
            <w:tcW w:w="6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9" w:hRule="atLeast"/>
          <w:jc w:val="center"/>
        </w:trPr>
        <w:tc>
          <w:tcPr>
            <w:tcW w:w="28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top"/>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工资</w:t>
            </w:r>
          </w:p>
        </w:tc>
        <w:tc>
          <w:tcPr>
            <w:tcW w:w="29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top"/>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888.88 </w:t>
            </w:r>
          </w:p>
        </w:tc>
        <w:tc>
          <w:tcPr>
            <w:tcW w:w="6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9" w:hRule="atLeast"/>
          <w:jc w:val="center"/>
        </w:trPr>
        <w:tc>
          <w:tcPr>
            <w:tcW w:w="28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top"/>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社会保险</w:t>
            </w:r>
          </w:p>
        </w:tc>
        <w:tc>
          <w:tcPr>
            <w:tcW w:w="29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top"/>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93.78 </w:t>
            </w:r>
          </w:p>
        </w:tc>
        <w:tc>
          <w:tcPr>
            <w:tcW w:w="6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9" w:hRule="atLeast"/>
          <w:jc w:val="center"/>
        </w:trPr>
        <w:tc>
          <w:tcPr>
            <w:tcW w:w="28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top"/>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公积金</w:t>
            </w:r>
          </w:p>
        </w:tc>
        <w:tc>
          <w:tcPr>
            <w:tcW w:w="29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top"/>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42.05 </w:t>
            </w:r>
          </w:p>
        </w:tc>
        <w:tc>
          <w:tcPr>
            <w:tcW w:w="6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9" w:hRule="atLeast"/>
          <w:jc w:val="center"/>
        </w:trPr>
        <w:tc>
          <w:tcPr>
            <w:tcW w:w="28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top"/>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物业补贴</w:t>
            </w:r>
          </w:p>
        </w:tc>
        <w:tc>
          <w:tcPr>
            <w:tcW w:w="29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top"/>
              <w:rPr>
                <w:rFonts w:hint="eastAsia" w:ascii="宋体" w:hAnsi="宋体" w:eastAsia="宋体" w:cs="宋体"/>
                <w:i w:val="0"/>
                <w:iCs w:val="0"/>
                <w:color w:val="000000"/>
                <w:sz w:val="22"/>
                <w:szCs w:val="22"/>
                <w:u w:val="none"/>
              </w:rPr>
            </w:pPr>
            <w:r>
              <w:rPr>
                <w:rFonts w:hint="eastAsia" w:ascii="宋体" w:hAnsi="宋体" w:eastAsia="宋体" w:cs="宋体"/>
                <w:i w:val="0"/>
                <w:iCs w:val="0"/>
                <w:color w:val="000000"/>
                <w:kern w:val="0"/>
                <w:sz w:val="22"/>
                <w:szCs w:val="22"/>
                <w:u w:val="none"/>
                <w:lang w:val="en-US" w:eastAsia="zh-CN" w:bidi="ar"/>
              </w:rPr>
              <w:t xml:space="preserve">62.72 </w:t>
            </w:r>
          </w:p>
        </w:tc>
        <w:tc>
          <w:tcPr>
            <w:tcW w:w="6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9" w:hRule="atLeast"/>
          <w:jc w:val="center"/>
        </w:trPr>
        <w:tc>
          <w:tcPr>
            <w:tcW w:w="28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top"/>
              <w:rPr>
                <w:rFonts w:hint="default" w:ascii="宋体" w:hAnsi="宋体" w:cs="宋体"/>
                <w:i w:val="0"/>
                <w:iCs w:val="0"/>
                <w:color w:val="000000"/>
                <w:kern w:val="0"/>
                <w:sz w:val="22"/>
                <w:szCs w:val="22"/>
                <w:u w:val="none"/>
                <w:lang w:val="en-US" w:eastAsia="zh-CN" w:bidi="ar"/>
              </w:rPr>
            </w:pPr>
            <w:r>
              <w:rPr>
                <w:rFonts w:hint="eastAsia" w:ascii="宋体" w:hAnsi="宋体" w:cs="宋体"/>
                <w:i w:val="0"/>
                <w:iCs w:val="0"/>
                <w:color w:val="000000"/>
                <w:kern w:val="0"/>
                <w:sz w:val="22"/>
                <w:szCs w:val="22"/>
                <w:u w:val="none"/>
                <w:lang w:val="en-US" w:eastAsia="zh-CN" w:bidi="ar"/>
              </w:rPr>
              <w:t>乡镇补贴</w:t>
            </w:r>
          </w:p>
        </w:tc>
        <w:tc>
          <w:tcPr>
            <w:tcW w:w="294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top"/>
              <w:rPr>
                <w:rFonts w:hint="eastAsia" w:ascii="宋体" w:hAnsi="宋体" w:cs="宋体"/>
                <w:i w:val="0"/>
                <w:iCs w:val="0"/>
                <w:color w:val="000000"/>
                <w:kern w:val="0"/>
                <w:sz w:val="22"/>
                <w:szCs w:val="22"/>
                <w:u w:val="none"/>
                <w:lang w:val="en-US" w:eastAsia="zh-CN" w:bidi="ar"/>
              </w:rPr>
            </w:pPr>
            <w:r>
              <w:rPr>
                <w:rFonts w:hint="eastAsia" w:ascii="宋体" w:hAnsi="宋体" w:eastAsia="宋体" w:cs="宋体"/>
                <w:i w:val="0"/>
                <w:iCs w:val="0"/>
                <w:color w:val="000000"/>
                <w:kern w:val="0"/>
                <w:sz w:val="22"/>
                <w:szCs w:val="22"/>
                <w:u w:val="none"/>
                <w:lang w:val="en-US" w:eastAsia="zh-CN" w:bidi="ar"/>
              </w:rPr>
              <w:t xml:space="preserve">54.48 </w:t>
            </w:r>
          </w:p>
        </w:tc>
        <w:tc>
          <w:tcPr>
            <w:tcW w:w="6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i w:val="0"/>
                <w:iCs w:val="0"/>
                <w:color w:val="000000"/>
                <w:sz w:val="22"/>
                <w:szCs w:val="22"/>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9" w:hRule="atLeast"/>
          <w:jc w:val="center"/>
        </w:trPr>
        <w:tc>
          <w:tcPr>
            <w:tcW w:w="2822"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top"/>
              <w:rPr>
                <w:rFonts w:hint="default" w:ascii="宋体" w:hAnsi="宋体" w:eastAsia="宋体" w:cs="宋体"/>
                <w:b/>
                <w:bCs/>
                <w:i w:val="0"/>
                <w:iCs w:val="0"/>
                <w:color w:val="000000"/>
                <w:kern w:val="0"/>
                <w:sz w:val="22"/>
                <w:szCs w:val="22"/>
                <w:u w:val="none"/>
                <w:lang w:val="en-US" w:eastAsia="zh-CN" w:bidi="ar"/>
              </w:rPr>
            </w:pPr>
            <w:r>
              <w:rPr>
                <w:rFonts w:hint="eastAsia" w:ascii="宋体" w:hAnsi="宋体" w:cs="宋体"/>
                <w:b/>
                <w:bCs/>
                <w:i w:val="0"/>
                <w:iCs w:val="0"/>
                <w:color w:val="000000"/>
                <w:kern w:val="0"/>
                <w:sz w:val="22"/>
                <w:szCs w:val="22"/>
                <w:u w:val="none"/>
                <w:lang w:val="en-US" w:eastAsia="zh-CN" w:bidi="ar"/>
              </w:rPr>
              <w:t>合计</w:t>
            </w:r>
          </w:p>
        </w:tc>
        <w:tc>
          <w:tcPr>
            <w:tcW w:w="1494"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right"/>
              <w:textAlignment w:val="top"/>
              <w:rPr>
                <w:rFonts w:hint="default" w:ascii="宋体" w:hAnsi="宋体" w:eastAsia="宋体" w:cs="宋体"/>
                <w:b/>
                <w:bCs/>
                <w:i w:val="0"/>
                <w:iCs w:val="0"/>
                <w:color w:val="000000"/>
                <w:kern w:val="0"/>
                <w:sz w:val="22"/>
                <w:szCs w:val="22"/>
                <w:u w:val="none"/>
                <w:lang w:val="en-US" w:eastAsia="zh-CN" w:bidi="ar"/>
              </w:rPr>
            </w:pPr>
            <w:r>
              <w:rPr>
                <w:rFonts w:hint="eastAsia" w:ascii="宋体" w:hAnsi="宋体" w:cs="宋体"/>
                <w:b/>
                <w:bCs/>
                <w:i w:val="0"/>
                <w:iCs w:val="0"/>
                <w:color w:val="000000"/>
                <w:kern w:val="0"/>
                <w:sz w:val="22"/>
                <w:szCs w:val="22"/>
                <w:u w:val="none"/>
                <w:lang w:val="en-US" w:eastAsia="zh-CN" w:bidi="ar"/>
              </w:rPr>
              <w:t>1,817.00</w:t>
            </w:r>
          </w:p>
        </w:tc>
        <w:tc>
          <w:tcPr>
            <w:tcW w:w="683"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宋体" w:hAnsi="宋体" w:eastAsia="宋体" w:cs="宋体"/>
                <w:b/>
                <w:bCs/>
                <w:i w:val="0"/>
                <w:iCs w:val="0"/>
                <w:color w:val="000000"/>
                <w:sz w:val="22"/>
                <w:szCs w:val="22"/>
                <w:u w:val="none"/>
              </w:rPr>
            </w:pPr>
          </w:p>
        </w:tc>
      </w:tr>
    </w:tbl>
    <w:p>
      <w:pPr>
        <w:rPr>
          <w:rFonts w:hint="eastAsia"/>
          <w:lang w:val="en-US" w:eastAsia="zh-CN"/>
        </w:rPr>
      </w:pPr>
    </w:p>
    <w:p>
      <w:pPr>
        <w:pageBreakBefore w:val="0"/>
        <w:kinsoku/>
        <w:wordWrap/>
        <w:overflowPunct/>
        <w:topLinePunct w:val="0"/>
        <w:autoSpaceDE/>
        <w:autoSpaceDN/>
        <w:bidi w:val="0"/>
        <w:adjustRightInd/>
        <w:snapToGrid/>
        <w:spacing w:line="560" w:lineRule="exact"/>
        <w:ind w:firstLine="951" w:firstLineChars="296"/>
        <w:outlineLvl w:val="0"/>
        <w:rPr>
          <w:rFonts w:hint="eastAsia" w:ascii="仿宋" w:hAnsi="仿宋" w:eastAsia="仿宋" w:cs="仿宋"/>
          <w:b/>
          <w:bCs/>
          <w:sz w:val="32"/>
          <w:szCs w:val="32"/>
          <w:lang w:val="en-US" w:eastAsia="zh-CN"/>
        </w:rPr>
      </w:pPr>
      <w:bookmarkStart w:id="20" w:name="_Toc83631030"/>
      <w:bookmarkStart w:id="21" w:name="_Toc21403"/>
      <w:bookmarkStart w:id="22" w:name="_Toc83630320"/>
      <w:bookmarkStart w:id="23" w:name="_Toc14351"/>
      <w:bookmarkStart w:id="24" w:name="_Toc18734"/>
      <w:bookmarkStart w:id="25" w:name="_Toc21592"/>
      <w:r>
        <w:rPr>
          <w:rFonts w:hint="eastAsia" w:ascii="仿宋" w:hAnsi="仿宋" w:eastAsia="仿宋" w:cs="仿宋"/>
          <w:b/>
          <w:bCs/>
          <w:sz w:val="32"/>
          <w:szCs w:val="32"/>
          <w:lang w:val="en-US" w:eastAsia="zh-CN"/>
        </w:rPr>
        <w:t>四、</w:t>
      </w:r>
      <w:r>
        <w:rPr>
          <w:rFonts w:hint="eastAsia" w:ascii="仿宋" w:hAnsi="仿宋" w:eastAsia="仿宋" w:cs="仿宋"/>
          <w:b/>
          <w:bCs/>
          <w:sz w:val="32"/>
          <w:szCs w:val="32"/>
        </w:rPr>
        <w:t>项目</w:t>
      </w:r>
      <w:r>
        <w:rPr>
          <w:rFonts w:hint="eastAsia" w:ascii="仿宋" w:hAnsi="仿宋" w:eastAsia="仿宋" w:cs="仿宋"/>
          <w:b/>
          <w:bCs/>
          <w:sz w:val="32"/>
          <w:szCs w:val="32"/>
          <w:lang w:val="en-US" w:eastAsia="zh-CN"/>
        </w:rPr>
        <w:t>管理</w:t>
      </w:r>
      <w:r>
        <w:rPr>
          <w:rFonts w:hint="eastAsia" w:ascii="仿宋" w:hAnsi="仿宋" w:eastAsia="仿宋" w:cs="仿宋"/>
          <w:b/>
          <w:bCs/>
          <w:sz w:val="32"/>
          <w:szCs w:val="32"/>
        </w:rPr>
        <w:t>绩效</w:t>
      </w:r>
      <w:bookmarkEnd w:id="20"/>
      <w:bookmarkEnd w:id="21"/>
      <w:bookmarkEnd w:id="22"/>
      <w:bookmarkEnd w:id="23"/>
      <w:r>
        <w:rPr>
          <w:rFonts w:hint="eastAsia" w:ascii="仿宋" w:hAnsi="仿宋" w:eastAsia="仿宋" w:cs="仿宋"/>
          <w:b/>
          <w:bCs/>
          <w:sz w:val="32"/>
          <w:szCs w:val="32"/>
          <w:lang w:val="en-US" w:eastAsia="zh-CN"/>
        </w:rPr>
        <w:t>情况</w:t>
      </w:r>
      <w:bookmarkEnd w:id="24"/>
      <w:bookmarkEnd w:id="25"/>
    </w:p>
    <w:p>
      <w:pPr>
        <w:pStyle w:val="4"/>
        <w:pageBreakBefore w:val="0"/>
        <w:kinsoku/>
        <w:wordWrap/>
        <w:overflowPunct/>
        <w:topLinePunct w:val="0"/>
        <w:autoSpaceDE/>
        <w:autoSpaceDN/>
        <w:bidi w:val="0"/>
        <w:adjustRightInd/>
        <w:snapToGrid/>
        <w:spacing w:before="0" w:after="0" w:line="560" w:lineRule="exact"/>
        <w:ind w:firstLine="600" w:firstLineChars="200"/>
        <w:rPr>
          <w:rFonts w:hint="eastAsia" w:ascii="仿宋" w:hAnsi="仿宋" w:eastAsia="仿宋" w:cs="仿宋"/>
          <w:b w:val="0"/>
          <w:bCs w:val="0"/>
          <w:sz w:val="30"/>
          <w:szCs w:val="30"/>
        </w:rPr>
      </w:pPr>
      <w:bookmarkStart w:id="26" w:name="_Toc501368359"/>
      <w:bookmarkStart w:id="27" w:name="_Toc32445"/>
      <w:bookmarkStart w:id="28" w:name="_Toc12058"/>
      <w:bookmarkStart w:id="29" w:name="_Toc83630330"/>
      <w:bookmarkStart w:id="30" w:name="_Toc83631040"/>
      <w:bookmarkStart w:id="31" w:name="_Toc12908"/>
      <w:r>
        <w:rPr>
          <w:rFonts w:hint="eastAsia" w:ascii="仿宋" w:hAnsi="仿宋" w:eastAsia="仿宋" w:cs="仿宋"/>
          <w:b w:val="0"/>
          <w:bCs w:val="0"/>
          <w:sz w:val="30"/>
          <w:szCs w:val="30"/>
        </w:rPr>
        <w:t>（一）项目立项（10分）</w:t>
      </w:r>
      <w:bookmarkEnd w:id="26"/>
      <w:bookmarkEnd w:id="27"/>
      <w:bookmarkEnd w:id="28"/>
      <w:bookmarkEnd w:id="29"/>
      <w:bookmarkEnd w:id="30"/>
      <w:bookmarkEnd w:id="31"/>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rPr>
      </w:pPr>
      <w:r>
        <w:rPr>
          <w:rFonts w:hint="eastAsia" w:ascii="仿宋" w:hAnsi="仿宋" w:eastAsia="仿宋" w:cs="仿宋"/>
          <w:sz w:val="30"/>
          <w:szCs w:val="30"/>
        </w:rPr>
        <w:t>该一级指标主要反映项目立项是否符合国家法规、政策规定，符合社会经济发展战略规划，项目决策是否满足政府职能，用于调节经济、市场监管、提供公共产品和服务，绩效目标的制定是否合理，绩效指标的制定是否清晰、细化、量化、可衡量。</w:t>
      </w:r>
    </w:p>
    <w:tbl>
      <w:tblPr>
        <w:tblStyle w:val="16"/>
        <w:tblW w:w="4996" w:type="pct"/>
        <w:jc w:val="center"/>
        <w:tblLayout w:type="autofit"/>
        <w:tblCellMar>
          <w:top w:w="15" w:type="dxa"/>
          <w:left w:w="15" w:type="dxa"/>
          <w:bottom w:w="15" w:type="dxa"/>
          <w:right w:w="15" w:type="dxa"/>
        </w:tblCellMar>
      </w:tblPr>
      <w:tblGrid>
        <w:gridCol w:w="2202"/>
        <w:gridCol w:w="2223"/>
        <w:gridCol w:w="2393"/>
        <w:gridCol w:w="1506"/>
        <w:gridCol w:w="1336"/>
      </w:tblGrid>
      <w:tr>
        <w:tblPrEx>
          <w:tblCellMar>
            <w:top w:w="15" w:type="dxa"/>
            <w:left w:w="15" w:type="dxa"/>
            <w:bottom w:w="15" w:type="dxa"/>
            <w:right w:w="15" w:type="dxa"/>
          </w:tblCellMar>
        </w:tblPrEx>
        <w:trPr>
          <w:trHeight w:val="482" w:hRule="exact"/>
          <w:jc w:val="center"/>
        </w:trPr>
        <w:tc>
          <w:tcPr>
            <w:tcW w:w="1140" w:type="pct"/>
            <w:tcBorders>
              <w:top w:val="single" w:color="000000" w:sz="4" w:space="0"/>
              <w:left w:val="single" w:color="000000" w:sz="4" w:space="0"/>
              <w:bottom w:val="single" w:color="000000" w:sz="4" w:space="0"/>
              <w:right w:val="single" w:color="000000"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rPr>
              <w:t>一级指标</w:t>
            </w:r>
          </w:p>
        </w:tc>
        <w:tc>
          <w:tcPr>
            <w:tcW w:w="1150" w:type="pct"/>
            <w:tcBorders>
              <w:top w:val="single" w:color="000000" w:sz="4" w:space="0"/>
              <w:left w:val="single" w:color="000000" w:sz="4" w:space="0"/>
              <w:bottom w:val="single" w:color="000000" w:sz="4" w:space="0"/>
              <w:right w:val="single" w:color="000000"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rPr>
              <w:t>二级指标</w:t>
            </w:r>
          </w:p>
        </w:tc>
        <w:tc>
          <w:tcPr>
            <w:tcW w:w="1237" w:type="pct"/>
            <w:tcBorders>
              <w:top w:val="single" w:color="000000" w:sz="4" w:space="0"/>
              <w:left w:val="single" w:color="000000" w:sz="4" w:space="0"/>
              <w:bottom w:val="single" w:color="000000" w:sz="4" w:space="0"/>
              <w:right w:val="single" w:color="000000"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rPr>
              <w:t>三级指标</w:t>
            </w:r>
          </w:p>
        </w:tc>
        <w:tc>
          <w:tcPr>
            <w:tcW w:w="779" w:type="pct"/>
            <w:tcBorders>
              <w:top w:val="single" w:color="000000" w:sz="4" w:space="0"/>
              <w:left w:val="single" w:color="000000" w:sz="4" w:space="0"/>
              <w:bottom w:val="single" w:color="000000" w:sz="4" w:space="0"/>
              <w:right w:val="single" w:color="000000"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rPr>
              <w:t>分数权重</w:t>
            </w:r>
          </w:p>
        </w:tc>
        <w:tc>
          <w:tcPr>
            <w:tcW w:w="691" w:type="pct"/>
            <w:tcBorders>
              <w:top w:val="single" w:color="000000" w:sz="4" w:space="0"/>
              <w:left w:val="single" w:color="000000" w:sz="4" w:space="0"/>
              <w:bottom w:val="single" w:color="000000" w:sz="4" w:space="0"/>
              <w:right w:val="single" w:color="000000"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rPr>
              <w:t>得分</w:t>
            </w:r>
          </w:p>
        </w:tc>
      </w:tr>
      <w:tr>
        <w:tblPrEx>
          <w:tblCellMar>
            <w:top w:w="15" w:type="dxa"/>
            <w:left w:w="15" w:type="dxa"/>
            <w:bottom w:w="15" w:type="dxa"/>
            <w:right w:w="15" w:type="dxa"/>
          </w:tblCellMar>
        </w:tblPrEx>
        <w:trPr>
          <w:trHeight w:val="529" w:hRule="exact"/>
          <w:jc w:val="center"/>
        </w:trPr>
        <w:tc>
          <w:tcPr>
            <w:tcW w:w="1140" w:type="pct"/>
            <w:vMerge w:val="restart"/>
            <w:tcBorders>
              <w:top w:val="single" w:color="000000" w:sz="4" w:space="0"/>
              <w:left w:val="single" w:color="000000" w:sz="4" w:space="0"/>
              <w:bottom w:val="single" w:color="000000" w:sz="4" w:space="0"/>
              <w:right w:val="single" w:color="000000"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项目立项</w:t>
            </w:r>
          </w:p>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rPr>
              <w:t>(10分)</w:t>
            </w:r>
          </w:p>
        </w:tc>
        <w:tc>
          <w:tcPr>
            <w:tcW w:w="1150" w:type="pct"/>
            <w:vMerge w:val="restart"/>
            <w:tcBorders>
              <w:top w:val="single" w:color="000000" w:sz="4" w:space="0"/>
              <w:left w:val="single" w:color="000000" w:sz="4" w:space="0"/>
              <w:bottom w:val="single" w:color="000000" w:sz="4" w:space="0"/>
              <w:right w:val="single" w:color="000000"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rPr>
              <w:t>决策机制（5分）</w:t>
            </w:r>
          </w:p>
        </w:tc>
        <w:tc>
          <w:tcPr>
            <w:tcW w:w="1237" w:type="pct"/>
            <w:tcBorders>
              <w:top w:val="single" w:color="000000" w:sz="4" w:space="0"/>
              <w:left w:val="single" w:color="000000" w:sz="4" w:space="0"/>
              <w:bottom w:val="single" w:color="000000" w:sz="4" w:space="0"/>
              <w:right w:val="single" w:color="000000"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rPr>
              <w:t>项目设立的依据</w:t>
            </w:r>
          </w:p>
        </w:tc>
        <w:tc>
          <w:tcPr>
            <w:tcW w:w="779" w:type="pct"/>
            <w:tcBorders>
              <w:top w:val="single" w:color="000000" w:sz="4" w:space="0"/>
              <w:left w:val="single" w:color="000000" w:sz="4" w:space="0"/>
              <w:bottom w:val="single" w:color="000000" w:sz="4" w:space="0"/>
              <w:right w:val="single" w:color="000000"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rPr>
              <w:t>3</w:t>
            </w:r>
          </w:p>
        </w:tc>
        <w:tc>
          <w:tcPr>
            <w:tcW w:w="691" w:type="pct"/>
            <w:tcBorders>
              <w:top w:val="single" w:color="000000" w:sz="4" w:space="0"/>
              <w:left w:val="single" w:color="000000" w:sz="4" w:space="0"/>
              <w:bottom w:val="single" w:color="000000" w:sz="4" w:space="0"/>
              <w:right w:val="single" w:color="000000"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rPr>
              <w:t>3</w:t>
            </w:r>
          </w:p>
        </w:tc>
      </w:tr>
      <w:tr>
        <w:tblPrEx>
          <w:tblCellMar>
            <w:top w:w="15" w:type="dxa"/>
            <w:left w:w="15" w:type="dxa"/>
            <w:bottom w:w="15" w:type="dxa"/>
            <w:right w:w="15" w:type="dxa"/>
          </w:tblCellMar>
        </w:tblPrEx>
        <w:trPr>
          <w:trHeight w:val="691" w:hRule="exact"/>
          <w:jc w:val="center"/>
        </w:trPr>
        <w:tc>
          <w:tcPr>
            <w:tcW w:w="1140" w:type="pct"/>
            <w:vMerge w:val="continue"/>
            <w:tcBorders>
              <w:top w:val="single" w:color="000000" w:sz="4" w:space="0"/>
              <w:left w:val="single" w:color="000000" w:sz="4" w:space="0"/>
              <w:bottom w:val="single" w:color="000000" w:sz="4" w:space="0"/>
              <w:right w:val="single" w:color="000000" w:sz="4" w:space="0"/>
            </w:tcBorders>
            <w:vAlign w:val="center"/>
          </w:tcPr>
          <w:p>
            <w:pPr>
              <w:pageBreakBefore w:val="0"/>
              <w:kinsoku/>
              <w:wordWrap/>
              <w:overflowPunct/>
              <w:topLinePunct w:val="0"/>
              <w:autoSpaceDE/>
              <w:autoSpaceDN/>
              <w:bidi w:val="0"/>
              <w:adjustRightInd/>
              <w:snapToGrid/>
              <w:spacing w:line="560" w:lineRule="exact"/>
              <w:jc w:val="center"/>
              <w:rPr>
                <w:rFonts w:hint="eastAsia" w:ascii="仿宋" w:hAnsi="仿宋" w:eastAsia="仿宋" w:cs="仿宋"/>
                <w:color w:val="000000"/>
                <w:sz w:val="24"/>
                <w:szCs w:val="24"/>
              </w:rPr>
            </w:pPr>
          </w:p>
        </w:tc>
        <w:tc>
          <w:tcPr>
            <w:tcW w:w="1150" w:type="pct"/>
            <w:vMerge w:val="continue"/>
            <w:tcBorders>
              <w:top w:val="single" w:color="000000" w:sz="4" w:space="0"/>
              <w:left w:val="single" w:color="000000" w:sz="4" w:space="0"/>
              <w:bottom w:val="single" w:color="000000" w:sz="4" w:space="0"/>
              <w:right w:val="single" w:color="000000" w:sz="4" w:space="0"/>
            </w:tcBorders>
            <w:vAlign w:val="center"/>
          </w:tcPr>
          <w:p>
            <w:pPr>
              <w:pageBreakBefore w:val="0"/>
              <w:kinsoku/>
              <w:wordWrap/>
              <w:overflowPunct/>
              <w:topLinePunct w:val="0"/>
              <w:autoSpaceDE/>
              <w:autoSpaceDN/>
              <w:bidi w:val="0"/>
              <w:adjustRightInd/>
              <w:snapToGrid/>
              <w:spacing w:line="560" w:lineRule="exact"/>
              <w:jc w:val="center"/>
              <w:rPr>
                <w:rFonts w:hint="eastAsia" w:ascii="仿宋" w:hAnsi="仿宋" w:eastAsia="仿宋" w:cs="仿宋"/>
                <w:color w:val="000000"/>
                <w:sz w:val="24"/>
                <w:szCs w:val="24"/>
              </w:rPr>
            </w:pPr>
          </w:p>
        </w:tc>
        <w:tc>
          <w:tcPr>
            <w:tcW w:w="1237" w:type="pct"/>
            <w:tcBorders>
              <w:top w:val="single" w:color="000000" w:sz="4" w:space="0"/>
              <w:left w:val="single" w:color="000000" w:sz="4" w:space="0"/>
              <w:bottom w:val="single" w:color="000000" w:sz="4" w:space="0"/>
              <w:right w:val="single" w:color="000000"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rPr>
              <w:t>项目决策必要性</w:t>
            </w:r>
          </w:p>
        </w:tc>
        <w:tc>
          <w:tcPr>
            <w:tcW w:w="779" w:type="pct"/>
            <w:tcBorders>
              <w:top w:val="single" w:color="000000" w:sz="4" w:space="0"/>
              <w:left w:val="single" w:color="000000" w:sz="4" w:space="0"/>
              <w:bottom w:val="single" w:color="000000" w:sz="4" w:space="0"/>
              <w:right w:val="single" w:color="000000"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rPr>
              <w:t>2</w:t>
            </w:r>
          </w:p>
        </w:tc>
        <w:tc>
          <w:tcPr>
            <w:tcW w:w="691" w:type="pct"/>
            <w:tcBorders>
              <w:top w:val="single" w:color="000000" w:sz="4" w:space="0"/>
              <w:left w:val="single" w:color="000000" w:sz="4" w:space="0"/>
              <w:bottom w:val="single" w:color="000000" w:sz="4" w:space="0"/>
              <w:right w:val="single" w:color="000000"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rPr>
              <w:t>2</w:t>
            </w:r>
          </w:p>
        </w:tc>
      </w:tr>
      <w:tr>
        <w:tblPrEx>
          <w:tblCellMar>
            <w:top w:w="15" w:type="dxa"/>
            <w:left w:w="15" w:type="dxa"/>
            <w:bottom w:w="15" w:type="dxa"/>
            <w:right w:w="15" w:type="dxa"/>
          </w:tblCellMar>
        </w:tblPrEx>
        <w:trPr>
          <w:trHeight w:val="561" w:hRule="exact"/>
          <w:jc w:val="center"/>
        </w:trPr>
        <w:tc>
          <w:tcPr>
            <w:tcW w:w="1140" w:type="pct"/>
            <w:vMerge w:val="continue"/>
            <w:tcBorders>
              <w:top w:val="single" w:color="000000" w:sz="4" w:space="0"/>
              <w:left w:val="single" w:color="000000" w:sz="4" w:space="0"/>
              <w:bottom w:val="single" w:color="000000" w:sz="4" w:space="0"/>
              <w:right w:val="single" w:color="000000" w:sz="4" w:space="0"/>
            </w:tcBorders>
            <w:vAlign w:val="center"/>
          </w:tcPr>
          <w:p>
            <w:pPr>
              <w:pageBreakBefore w:val="0"/>
              <w:kinsoku/>
              <w:wordWrap/>
              <w:overflowPunct/>
              <w:topLinePunct w:val="0"/>
              <w:autoSpaceDE/>
              <w:autoSpaceDN/>
              <w:bidi w:val="0"/>
              <w:adjustRightInd/>
              <w:snapToGrid/>
              <w:spacing w:line="560" w:lineRule="exact"/>
              <w:jc w:val="center"/>
              <w:rPr>
                <w:rFonts w:hint="eastAsia" w:ascii="仿宋" w:hAnsi="仿宋" w:eastAsia="仿宋" w:cs="仿宋"/>
                <w:color w:val="000000"/>
                <w:sz w:val="24"/>
                <w:szCs w:val="24"/>
              </w:rPr>
            </w:pPr>
          </w:p>
        </w:tc>
        <w:tc>
          <w:tcPr>
            <w:tcW w:w="1150" w:type="pct"/>
            <w:vMerge w:val="restart"/>
            <w:tcBorders>
              <w:top w:val="single" w:color="000000" w:sz="4" w:space="0"/>
              <w:left w:val="single" w:color="000000" w:sz="4" w:space="0"/>
              <w:bottom w:val="single" w:color="000000" w:sz="4" w:space="0"/>
              <w:right w:val="single" w:color="000000"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rPr>
              <w:t>绩效目标（5分）</w:t>
            </w:r>
          </w:p>
        </w:tc>
        <w:tc>
          <w:tcPr>
            <w:tcW w:w="1237" w:type="pct"/>
            <w:tcBorders>
              <w:top w:val="single" w:color="000000" w:sz="4" w:space="0"/>
              <w:left w:val="single" w:color="000000" w:sz="4" w:space="0"/>
              <w:bottom w:val="single" w:color="000000" w:sz="4" w:space="0"/>
              <w:right w:val="single" w:color="000000"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rPr>
              <w:t>合理性</w:t>
            </w:r>
          </w:p>
        </w:tc>
        <w:tc>
          <w:tcPr>
            <w:tcW w:w="779" w:type="pct"/>
            <w:tcBorders>
              <w:top w:val="single" w:color="000000" w:sz="4" w:space="0"/>
              <w:left w:val="single" w:color="000000" w:sz="4" w:space="0"/>
              <w:bottom w:val="single" w:color="000000" w:sz="4" w:space="0"/>
              <w:right w:val="single" w:color="000000"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rPr>
              <w:t>3</w:t>
            </w:r>
          </w:p>
        </w:tc>
        <w:tc>
          <w:tcPr>
            <w:tcW w:w="691" w:type="pct"/>
            <w:tcBorders>
              <w:top w:val="single" w:color="000000" w:sz="4" w:space="0"/>
              <w:left w:val="single" w:color="000000" w:sz="4" w:space="0"/>
              <w:bottom w:val="single" w:color="000000" w:sz="4" w:space="0"/>
              <w:right w:val="single" w:color="000000"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rPr>
              <w:t>3</w:t>
            </w:r>
          </w:p>
        </w:tc>
      </w:tr>
      <w:tr>
        <w:tblPrEx>
          <w:tblCellMar>
            <w:top w:w="15" w:type="dxa"/>
            <w:left w:w="15" w:type="dxa"/>
            <w:bottom w:w="15" w:type="dxa"/>
            <w:right w:w="15" w:type="dxa"/>
          </w:tblCellMar>
        </w:tblPrEx>
        <w:trPr>
          <w:trHeight w:val="572" w:hRule="exact"/>
          <w:jc w:val="center"/>
        </w:trPr>
        <w:tc>
          <w:tcPr>
            <w:tcW w:w="1140" w:type="pct"/>
            <w:vMerge w:val="continue"/>
            <w:tcBorders>
              <w:top w:val="single" w:color="000000" w:sz="4" w:space="0"/>
              <w:left w:val="single" w:color="000000" w:sz="4" w:space="0"/>
              <w:bottom w:val="single" w:color="000000" w:sz="4" w:space="0"/>
              <w:right w:val="single" w:color="000000" w:sz="4" w:space="0"/>
            </w:tcBorders>
            <w:vAlign w:val="center"/>
          </w:tcPr>
          <w:p>
            <w:pPr>
              <w:pageBreakBefore w:val="0"/>
              <w:kinsoku/>
              <w:wordWrap/>
              <w:overflowPunct/>
              <w:topLinePunct w:val="0"/>
              <w:autoSpaceDE/>
              <w:autoSpaceDN/>
              <w:bidi w:val="0"/>
              <w:adjustRightInd/>
              <w:snapToGrid/>
              <w:spacing w:line="560" w:lineRule="exact"/>
              <w:jc w:val="center"/>
              <w:rPr>
                <w:rFonts w:hint="eastAsia" w:ascii="仿宋" w:hAnsi="仿宋" w:eastAsia="仿宋" w:cs="仿宋"/>
                <w:color w:val="000000"/>
                <w:sz w:val="24"/>
                <w:szCs w:val="24"/>
              </w:rPr>
            </w:pPr>
          </w:p>
        </w:tc>
        <w:tc>
          <w:tcPr>
            <w:tcW w:w="1150" w:type="pct"/>
            <w:vMerge w:val="continue"/>
            <w:tcBorders>
              <w:top w:val="single" w:color="000000" w:sz="4" w:space="0"/>
              <w:left w:val="single" w:color="000000" w:sz="4" w:space="0"/>
              <w:bottom w:val="single" w:color="000000" w:sz="4" w:space="0"/>
              <w:right w:val="single" w:color="000000" w:sz="4" w:space="0"/>
            </w:tcBorders>
            <w:vAlign w:val="center"/>
          </w:tcPr>
          <w:p>
            <w:pPr>
              <w:pageBreakBefore w:val="0"/>
              <w:kinsoku/>
              <w:wordWrap/>
              <w:overflowPunct/>
              <w:topLinePunct w:val="0"/>
              <w:autoSpaceDE/>
              <w:autoSpaceDN/>
              <w:bidi w:val="0"/>
              <w:adjustRightInd/>
              <w:snapToGrid/>
              <w:spacing w:line="560" w:lineRule="exact"/>
              <w:jc w:val="center"/>
              <w:rPr>
                <w:rFonts w:hint="eastAsia" w:ascii="仿宋" w:hAnsi="仿宋" w:eastAsia="仿宋" w:cs="仿宋"/>
                <w:color w:val="000000"/>
                <w:sz w:val="24"/>
                <w:szCs w:val="24"/>
              </w:rPr>
            </w:pPr>
          </w:p>
        </w:tc>
        <w:tc>
          <w:tcPr>
            <w:tcW w:w="1237" w:type="pct"/>
            <w:tcBorders>
              <w:top w:val="single" w:color="000000" w:sz="4" w:space="0"/>
              <w:left w:val="single" w:color="000000" w:sz="4" w:space="0"/>
              <w:bottom w:val="single" w:color="000000" w:sz="4" w:space="0"/>
              <w:right w:val="single" w:color="000000"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rPr>
              <w:t>明确性</w:t>
            </w:r>
          </w:p>
        </w:tc>
        <w:tc>
          <w:tcPr>
            <w:tcW w:w="779" w:type="pct"/>
            <w:tcBorders>
              <w:top w:val="single" w:color="000000" w:sz="4" w:space="0"/>
              <w:left w:val="single" w:color="000000" w:sz="4" w:space="0"/>
              <w:bottom w:val="single" w:color="000000" w:sz="4" w:space="0"/>
              <w:right w:val="single" w:color="000000"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rPr>
              <w:t>2</w:t>
            </w:r>
          </w:p>
        </w:tc>
        <w:tc>
          <w:tcPr>
            <w:tcW w:w="691" w:type="pct"/>
            <w:tcBorders>
              <w:top w:val="single" w:color="000000" w:sz="4" w:space="0"/>
              <w:left w:val="single" w:color="000000" w:sz="4" w:space="0"/>
              <w:bottom w:val="single" w:color="000000" w:sz="4" w:space="0"/>
              <w:right w:val="single" w:color="000000"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rPr>
              <w:t>2</w:t>
            </w:r>
          </w:p>
        </w:tc>
      </w:tr>
      <w:tr>
        <w:tblPrEx>
          <w:tblCellMar>
            <w:top w:w="15" w:type="dxa"/>
            <w:left w:w="15" w:type="dxa"/>
            <w:bottom w:w="15" w:type="dxa"/>
            <w:right w:w="15" w:type="dxa"/>
          </w:tblCellMar>
        </w:tblPrEx>
        <w:trPr>
          <w:trHeight w:val="492" w:hRule="exact"/>
          <w:jc w:val="center"/>
        </w:trPr>
        <w:tc>
          <w:tcPr>
            <w:tcW w:w="3528" w:type="pct"/>
            <w:gridSpan w:val="3"/>
            <w:tcBorders>
              <w:top w:val="single" w:color="000000" w:sz="4" w:space="0"/>
              <w:left w:val="single" w:color="000000" w:sz="4" w:space="0"/>
              <w:bottom w:val="single" w:color="000000" w:sz="4" w:space="0"/>
              <w:right w:val="single" w:color="000000"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合  计</w:t>
            </w:r>
          </w:p>
        </w:tc>
        <w:tc>
          <w:tcPr>
            <w:tcW w:w="779" w:type="pct"/>
            <w:tcBorders>
              <w:top w:val="single" w:color="000000" w:sz="4" w:space="0"/>
              <w:left w:val="single" w:color="000000" w:sz="4" w:space="0"/>
              <w:bottom w:val="single" w:color="000000" w:sz="4" w:space="0"/>
              <w:right w:val="single" w:color="000000"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10</w:t>
            </w:r>
          </w:p>
        </w:tc>
        <w:tc>
          <w:tcPr>
            <w:tcW w:w="691" w:type="pct"/>
            <w:tcBorders>
              <w:top w:val="single" w:color="000000" w:sz="4" w:space="0"/>
              <w:left w:val="single" w:color="000000" w:sz="4" w:space="0"/>
              <w:bottom w:val="single" w:color="000000" w:sz="4" w:space="0"/>
              <w:right w:val="single" w:color="000000"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10</w:t>
            </w:r>
          </w:p>
        </w:tc>
      </w:tr>
    </w:tbl>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rPr>
      </w:pPr>
      <w:r>
        <w:rPr>
          <w:rFonts w:hint="eastAsia" w:ascii="仿宋" w:hAnsi="仿宋" w:eastAsia="仿宋" w:cs="仿宋"/>
          <w:sz w:val="30"/>
          <w:szCs w:val="30"/>
        </w:rPr>
        <w:t>1.决策机制（5分）</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rPr>
      </w:pPr>
      <w:r>
        <w:rPr>
          <w:rFonts w:hint="eastAsia" w:ascii="仿宋" w:hAnsi="仿宋" w:eastAsia="仿宋" w:cs="仿宋"/>
          <w:sz w:val="30"/>
          <w:szCs w:val="30"/>
        </w:rPr>
        <w:t>该指标包含2个三级指标，主要评价项目立项是否符合国家法规、政策规定，符合社会经济发展战略规划；项目决策是否满足政府职能，用于调节经济、市场监管、提供公共产品和服务</w:t>
      </w:r>
    </w:p>
    <w:p>
      <w:pPr>
        <w:pageBreakBefore w:val="0"/>
        <w:numPr>
          <w:ilvl w:val="0"/>
          <w:numId w:val="1"/>
        </w:numPr>
        <w:kinsoku/>
        <w:wordWrap/>
        <w:overflowPunct/>
        <w:topLinePunct w:val="0"/>
        <w:autoSpaceDE/>
        <w:autoSpaceDN/>
        <w:bidi w:val="0"/>
        <w:adjustRightInd/>
        <w:snapToGrid/>
        <w:spacing w:line="560" w:lineRule="exact"/>
        <w:ind w:firstLine="300" w:firstLineChars="100"/>
        <w:jc w:val="left"/>
        <w:rPr>
          <w:rFonts w:hint="eastAsia" w:ascii="仿宋" w:hAnsi="仿宋" w:eastAsia="仿宋" w:cs="仿宋"/>
          <w:sz w:val="30"/>
          <w:szCs w:val="30"/>
        </w:rPr>
      </w:pPr>
      <w:r>
        <w:rPr>
          <w:rFonts w:hint="eastAsia" w:ascii="仿宋" w:hAnsi="仿宋" w:eastAsia="仿宋" w:cs="仿宋"/>
          <w:sz w:val="30"/>
          <w:szCs w:val="30"/>
        </w:rPr>
        <w:t>项目设立的依据（3分）</w:t>
      </w:r>
    </w:p>
    <w:p>
      <w:pPr>
        <w:pageBreakBefore w:val="0"/>
        <w:kinsoku/>
        <w:wordWrap/>
        <w:overflowPunct/>
        <w:topLinePunct w:val="0"/>
        <w:autoSpaceDE/>
        <w:autoSpaceDN/>
        <w:bidi w:val="0"/>
        <w:adjustRightInd/>
        <w:snapToGrid/>
        <w:spacing w:line="560" w:lineRule="exact"/>
        <w:jc w:val="left"/>
        <w:rPr>
          <w:rFonts w:hint="eastAsia" w:ascii="仿宋" w:hAnsi="仿宋" w:eastAsia="仿宋" w:cs="仿宋"/>
          <w:sz w:val="30"/>
          <w:szCs w:val="30"/>
          <w:lang w:eastAsia="zh-CN"/>
        </w:rPr>
      </w:pPr>
      <w:r>
        <w:rPr>
          <w:rFonts w:hint="eastAsia" w:ascii="仿宋" w:hAnsi="仿宋" w:eastAsia="仿宋" w:cs="仿宋"/>
          <w:sz w:val="30"/>
          <w:szCs w:val="30"/>
        </w:rPr>
        <w:t xml:space="preserve">   该指标主要评价该项目立项是否符合国家法规、政策规定，符合社会经济发展战略规划</w:t>
      </w:r>
      <w:r>
        <w:rPr>
          <w:rFonts w:hint="eastAsia" w:ascii="仿宋" w:hAnsi="仿宋" w:eastAsia="仿宋" w:cs="仿宋"/>
          <w:sz w:val="30"/>
          <w:szCs w:val="30"/>
          <w:lang w:eastAsia="zh-CN"/>
        </w:rPr>
        <w:t>。</w:t>
      </w:r>
    </w:p>
    <w:p>
      <w:pPr>
        <w:pageBreakBefore w:val="0"/>
        <w:kinsoku/>
        <w:wordWrap/>
        <w:overflowPunct/>
        <w:topLinePunct w:val="0"/>
        <w:autoSpaceDE/>
        <w:autoSpaceDN/>
        <w:bidi w:val="0"/>
        <w:adjustRightInd/>
        <w:snapToGrid/>
        <w:spacing w:line="560" w:lineRule="exact"/>
        <w:ind w:firstLine="600" w:firstLineChars="200"/>
        <w:outlineLvl w:val="0"/>
        <w:rPr>
          <w:rFonts w:hint="eastAsia" w:ascii="仿宋" w:hAnsi="仿宋" w:eastAsia="仿宋" w:cs="仿宋"/>
          <w:sz w:val="30"/>
          <w:szCs w:val="30"/>
        </w:rPr>
      </w:pPr>
      <w:bookmarkStart w:id="32" w:name="_Toc21059"/>
      <w:bookmarkStart w:id="33" w:name="_Toc25534"/>
      <w:bookmarkStart w:id="34" w:name="_Toc83630331"/>
      <w:bookmarkStart w:id="35" w:name="_Toc83631041"/>
      <w:bookmarkStart w:id="36" w:name="_Toc83630427"/>
      <w:r>
        <w:rPr>
          <w:rFonts w:hint="eastAsia" w:ascii="仿宋" w:hAnsi="仿宋" w:eastAsia="仿宋" w:cs="仿宋"/>
          <w:sz w:val="30"/>
          <w:szCs w:val="30"/>
        </w:rPr>
        <w:t>经检查，该项目设立的主要依据</w:t>
      </w:r>
      <w:r>
        <w:rPr>
          <w:rFonts w:hint="eastAsia" w:ascii="仿宋" w:hAnsi="仿宋" w:eastAsia="仿宋" w:cs="仿宋"/>
          <w:sz w:val="30"/>
          <w:szCs w:val="30"/>
          <w:lang w:val="en-US" w:eastAsia="zh-CN"/>
        </w:rPr>
        <w:t>为</w:t>
      </w:r>
      <w:r>
        <w:rPr>
          <w:rFonts w:hint="eastAsia" w:ascii="仿宋" w:hAnsi="仿宋" w:eastAsia="仿宋" w:cs="仿宋"/>
          <w:sz w:val="30"/>
          <w:szCs w:val="30"/>
        </w:rPr>
        <w:t>《</w:t>
      </w:r>
      <w:r>
        <w:rPr>
          <w:rFonts w:hint="eastAsia" w:ascii="仿宋" w:hAnsi="仿宋" w:eastAsia="仿宋" w:cs="仿宋"/>
          <w:sz w:val="30"/>
          <w:szCs w:val="30"/>
          <w:lang w:val="en-US" w:eastAsia="zh-CN"/>
        </w:rPr>
        <w:t>关于做好2021年农村义务教育阶段学校教师特设岗位计划实施工作的通知</w:t>
      </w:r>
      <w:r>
        <w:rPr>
          <w:rFonts w:hint="eastAsia" w:ascii="仿宋" w:hAnsi="仿宋" w:eastAsia="仿宋" w:cs="仿宋"/>
          <w:sz w:val="30"/>
          <w:szCs w:val="30"/>
        </w:rPr>
        <w:t>》</w:t>
      </w:r>
      <w:r>
        <w:rPr>
          <w:rFonts w:hint="eastAsia" w:ascii="仿宋" w:hAnsi="仿宋" w:eastAsia="仿宋" w:cs="仿宋"/>
          <w:sz w:val="30"/>
          <w:szCs w:val="30"/>
          <w:lang w:eastAsia="zh-CN"/>
        </w:rPr>
        <w:t>（</w:t>
      </w:r>
      <w:r>
        <w:rPr>
          <w:rFonts w:hint="eastAsia" w:ascii="仿宋" w:hAnsi="仿宋" w:eastAsia="仿宋" w:cs="仿宋"/>
          <w:sz w:val="30"/>
          <w:szCs w:val="30"/>
          <w:lang w:val="en-US" w:eastAsia="zh-CN"/>
        </w:rPr>
        <w:t>教师厅[2021]1号</w:t>
      </w:r>
      <w:r>
        <w:rPr>
          <w:rFonts w:hint="eastAsia" w:ascii="仿宋" w:hAnsi="仿宋" w:eastAsia="仿宋" w:cs="仿宋"/>
          <w:sz w:val="30"/>
          <w:szCs w:val="30"/>
          <w:lang w:eastAsia="zh-CN"/>
        </w:rPr>
        <w:t>）</w:t>
      </w:r>
      <w:r>
        <w:rPr>
          <w:rFonts w:hint="eastAsia" w:ascii="仿宋" w:hAnsi="仿宋" w:eastAsia="仿宋" w:cs="仿宋"/>
          <w:sz w:val="30"/>
          <w:szCs w:val="30"/>
        </w:rPr>
        <w:t>；</w:t>
      </w:r>
      <w:bookmarkEnd w:id="32"/>
      <w:bookmarkEnd w:id="33"/>
      <w:bookmarkEnd w:id="34"/>
      <w:bookmarkEnd w:id="35"/>
      <w:bookmarkEnd w:id="36"/>
      <w:r>
        <w:rPr>
          <w:rFonts w:hint="eastAsia" w:ascii="仿宋" w:hAnsi="仿宋" w:eastAsia="仿宋" w:cs="仿宋"/>
          <w:sz w:val="30"/>
          <w:szCs w:val="30"/>
          <w:lang w:eastAsia="zh-CN"/>
        </w:rPr>
        <w:t>《</w:t>
      </w:r>
      <w:r>
        <w:rPr>
          <w:rFonts w:hint="eastAsia" w:ascii="仿宋" w:hAnsi="仿宋" w:eastAsia="仿宋" w:cs="仿宋"/>
          <w:sz w:val="30"/>
          <w:szCs w:val="30"/>
          <w:lang w:val="en-US" w:eastAsia="zh-CN"/>
        </w:rPr>
        <w:t>人力资源社会保障部办公厅 教育部办公厅关于做好2021年中小学幼儿园教师公开招聘工作的通知</w:t>
      </w:r>
      <w:r>
        <w:rPr>
          <w:rFonts w:hint="eastAsia" w:ascii="仿宋" w:hAnsi="仿宋" w:eastAsia="仿宋" w:cs="仿宋"/>
          <w:sz w:val="30"/>
          <w:szCs w:val="30"/>
          <w:lang w:eastAsia="zh-CN"/>
        </w:rPr>
        <w:t>》</w:t>
      </w:r>
      <w:r>
        <w:rPr>
          <w:rFonts w:hint="eastAsia" w:ascii="仿宋" w:hAnsi="仿宋" w:eastAsia="仿宋" w:cs="仿宋"/>
          <w:sz w:val="30"/>
          <w:szCs w:val="30"/>
        </w:rPr>
        <w:t>；</w:t>
      </w:r>
      <w:r>
        <w:rPr>
          <w:rFonts w:hint="eastAsia" w:ascii="仿宋" w:hAnsi="仿宋" w:eastAsia="仿宋" w:cs="仿宋"/>
          <w:sz w:val="30"/>
          <w:szCs w:val="30"/>
          <w:lang w:val="en-US" w:eastAsia="zh-CN"/>
        </w:rPr>
        <w:t xml:space="preserve">河北省教育厅 </w:t>
      </w:r>
      <w:r>
        <w:rPr>
          <w:rFonts w:hint="eastAsia" w:ascii="仿宋" w:hAnsi="仿宋" w:eastAsia="仿宋" w:cs="仿宋"/>
          <w:sz w:val="30"/>
          <w:szCs w:val="30"/>
        </w:rPr>
        <w:t>河北省财政厅《</w:t>
      </w:r>
      <w:r>
        <w:rPr>
          <w:rFonts w:hint="eastAsia" w:ascii="仿宋" w:hAnsi="仿宋" w:eastAsia="仿宋" w:cs="仿宋"/>
          <w:sz w:val="30"/>
          <w:szCs w:val="30"/>
          <w:lang w:val="en-US" w:eastAsia="zh-CN"/>
        </w:rPr>
        <w:t>关于做好河北省2021年农村义务教育阶段学校教师特设岗位计划实施工作的通知</w:t>
      </w:r>
      <w:r>
        <w:rPr>
          <w:rFonts w:hint="eastAsia" w:ascii="仿宋" w:hAnsi="仿宋" w:eastAsia="仿宋" w:cs="仿宋"/>
          <w:sz w:val="30"/>
          <w:szCs w:val="30"/>
        </w:rPr>
        <w:t>》（冀</w:t>
      </w:r>
      <w:r>
        <w:rPr>
          <w:rFonts w:hint="eastAsia" w:ascii="仿宋" w:hAnsi="仿宋" w:eastAsia="仿宋" w:cs="仿宋"/>
          <w:sz w:val="30"/>
          <w:szCs w:val="30"/>
          <w:lang w:val="en-US" w:eastAsia="zh-CN"/>
        </w:rPr>
        <w:t>教师[</w:t>
      </w:r>
      <w:r>
        <w:rPr>
          <w:rFonts w:hint="eastAsia" w:ascii="仿宋" w:hAnsi="仿宋" w:eastAsia="仿宋" w:cs="仿宋"/>
          <w:sz w:val="30"/>
          <w:szCs w:val="30"/>
        </w:rPr>
        <w:t>20</w:t>
      </w:r>
      <w:r>
        <w:rPr>
          <w:rFonts w:hint="eastAsia" w:ascii="仿宋" w:hAnsi="仿宋" w:eastAsia="仿宋" w:cs="仿宋"/>
          <w:sz w:val="30"/>
          <w:szCs w:val="30"/>
          <w:lang w:val="en-US" w:eastAsia="zh-CN"/>
        </w:rPr>
        <w:t>21]11</w:t>
      </w:r>
      <w:r>
        <w:rPr>
          <w:rFonts w:hint="eastAsia" w:ascii="仿宋" w:hAnsi="仿宋" w:eastAsia="仿宋" w:cs="仿宋"/>
          <w:sz w:val="30"/>
          <w:szCs w:val="30"/>
        </w:rPr>
        <w:t>号</w:t>
      </w:r>
      <w:r>
        <w:rPr>
          <w:rFonts w:hint="eastAsia" w:ascii="仿宋" w:hAnsi="仿宋" w:eastAsia="仿宋" w:cs="仿宋"/>
          <w:sz w:val="30"/>
          <w:szCs w:val="30"/>
          <w:highlight w:val="none"/>
        </w:rPr>
        <w:t>）</w:t>
      </w:r>
      <w:r>
        <w:rPr>
          <w:rFonts w:hint="eastAsia" w:ascii="仿宋" w:hAnsi="仿宋" w:eastAsia="仿宋" w:cs="仿宋"/>
          <w:sz w:val="30"/>
          <w:szCs w:val="30"/>
          <w:highlight w:val="none"/>
          <w:lang w:eastAsia="zh-CN"/>
        </w:rPr>
        <w:t>；河北省财政厅河北省教育厅《关于提前下达 2021年城乡义务教育中央补助经费预算(直达资金)的通知》</w:t>
      </w:r>
      <w:r>
        <w:rPr>
          <w:rFonts w:hint="eastAsia" w:ascii="仿宋" w:hAnsi="仿宋" w:eastAsia="仿宋" w:cs="仿宋"/>
          <w:sz w:val="30"/>
          <w:szCs w:val="30"/>
          <w:highlight w:val="none"/>
          <w:lang w:val="en-US" w:eastAsia="zh-CN"/>
        </w:rPr>
        <w:t>冀财教[2020]154号</w:t>
      </w:r>
      <w:r>
        <w:rPr>
          <w:rFonts w:hint="eastAsia" w:ascii="仿宋" w:hAnsi="仿宋" w:eastAsia="仿宋" w:cs="仿宋"/>
          <w:sz w:val="30"/>
          <w:szCs w:val="30"/>
          <w:highlight w:val="none"/>
        </w:rPr>
        <w:t>等。</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rPr>
      </w:pPr>
      <w:r>
        <w:rPr>
          <w:rFonts w:hint="eastAsia" w:ascii="仿宋" w:hAnsi="仿宋" w:eastAsia="仿宋" w:cs="仿宋"/>
          <w:sz w:val="30"/>
          <w:szCs w:val="30"/>
        </w:rPr>
        <w:t>我们认为该项目设定依据充分，目标设定明确、合理、科学、可行，符合国家法规、政策规定，符合社会经济发展战略规划。</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rPr>
      </w:pPr>
      <w:r>
        <w:rPr>
          <w:rFonts w:hint="eastAsia" w:ascii="仿宋" w:hAnsi="仿宋" w:eastAsia="仿宋" w:cs="仿宋"/>
          <w:sz w:val="30"/>
          <w:szCs w:val="30"/>
        </w:rPr>
        <w:t>该指标实际得分3分。</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rPr>
      </w:pPr>
      <w:r>
        <w:rPr>
          <w:rFonts w:hint="eastAsia" w:ascii="仿宋" w:hAnsi="仿宋" w:eastAsia="仿宋" w:cs="仿宋"/>
          <w:sz w:val="30"/>
          <w:szCs w:val="30"/>
        </w:rPr>
        <w:t>（2）项目决策必要性（2分）</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rPr>
      </w:pPr>
      <w:r>
        <w:rPr>
          <w:rFonts w:hint="eastAsia" w:ascii="仿宋" w:hAnsi="仿宋" w:eastAsia="仿宋" w:cs="仿宋"/>
          <w:sz w:val="30"/>
          <w:szCs w:val="30"/>
        </w:rPr>
        <w:t>该指标主要评价项目内容设置与国家及地方政策、规划、社会需求等相关内容相符程度，决策过程是否规范，用以反映和考核项目决策的必要性。</w:t>
      </w:r>
    </w:p>
    <w:p>
      <w:pPr>
        <w:pageBreakBefore w:val="0"/>
        <w:kinsoku/>
        <w:wordWrap/>
        <w:overflowPunct/>
        <w:topLinePunct w:val="0"/>
        <w:autoSpaceDE/>
        <w:autoSpaceDN/>
        <w:bidi w:val="0"/>
        <w:adjustRightInd/>
        <w:snapToGrid/>
        <w:spacing w:line="560" w:lineRule="exact"/>
        <w:ind w:firstLine="588" w:firstLineChars="196"/>
        <w:outlineLvl w:val="0"/>
        <w:rPr>
          <w:rFonts w:hint="eastAsia" w:ascii="仿宋" w:hAnsi="仿宋" w:eastAsia="仿宋" w:cs="仿宋"/>
          <w:sz w:val="30"/>
          <w:szCs w:val="30"/>
          <w:lang w:val="en-US" w:eastAsia="zh-CN"/>
        </w:rPr>
      </w:pPr>
      <w:bookmarkStart w:id="37" w:name="_Toc24207"/>
      <w:bookmarkStart w:id="38" w:name="_Toc83631042"/>
      <w:bookmarkStart w:id="39" w:name="_Toc83630428"/>
      <w:bookmarkStart w:id="40" w:name="_Toc83630332"/>
      <w:bookmarkStart w:id="41" w:name="_Toc32149"/>
      <w:r>
        <w:rPr>
          <w:rFonts w:hint="eastAsia" w:ascii="仿宋" w:hAnsi="仿宋" w:eastAsia="仿宋" w:cs="仿宋"/>
          <w:sz w:val="30"/>
          <w:szCs w:val="30"/>
        </w:rPr>
        <w:t>项目的实施</w:t>
      </w:r>
      <w:r>
        <w:rPr>
          <w:rFonts w:hint="eastAsia" w:ascii="仿宋" w:hAnsi="仿宋" w:eastAsia="仿宋" w:cs="仿宋"/>
          <w:sz w:val="30"/>
          <w:szCs w:val="30"/>
          <w:lang w:val="en-US" w:eastAsia="zh-CN"/>
        </w:rPr>
        <w:t>可以完善曲阳县农村教师补充新机制，逐步解决曲阳县农村学校师资总量不足和结构性矛盾等问题，提高农村教师队伍整体素质和农村教育教学质量，缩小城乡教育差距，大力促进教育公平和城乡教育资源均衡配置。</w:t>
      </w:r>
      <w:bookmarkEnd w:id="37"/>
      <w:bookmarkEnd w:id="38"/>
      <w:bookmarkEnd w:id="39"/>
      <w:bookmarkEnd w:id="40"/>
      <w:bookmarkEnd w:id="41"/>
      <w:bookmarkStart w:id="42" w:name="_Toc26878"/>
      <w:bookmarkStart w:id="43" w:name="_Toc5914"/>
      <w:bookmarkStart w:id="44" w:name="_Toc83631043"/>
      <w:bookmarkStart w:id="45" w:name="_Toc83630333"/>
      <w:bookmarkStart w:id="46" w:name="_Toc83630429"/>
    </w:p>
    <w:p>
      <w:pPr>
        <w:pageBreakBefore w:val="0"/>
        <w:kinsoku/>
        <w:wordWrap/>
        <w:overflowPunct/>
        <w:topLinePunct w:val="0"/>
        <w:autoSpaceDE/>
        <w:autoSpaceDN/>
        <w:bidi w:val="0"/>
        <w:adjustRightInd/>
        <w:snapToGrid/>
        <w:spacing w:line="560" w:lineRule="exact"/>
        <w:ind w:firstLine="588" w:firstLineChars="196"/>
        <w:outlineLvl w:val="0"/>
        <w:rPr>
          <w:rFonts w:hint="eastAsia" w:ascii="仿宋" w:hAnsi="仿宋" w:eastAsia="仿宋" w:cs="仿宋"/>
          <w:sz w:val="30"/>
          <w:szCs w:val="30"/>
        </w:rPr>
      </w:pPr>
      <w:r>
        <w:rPr>
          <w:rFonts w:hint="eastAsia" w:ascii="仿宋" w:hAnsi="仿宋" w:eastAsia="仿宋" w:cs="仿宋"/>
          <w:sz w:val="30"/>
          <w:szCs w:val="30"/>
        </w:rPr>
        <w:t>为此我们认为该项目决策的评价结论为必要。</w:t>
      </w:r>
      <w:bookmarkEnd w:id="42"/>
      <w:bookmarkEnd w:id="43"/>
      <w:bookmarkEnd w:id="44"/>
      <w:bookmarkEnd w:id="45"/>
      <w:bookmarkEnd w:id="46"/>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rPr>
      </w:pPr>
      <w:r>
        <w:rPr>
          <w:rFonts w:hint="eastAsia" w:ascii="仿宋" w:hAnsi="仿宋" w:eastAsia="仿宋" w:cs="仿宋"/>
          <w:sz w:val="30"/>
          <w:szCs w:val="30"/>
        </w:rPr>
        <w:t>该指标实际得分2分。</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rPr>
      </w:pPr>
      <w:r>
        <w:rPr>
          <w:rFonts w:hint="eastAsia" w:ascii="仿宋" w:hAnsi="仿宋" w:eastAsia="仿宋" w:cs="仿宋"/>
          <w:sz w:val="30"/>
          <w:szCs w:val="30"/>
        </w:rPr>
        <w:t>2.绩效目标（5分）</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rPr>
      </w:pPr>
      <w:r>
        <w:rPr>
          <w:rFonts w:hint="eastAsia" w:ascii="仿宋" w:hAnsi="仿宋" w:eastAsia="仿宋" w:cs="仿宋"/>
          <w:sz w:val="30"/>
          <w:szCs w:val="30"/>
        </w:rPr>
        <w:t>该指标共包含2个三级指标，主要评价项目绩效目标依据是否充分，项目绩效指标是否清晰、细化、量化、可衡量。</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rPr>
      </w:pPr>
      <w:r>
        <w:rPr>
          <w:rFonts w:hint="eastAsia" w:ascii="仿宋" w:hAnsi="仿宋" w:eastAsia="仿宋" w:cs="仿宋"/>
          <w:sz w:val="30"/>
          <w:szCs w:val="30"/>
        </w:rPr>
        <w:t>（1）合理性（3分）</w:t>
      </w:r>
    </w:p>
    <w:p>
      <w:pPr>
        <w:pageBreakBefore w:val="0"/>
        <w:kinsoku/>
        <w:wordWrap/>
        <w:overflowPunct/>
        <w:topLinePunct w:val="0"/>
        <w:autoSpaceDE/>
        <w:autoSpaceDN/>
        <w:bidi w:val="0"/>
        <w:adjustRightInd/>
        <w:snapToGrid/>
        <w:spacing w:line="560" w:lineRule="exact"/>
        <w:jc w:val="left"/>
        <w:rPr>
          <w:rFonts w:hint="eastAsia" w:ascii="仿宋" w:hAnsi="仿宋" w:eastAsia="仿宋" w:cs="仿宋"/>
          <w:sz w:val="30"/>
          <w:szCs w:val="30"/>
        </w:rPr>
      </w:pPr>
      <w:r>
        <w:rPr>
          <w:rFonts w:hint="eastAsia" w:ascii="仿宋" w:hAnsi="仿宋" w:eastAsia="仿宋" w:cs="仿宋"/>
          <w:sz w:val="30"/>
          <w:szCs w:val="30"/>
        </w:rPr>
        <w:t xml:space="preserve">    该指标主要评价项目绩效目标依据是否充分，与客观实际相符的情况。</w:t>
      </w:r>
    </w:p>
    <w:p>
      <w:pPr>
        <w:keepNext w:val="0"/>
        <w:keepLines w:val="0"/>
        <w:pageBreakBefore w:val="0"/>
        <w:widowControl w:val="0"/>
        <w:kinsoku/>
        <w:wordWrap/>
        <w:overflowPunct/>
        <w:topLinePunct w:val="0"/>
        <w:autoSpaceDE/>
        <w:autoSpaceDN/>
        <w:bidi w:val="0"/>
        <w:adjustRightInd/>
        <w:snapToGrid/>
        <w:spacing w:line="560" w:lineRule="exact"/>
        <w:ind w:firstLine="600" w:firstLineChars="200"/>
        <w:textAlignment w:val="auto"/>
        <w:outlineLvl w:val="0"/>
        <w:rPr>
          <w:rFonts w:hint="eastAsia" w:ascii="仿宋" w:hAnsi="仿宋" w:eastAsia="仿宋" w:cs="仿宋"/>
          <w:sz w:val="30"/>
          <w:szCs w:val="30"/>
        </w:rPr>
      </w:pPr>
      <w:r>
        <w:rPr>
          <w:rFonts w:hint="eastAsia" w:ascii="仿宋" w:hAnsi="仿宋" w:eastAsia="仿宋" w:cs="仿宋"/>
          <w:sz w:val="30"/>
          <w:szCs w:val="30"/>
        </w:rPr>
        <w:t>经检查，该项目绩效目标是依据《</w:t>
      </w:r>
      <w:r>
        <w:rPr>
          <w:rFonts w:hint="eastAsia" w:ascii="仿宋" w:hAnsi="仿宋" w:eastAsia="仿宋" w:cs="仿宋"/>
          <w:sz w:val="30"/>
          <w:szCs w:val="30"/>
          <w:lang w:val="en-US" w:eastAsia="zh-CN"/>
        </w:rPr>
        <w:t>关于做好2021年农村义务教育阶段学校教师特设岗位计划实施工作的通知</w:t>
      </w:r>
      <w:r>
        <w:rPr>
          <w:rFonts w:hint="eastAsia" w:ascii="仿宋" w:hAnsi="仿宋" w:eastAsia="仿宋" w:cs="仿宋"/>
          <w:sz w:val="30"/>
          <w:szCs w:val="30"/>
        </w:rPr>
        <w:t>》</w:t>
      </w:r>
      <w:r>
        <w:rPr>
          <w:rFonts w:hint="eastAsia" w:ascii="仿宋" w:hAnsi="仿宋" w:eastAsia="仿宋" w:cs="仿宋"/>
          <w:sz w:val="30"/>
          <w:szCs w:val="30"/>
          <w:lang w:eastAsia="zh-CN"/>
        </w:rPr>
        <w:t>（</w:t>
      </w:r>
      <w:r>
        <w:rPr>
          <w:rFonts w:hint="eastAsia" w:ascii="仿宋" w:hAnsi="仿宋" w:eastAsia="仿宋" w:cs="仿宋"/>
          <w:sz w:val="30"/>
          <w:szCs w:val="30"/>
          <w:lang w:val="en-US" w:eastAsia="zh-CN"/>
        </w:rPr>
        <w:t>教师厅[2021]1号</w:t>
      </w:r>
      <w:r>
        <w:rPr>
          <w:rFonts w:hint="eastAsia" w:ascii="仿宋" w:hAnsi="仿宋" w:eastAsia="仿宋" w:cs="仿宋"/>
          <w:sz w:val="30"/>
          <w:szCs w:val="30"/>
          <w:lang w:eastAsia="zh-CN"/>
        </w:rPr>
        <w:t>）</w:t>
      </w:r>
      <w:r>
        <w:rPr>
          <w:rFonts w:hint="eastAsia" w:ascii="仿宋" w:hAnsi="仿宋" w:eastAsia="仿宋" w:cs="仿宋"/>
          <w:sz w:val="30"/>
          <w:szCs w:val="30"/>
        </w:rPr>
        <w:t>；</w:t>
      </w:r>
      <w:r>
        <w:rPr>
          <w:rFonts w:hint="eastAsia" w:ascii="仿宋" w:hAnsi="仿宋" w:eastAsia="仿宋" w:cs="仿宋"/>
          <w:sz w:val="30"/>
          <w:szCs w:val="30"/>
          <w:lang w:eastAsia="zh-CN"/>
        </w:rPr>
        <w:t>《</w:t>
      </w:r>
      <w:r>
        <w:rPr>
          <w:rFonts w:hint="eastAsia" w:ascii="仿宋" w:hAnsi="仿宋" w:eastAsia="仿宋" w:cs="仿宋"/>
          <w:sz w:val="30"/>
          <w:szCs w:val="30"/>
          <w:lang w:val="en-US" w:eastAsia="zh-CN"/>
        </w:rPr>
        <w:t>人力资源社会保障部办公厅 教育部办公厅关于做好2021年中小学幼儿园教师公开招聘工作的通知</w:t>
      </w:r>
      <w:r>
        <w:rPr>
          <w:rFonts w:hint="eastAsia" w:ascii="仿宋" w:hAnsi="仿宋" w:eastAsia="仿宋" w:cs="仿宋"/>
          <w:sz w:val="30"/>
          <w:szCs w:val="30"/>
          <w:lang w:eastAsia="zh-CN"/>
        </w:rPr>
        <w:t>》</w:t>
      </w:r>
      <w:r>
        <w:rPr>
          <w:rFonts w:hint="eastAsia" w:ascii="仿宋" w:hAnsi="仿宋" w:eastAsia="仿宋" w:cs="仿宋"/>
          <w:sz w:val="30"/>
          <w:szCs w:val="30"/>
        </w:rPr>
        <w:t>；</w:t>
      </w:r>
      <w:r>
        <w:rPr>
          <w:rFonts w:hint="eastAsia" w:ascii="仿宋" w:hAnsi="仿宋" w:eastAsia="仿宋" w:cs="仿宋"/>
          <w:sz w:val="30"/>
          <w:szCs w:val="30"/>
          <w:lang w:val="en-US" w:eastAsia="zh-CN"/>
        </w:rPr>
        <w:t xml:space="preserve">河北省教育厅 </w:t>
      </w:r>
      <w:r>
        <w:rPr>
          <w:rFonts w:hint="eastAsia" w:ascii="仿宋" w:hAnsi="仿宋" w:eastAsia="仿宋" w:cs="仿宋"/>
          <w:sz w:val="30"/>
          <w:szCs w:val="30"/>
        </w:rPr>
        <w:t>河北省财政厅《</w:t>
      </w:r>
      <w:r>
        <w:rPr>
          <w:rFonts w:hint="eastAsia" w:ascii="仿宋" w:hAnsi="仿宋" w:eastAsia="仿宋" w:cs="仿宋"/>
          <w:sz w:val="30"/>
          <w:szCs w:val="30"/>
          <w:lang w:val="en-US" w:eastAsia="zh-CN"/>
        </w:rPr>
        <w:t>关于做好河北省2021年农村义务教育阶段学校教师特设岗位计划实施工作的通知</w:t>
      </w:r>
      <w:r>
        <w:rPr>
          <w:rFonts w:hint="eastAsia" w:ascii="仿宋" w:hAnsi="仿宋" w:eastAsia="仿宋" w:cs="仿宋"/>
          <w:sz w:val="30"/>
          <w:szCs w:val="30"/>
        </w:rPr>
        <w:t>》（冀</w:t>
      </w:r>
      <w:r>
        <w:rPr>
          <w:rFonts w:hint="eastAsia" w:ascii="仿宋" w:hAnsi="仿宋" w:eastAsia="仿宋" w:cs="仿宋"/>
          <w:sz w:val="30"/>
          <w:szCs w:val="30"/>
          <w:lang w:val="en-US" w:eastAsia="zh-CN"/>
        </w:rPr>
        <w:t>教师[</w:t>
      </w:r>
      <w:r>
        <w:rPr>
          <w:rFonts w:hint="eastAsia" w:ascii="仿宋" w:hAnsi="仿宋" w:eastAsia="仿宋" w:cs="仿宋"/>
          <w:sz w:val="30"/>
          <w:szCs w:val="30"/>
        </w:rPr>
        <w:t>20</w:t>
      </w:r>
      <w:r>
        <w:rPr>
          <w:rFonts w:hint="eastAsia" w:ascii="仿宋" w:hAnsi="仿宋" w:eastAsia="仿宋" w:cs="仿宋"/>
          <w:sz w:val="30"/>
          <w:szCs w:val="30"/>
          <w:lang w:val="en-US" w:eastAsia="zh-CN"/>
        </w:rPr>
        <w:t>21]11</w:t>
      </w:r>
      <w:r>
        <w:rPr>
          <w:rFonts w:hint="eastAsia" w:ascii="仿宋" w:hAnsi="仿宋" w:eastAsia="仿宋" w:cs="仿宋"/>
          <w:sz w:val="30"/>
          <w:szCs w:val="30"/>
        </w:rPr>
        <w:t>号）等制定的，绩效目标依据较充分。</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rPr>
      </w:pPr>
      <w:r>
        <w:rPr>
          <w:rFonts w:hint="eastAsia" w:ascii="仿宋" w:hAnsi="仿宋" w:eastAsia="仿宋" w:cs="仿宋"/>
          <w:sz w:val="30"/>
          <w:szCs w:val="30"/>
        </w:rPr>
        <w:t>该指标实际得分3分。</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rPr>
      </w:pPr>
      <w:r>
        <w:rPr>
          <w:rFonts w:hint="eastAsia" w:ascii="仿宋" w:hAnsi="仿宋" w:eastAsia="仿宋" w:cs="仿宋"/>
          <w:sz w:val="30"/>
          <w:szCs w:val="30"/>
        </w:rPr>
        <w:t>（2）明确性（2分）</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rPr>
      </w:pPr>
      <w:r>
        <w:rPr>
          <w:rFonts w:hint="eastAsia" w:ascii="仿宋" w:hAnsi="仿宋" w:eastAsia="仿宋" w:cs="仿宋"/>
          <w:sz w:val="30"/>
          <w:szCs w:val="30"/>
        </w:rPr>
        <w:t>该指标主要评价项目绩效指标是否清晰、细化、量化、可衡量，及其与当年工作任务的匹配情况。</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rPr>
      </w:pPr>
      <w:r>
        <w:rPr>
          <w:rFonts w:hint="eastAsia" w:ascii="仿宋" w:hAnsi="仿宋" w:eastAsia="仿宋" w:cs="仿宋"/>
          <w:sz w:val="30"/>
          <w:szCs w:val="30"/>
        </w:rPr>
        <w:t>经检查，该项目根据</w:t>
      </w:r>
      <w:r>
        <w:rPr>
          <w:rFonts w:hint="eastAsia" w:ascii="仿宋" w:hAnsi="仿宋" w:eastAsia="仿宋" w:cs="仿宋"/>
          <w:sz w:val="30"/>
          <w:szCs w:val="30"/>
          <w:highlight w:val="none"/>
          <w:lang w:val="en-US" w:eastAsia="zh-CN"/>
        </w:rPr>
        <w:t>曲阳县</w:t>
      </w:r>
      <w:r>
        <w:rPr>
          <w:rFonts w:hint="eastAsia" w:ascii="仿宋" w:hAnsi="仿宋" w:eastAsia="仿宋" w:cs="仿宋"/>
          <w:sz w:val="30"/>
          <w:szCs w:val="30"/>
          <w:highlight w:val="none"/>
        </w:rPr>
        <w:t>财政局下发的《关于开展202</w:t>
      </w:r>
      <w:r>
        <w:rPr>
          <w:rFonts w:hint="eastAsia" w:ascii="仿宋" w:hAnsi="仿宋" w:eastAsia="仿宋" w:cs="仿宋"/>
          <w:sz w:val="30"/>
          <w:szCs w:val="30"/>
          <w:highlight w:val="none"/>
          <w:lang w:val="en-US" w:eastAsia="zh-CN"/>
        </w:rPr>
        <w:t>1</w:t>
      </w:r>
      <w:r>
        <w:rPr>
          <w:rFonts w:hint="eastAsia" w:ascii="仿宋" w:hAnsi="仿宋" w:eastAsia="仿宋" w:cs="仿宋"/>
          <w:sz w:val="30"/>
          <w:szCs w:val="30"/>
          <w:highlight w:val="none"/>
        </w:rPr>
        <w:t>年</w:t>
      </w:r>
      <w:r>
        <w:rPr>
          <w:rFonts w:hint="eastAsia" w:ascii="仿宋" w:hAnsi="仿宋" w:eastAsia="仿宋" w:cs="仿宋"/>
          <w:sz w:val="30"/>
          <w:szCs w:val="30"/>
          <w:highlight w:val="none"/>
          <w:lang w:val="en-US" w:eastAsia="zh-CN"/>
        </w:rPr>
        <w:t>特岗教师工资待遇资金（中央直达）项目绩效评价工作的通知</w:t>
      </w:r>
      <w:r>
        <w:rPr>
          <w:rFonts w:hint="eastAsia" w:ascii="仿宋" w:hAnsi="仿宋" w:eastAsia="仿宋" w:cs="仿宋"/>
          <w:sz w:val="30"/>
          <w:szCs w:val="30"/>
          <w:highlight w:val="none"/>
        </w:rPr>
        <w:t>》</w:t>
      </w:r>
      <w:r>
        <w:rPr>
          <w:rFonts w:hint="eastAsia" w:ascii="仿宋" w:hAnsi="仿宋" w:eastAsia="仿宋" w:cs="仿宋"/>
          <w:sz w:val="30"/>
          <w:szCs w:val="30"/>
        </w:rPr>
        <w:t>，在项目绩效评价指标体系表中制定了项目产出指标和项目效益指标，绩效指标清晰、细化、量化、可衡量且与当年工作任务匹配。</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rPr>
      </w:pPr>
      <w:r>
        <w:rPr>
          <w:rFonts w:hint="eastAsia" w:ascii="仿宋" w:hAnsi="仿宋" w:eastAsia="仿宋" w:cs="仿宋"/>
          <w:sz w:val="30"/>
          <w:szCs w:val="30"/>
        </w:rPr>
        <w:t>该指标实际得分2分。</w:t>
      </w:r>
    </w:p>
    <w:p>
      <w:pPr>
        <w:pStyle w:val="4"/>
        <w:pageBreakBefore w:val="0"/>
        <w:kinsoku/>
        <w:wordWrap/>
        <w:overflowPunct/>
        <w:topLinePunct w:val="0"/>
        <w:autoSpaceDE/>
        <w:autoSpaceDN/>
        <w:bidi w:val="0"/>
        <w:adjustRightInd/>
        <w:snapToGrid/>
        <w:spacing w:before="0" w:after="0" w:line="560" w:lineRule="exact"/>
        <w:ind w:firstLine="600" w:firstLineChars="200"/>
        <w:rPr>
          <w:rFonts w:hint="eastAsia" w:ascii="仿宋" w:hAnsi="仿宋" w:eastAsia="仿宋" w:cs="仿宋"/>
          <w:b w:val="0"/>
          <w:bCs w:val="0"/>
          <w:sz w:val="30"/>
          <w:szCs w:val="30"/>
        </w:rPr>
      </w:pPr>
      <w:bookmarkStart w:id="47" w:name="_Toc83630334"/>
      <w:bookmarkStart w:id="48" w:name="_Toc83631044"/>
      <w:bookmarkStart w:id="49" w:name="_Toc27328"/>
      <w:bookmarkStart w:id="50" w:name="_Toc21302"/>
      <w:bookmarkStart w:id="51" w:name="_Toc8907"/>
      <w:r>
        <w:rPr>
          <w:rFonts w:hint="eastAsia" w:ascii="仿宋" w:hAnsi="仿宋" w:eastAsia="仿宋" w:cs="仿宋"/>
          <w:b w:val="0"/>
          <w:bCs w:val="0"/>
          <w:sz w:val="30"/>
          <w:szCs w:val="30"/>
        </w:rPr>
        <w:t>（二）项目过程管理（40分）</w:t>
      </w:r>
      <w:bookmarkEnd w:id="47"/>
      <w:bookmarkEnd w:id="48"/>
      <w:bookmarkEnd w:id="49"/>
      <w:bookmarkEnd w:id="50"/>
      <w:bookmarkEnd w:id="51"/>
    </w:p>
    <w:p>
      <w:pPr>
        <w:pageBreakBefore w:val="0"/>
        <w:kinsoku/>
        <w:wordWrap/>
        <w:overflowPunct/>
        <w:topLinePunct w:val="0"/>
        <w:autoSpaceDE/>
        <w:autoSpaceDN/>
        <w:bidi w:val="0"/>
        <w:adjustRightInd/>
        <w:snapToGrid/>
        <w:spacing w:line="560" w:lineRule="exact"/>
        <w:ind w:firstLine="600" w:firstLineChars="200"/>
        <w:jc w:val="left"/>
        <w:rPr>
          <w:rFonts w:hint="eastAsia"/>
        </w:rPr>
      </w:pPr>
      <w:r>
        <w:rPr>
          <w:rFonts w:hint="eastAsia" w:ascii="仿宋" w:hAnsi="仿宋" w:eastAsia="仿宋" w:cs="仿宋"/>
          <w:sz w:val="30"/>
          <w:szCs w:val="30"/>
        </w:rPr>
        <w:t>该一级指标包含项目财务管理和项目业务管理2个二级指标，主要反映该项目在实施过程中，财务管理是否规范、资金使用是否合规、项目业务管理是否按照相关规定执行，以保障财政资金的安全性和项目顺利实施。</w:t>
      </w:r>
    </w:p>
    <w:tbl>
      <w:tblPr>
        <w:tblStyle w:val="16"/>
        <w:tblW w:w="4995"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15" w:type="dxa"/>
          <w:left w:w="15" w:type="dxa"/>
          <w:bottom w:w="15" w:type="dxa"/>
          <w:right w:w="15" w:type="dxa"/>
        </w:tblCellMar>
      </w:tblPr>
      <w:tblGrid>
        <w:gridCol w:w="2079"/>
        <w:gridCol w:w="1853"/>
        <w:gridCol w:w="2834"/>
        <w:gridCol w:w="1511"/>
        <w:gridCol w:w="13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647" w:hRule="exact"/>
          <w:jc w:val="center"/>
        </w:trPr>
        <w:tc>
          <w:tcPr>
            <w:tcW w:w="1076" w:type="pct"/>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rPr>
              <w:t>一级指标</w:t>
            </w:r>
          </w:p>
        </w:tc>
        <w:tc>
          <w:tcPr>
            <w:tcW w:w="959" w:type="pct"/>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rPr>
              <w:t>二级指标</w:t>
            </w:r>
          </w:p>
        </w:tc>
        <w:tc>
          <w:tcPr>
            <w:tcW w:w="1466" w:type="pct"/>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rPr>
              <w:t>三级指标</w:t>
            </w:r>
          </w:p>
        </w:tc>
        <w:tc>
          <w:tcPr>
            <w:tcW w:w="782" w:type="pct"/>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rPr>
              <w:t>分数权重</w:t>
            </w:r>
          </w:p>
        </w:tc>
        <w:tc>
          <w:tcPr>
            <w:tcW w:w="715" w:type="pct"/>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rPr>
              <w:t>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653" w:hRule="exact"/>
          <w:jc w:val="center"/>
        </w:trPr>
        <w:tc>
          <w:tcPr>
            <w:tcW w:w="1076" w:type="pct"/>
            <w:vMerge w:val="restart"/>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项目过程管理</w:t>
            </w:r>
          </w:p>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rPr>
              <w:t>（40分）</w:t>
            </w:r>
          </w:p>
        </w:tc>
        <w:tc>
          <w:tcPr>
            <w:tcW w:w="959" w:type="pct"/>
            <w:vMerge w:val="restart"/>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项目财务管理</w:t>
            </w:r>
          </w:p>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rPr>
              <w:t>（20分）</w:t>
            </w:r>
          </w:p>
        </w:tc>
        <w:tc>
          <w:tcPr>
            <w:tcW w:w="1466" w:type="pct"/>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rPr>
              <w:t>专项资金实际使用率</w:t>
            </w:r>
          </w:p>
        </w:tc>
        <w:tc>
          <w:tcPr>
            <w:tcW w:w="782" w:type="pct"/>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sz w:val="24"/>
                <w:szCs w:val="24"/>
                <w:lang w:eastAsia="zh-CN"/>
              </w:rPr>
            </w:pPr>
            <w:r>
              <w:rPr>
                <w:rFonts w:hint="eastAsia" w:ascii="仿宋" w:hAnsi="仿宋" w:eastAsia="仿宋" w:cs="仿宋"/>
                <w:color w:val="000000"/>
                <w:kern w:val="0"/>
                <w:sz w:val="24"/>
                <w:szCs w:val="24"/>
                <w:lang w:val="en-US" w:eastAsia="zh-CN"/>
              </w:rPr>
              <w:t>7</w:t>
            </w:r>
          </w:p>
        </w:tc>
        <w:tc>
          <w:tcPr>
            <w:tcW w:w="715" w:type="pct"/>
            <w:vAlign w:val="center"/>
          </w:tcPr>
          <w:p>
            <w:pPr>
              <w:pStyle w:val="2"/>
              <w:ind w:left="0" w:leftChars="0" w:firstLine="0" w:firstLineChars="0"/>
              <w:jc w:val="center"/>
              <w:rPr>
                <w:rFonts w:hint="eastAsia"/>
                <w:lang w:eastAsia="zh-CN"/>
              </w:rPr>
            </w:pPr>
            <w:r>
              <w:rPr>
                <w:rFonts w:hint="eastAsia" w:ascii="仿宋" w:hAnsi="仿宋" w:eastAsia="仿宋" w:cs="仿宋"/>
                <w:color w:val="000000"/>
                <w:kern w:val="0"/>
                <w:sz w:val="24"/>
                <w:szCs w:val="24"/>
                <w:lang w:val="en-US" w:eastAsia="zh-CN"/>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49" w:hRule="exact"/>
          <w:jc w:val="center"/>
        </w:trPr>
        <w:tc>
          <w:tcPr>
            <w:tcW w:w="1076" w:type="pct"/>
            <w:vMerge w:val="continue"/>
            <w:vAlign w:val="center"/>
          </w:tcPr>
          <w:p>
            <w:pPr>
              <w:pageBreakBefore w:val="0"/>
              <w:kinsoku/>
              <w:wordWrap/>
              <w:overflowPunct/>
              <w:topLinePunct w:val="0"/>
              <w:autoSpaceDE/>
              <w:autoSpaceDN/>
              <w:bidi w:val="0"/>
              <w:adjustRightInd/>
              <w:snapToGrid/>
              <w:spacing w:line="560" w:lineRule="exact"/>
              <w:jc w:val="center"/>
              <w:rPr>
                <w:rFonts w:hint="eastAsia" w:ascii="仿宋" w:hAnsi="仿宋" w:eastAsia="仿宋" w:cs="仿宋"/>
                <w:color w:val="000000"/>
                <w:sz w:val="24"/>
                <w:szCs w:val="24"/>
              </w:rPr>
            </w:pPr>
          </w:p>
        </w:tc>
        <w:tc>
          <w:tcPr>
            <w:tcW w:w="959" w:type="pct"/>
            <w:vMerge w:val="continue"/>
            <w:vAlign w:val="center"/>
          </w:tcPr>
          <w:p>
            <w:pPr>
              <w:pageBreakBefore w:val="0"/>
              <w:kinsoku/>
              <w:wordWrap/>
              <w:overflowPunct/>
              <w:topLinePunct w:val="0"/>
              <w:autoSpaceDE/>
              <w:autoSpaceDN/>
              <w:bidi w:val="0"/>
              <w:adjustRightInd/>
              <w:snapToGrid/>
              <w:spacing w:line="560" w:lineRule="exact"/>
              <w:jc w:val="center"/>
              <w:rPr>
                <w:rFonts w:hint="eastAsia" w:ascii="仿宋" w:hAnsi="仿宋" w:eastAsia="仿宋" w:cs="仿宋"/>
                <w:color w:val="000000"/>
                <w:sz w:val="24"/>
                <w:szCs w:val="24"/>
              </w:rPr>
            </w:pPr>
          </w:p>
        </w:tc>
        <w:tc>
          <w:tcPr>
            <w:tcW w:w="1466" w:type="pct"/>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rPr>
              <w:t>专项资金支出合规性</w:t>
            </w:r>
          </w:p>
        </w:tc>
        <w:tc>
          <w:tcPr>
            <w:tcW w:w="782" w:type="pct"/>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sz w:val="24"/>
                <w:szCs w:val="24"/>
                <w:lang w:eastAsia="zh-CN"/>
              </w:rPr>
            </w:pPr>
            <w:r>
              <w:rPr>
                <w:rFonts w:hint="eastAsia" w:ascii="仿宋" w:hAnsi="仿宋" w:eastAsia="仿宋" w:cs="仿宋"/>
                <w:color w:val="000000"/>
                <w:kern w:val="0"/>
                <w:sz w:val="24"/>
                <w:szCs w:val="24"/>
                <w:lang w:val="en-US" w:eastAsia="zh-CN"/>
              </w:rPr>
              <w:t>7</w:t>
            </w:r>
          </w:p>
        </w:tc>
        <w:tc>
          <w:tcPr>
            <w:tcW w:w="715" w:type="pct"/>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sz w:val="24"/>
                <w:szCs w:val="24"/>
                <w:lang w:eastAsia="zh-CN"/>
              </w:rPr>
            </w:pPr>
            <w:r>
              <w:rPr>
                <w:rFonts w:hint="eastAsia" w:ascii="仿宋" w:hAnsi="仿宋" w:eastAsia="仿宋" w:cs="仿宋"/>
                <w:color w:val="000000"/>
                <w:sz w:val="24"/>
                <w:szCs w:val="24"/>
                <w:lang w:val="en-US" w:eastAsia="zh-CN"/>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43" w:hRule="exact"/>
          <w:jc w:val="center"/>
        </w:trPr>
        <w:tc>
          <w:tcPr>
            <w:tcW w:w="1076" w:type="pct"/>
            <w:vMerge w:val="continue"/>
            <w:vAlign w:val="center"/>
          </w:tcPr>
          <w:p>
            <w:pPr>
              <w:pageBreakBefore w:val="0"/>
              <w:kinsoku/>
              <w:wordWrap/>
              <w:overflowPunct/>
              <w:topLinePunct w:val="0"/>
              <w:autoSpaceDE/>
              <w:autoSpaceDN/>
              <w:bidi w:val="0"/>
              <w:adjustRightInd/>
              <w:snapToGrid/>
              <w:spacing w:line="560" w:lineRule="exact"/>
              <w:jc w:val="center"/>
              <w:rPr>
                <w:rFonts w:hint="eastAsia" w:ascii="仿宋" w:hAnsi="仿宋" w:eastAsia="仿宋" w:cs="仿宋"/>
                <w:color w:val="000000"/>
                <w:sz w:val="24"/>
                <w:szCs w:val="24"/>
              </w:rPr>
            </w:pPr>
          </w:p>
        </w:tc>
        <w:tc>
          <w:tcPr>
            <w:tcW w:w="959" w:type="pct"/>
            <w:vMerge w:val="continue"/>
            <w:vAlign w:val="center"/>
          </w:tcPr>
          <w:p>
            <w:pPr>
              <w:pageBreakBefore w:val="0"/>
              <w:kinsoku/>
              <w:wordWrap/>
              <w:overflowPunct/>
              <w:topLinePunct w:val="0"/>
              <w:autoSpaceDE/>
              <w:autoSpaceDN/>
              <w:bidi w:val="0"/>
              <w:adjustRightInd/>
              <w:snapToGrid/>
              <w:spacing w:line="560" w:lineRule="exact"/>
              <w:jc w:val="center"/>
              <w:rPr>
                <w:rFonts w:hint="eastAsia" w:ascii="仿宋" w:hAnsi="仿宋" w:eastAsia="仿宋" w:cs="仿宋"/>
                <w:color w:val="000000"/>
                <w:sz w:val="24"/>
                <w:szCs w:val="24"/>
              </w:rPr>
            </w:pPr>
          </w:p>
        </w:tc>
        <w:tc>
          <w:tcPr>
            <w:tcW w:w="1466" w:type="pct"/>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default"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会计核算</w:t>
            </w:r>
          </w:p>
        </w:tc>
        <w:tc>
          <w:tcPr>
            <w:tcW w:w="782" w:type="pct"/>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sz w:val="24"/>
                <w:szCs w:val="24"/>
                <w:lang w:eastAsia="zh-CN"/>
              </w:rPr>
            </w:pPr>
            <w:r>
              <w:rPr>
                <w:rFonts w:hint="eastAsia" w:ascii="仿宋" w:hAnsi="仿宋" w:eastAsia="仿宋" w:cs="仿宋"/>
                <w:color w:val="000000"/>
                <w:kern w:val="0"/>
                <w:sz w:val="24"/>
                <w:szCs w:val="24"/>
                <w:lang w:val="en-US" w:eastAsia="zh-CN"/>
              </w:rPr>
              <w:t>6</w:t>
            </w:r>
          </w:p>
        </w:tc>
        <w:tc>
          <w:tcPr>
            <w:tcW w:w="715" w:type="pct"/>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sz w:val="24"/>
                <w:szCs w:val="24"/>
                <w:lang w:eastAsia="zh-CN"/>
              </w:rPr>
            </w:pPr>
            <w:r>
              <w:rPr>
                <w:rFonts w:hint="eastAsia" w:ascii="仿宋" w:hAnsi="仿宋" w:eastAsia="仿宋" w:cs="仿宋"/>
                <w:color w:val="000000"/>
                <w:sz w:val="24"/>
                <w:szCs w:val="24"/>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489" w:hRule="exact"/>
          <w:jc w:val="center"/>
        </w:trPr>
        <w:tc>
          <w:tcPr>
            <w:tcW w:w="1076" w:type="pct"/>
            <w:vMerge w:val="continue"/>
            <w:vAlign w:val="center"/>
          </w:tcPr>
          <w:p>
            <w:pPr>
              <w:pageBreakBefore w:val="0"/>
              <w:kinsoku/>
              <w:wordWrap/>
              <w:overflowPunct/>
              <w:topLinePunct w:val="0"/>
              <w:autoSpaceDE/>
              <w:autoSpaceDN/>
              <w:bidi w:val="0"/>
              <w:adjustRightInd/>
              <w:snapToGrid/>
              <w:spacing w:line="560" w:lineRule="exact"/>
              <w:jc w:val="center"/>
              <w:rPr>
                <w:rFonts w:hint="eastAsia" w:ascii="仿宋" w:hAnsi="仿宋" w:eastAsia="仿宋" w:cs="仿宋"/>
                <w:color w:val="000000"/>
                <w:sz w:val="24"/>
                <w:szCs w:val="24"/>
              </w:rPr>
            </w:pPr>
          </w:p>
        </w:tc>
        <w:tc>
          <w:tcPr>
            <w:tcW w:w="959" w:type="pct"/>
            <w:vMerge w:val="restart"/>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default" w:ascii="仿宋" w:hAnsi="仿宋" w:eastAsia="仿宋" w:cs="仿宋"/>
                <w:color w:val="000000"/>
                <w:kern w:val="0"/>
                <w:sz w:val="24"/>
                <w:szCs w:val="24"/>
                <w:lang w:val="en-US" w:eastAsia="zh-CN"/>
              </w:rPr>
            </w:pPr>
            <w:r>
              <w:rPr>
                <w:rFonts w:hint="eastAsia" w:ascii="仿宋" w:hAnsi="仿宋" w:eastAsia="仿宋" w:cs="仿宋"/>
                <w:color w:val="000000"/>
                <w:kern w:val="0"/>
                <w:sz w:val="24"/>
                <w:szCs w:val="24"/>
              </w:rPr>
              <w:t>项目业务管理</w:t>
            </w:r>
          </w:p>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rPr>
              <w:t>（20分）</w:t>
            </w:r>
          </w:p>
        </w:tc>
        <w:tc>
          <w:tcPr>
            <w:tcW w:w="1466" w:type="pct"/>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rPr>
              <w:t>管理制度是否健全</w:t>
            </w:r>
          </w:p>
        </w:tc>
        <w:tc>
          <w:tcPr>
            <w:tcW w:w="782" w:type="pct"/>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rPr>
              <w:t>5</w:t>
            </w:r>
          </w:p>
        </w:tc>
        <w:tc>
          <w:tcPr>
            <w:tcW w:w="715" w:type="pct"/>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sz w:val="24"/>
                <w:szCs w:val="24"/>
                <w:lang w:eastAsia="zh-CN"/>
              </w:rPr>
            </w:pPr>
            <w:r>
              <w:rPr>
                <w:rFonts w:hint="eastAsia" w:ascii="仿宋" w:hAnsi="仿宋" w:eastAsia="仿宋" w:cs="仿宋"/>
                <w:color w:val="000000"/>
                <w:sz w:val="24"/>
                <w:szCs w:val="24"/>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53" w:hRule="exact"/>
          <w:jc w:val="center"/>
        </w:trPr>
        <w:tc>
          <w:tcPr>
            <w:tcW w:w="1076" w:type="pct"/>
            <w:vMerge w:val="continue"/>
            <w:vAlign w:val="center"/>
          </w:tcPr>
          <w:p>
            <w:pPr>
              <w:pageBreakBefore w:val="0"/>
              <w:kinsoku/>
              <w:wordWrap/>
              <w:overflowPunct/>
              <w:topLinePunct w:val="0"/>
              <w:autoSpaceDE/>
              <w:autoSpaceDN/>
              <w:bidi w:val="0"/>
              <w:adjustRightInd/>
              <w:snapToGrid/>
              <w:spacing w:line="560" w:lineRule="exact"/>
              <w:jc w:val="center"/>
              <w:rPr>
                <w:rFonts w:hint="eastAsia" w:ascii="仿宋" w:hAnsi="仿宋" w:eastAsia="仿宋" w:cs="仿宋"/>
                <w:color w:val="000000"/>
                <w:sz w:val="24"/>
                <w:szCs w:val="24"/>
              </w:rPr>
            </w:pPr>
          </w:p>
        </w:tc>
        <w:tc>
          <w:tcPr>
            <w:tcW w:w="959" w:type="pct"/>
            <w:vMerge w:val="continue"/>
            <w:vAlign w:val="center"/>
          </w:tcPr>
          <w:p>
            <w:pPr>
              <w:pageBreakBefore w:val="0"/>
              <w:kinsoku/>
              <w:wordWrap/>
              <w:overflowPunct/>
              <w:topLinePunct w:val="0"/>
              <w:autoSpaceDE/>
              <w:autoSpaceDN/>
              <w:bidi w:val="0"/>
              <w:adjustRightInd/>
              <w:snapToGrid/>
              <w:spacing w:line="560" w:lineRule="exact"/>
              <w:jc w:val="center"/>
              <w:rPr>
                <w:rFonts w:hint="eastAsia" w:ascii="仿宋" w:hAnsi="仿宋" w:eastAsia="仿宋" w:cs="仿宋"/>
                <w:color w:val="000000"/>
                <w:sz w:val="24"/>
                <w:szCs w:val="24"/>
              </w:rPr>
            </w:pPr>
          </w:p>
        </w:tc>
        <w:tc>
          <w:tcPr>
            <w:tcW w:w="1466" w:type="pct"/>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default" w:ascii="仿宋" w:hAnsi="仿宋" w:eastAsia="仿宋" w:cs="仿宋"/>
                <w:color w:val="000000"/>
                <w:sz w:val="24"/>
                <w:szCs w:val="24"/>
                <w:lang w:val="en-US" w:eastAsia="zh-CN"/>
              </w:rPr>
            </w:pPr>
            <w:r>
              <w:rPr>
                <w:rFonts w:hint="eastAsia" w:ascii="仿宋" w:hAnsi="仿宋" w:eastAsia="仿宋" w:cs="仿宋"/>
                <w:color w:val="000000"/>
                <w:kern w:val="0"/>
                <w:sz w:val="24"/>
                <w:szCs w:val="24"/>
                <w:lang w:val="en-US" w:eastAsia="zh-CN"/>
              </w:rPr>
              <w:t>制度执行有效性</w:t>
            </w:r>
          </w:p>
        </w:tc>
        <w:tc>
          <w:tcPr>
            <w:tcW w:w="782" w:type="pct"/>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rPr>
              <w:t>5</w:t>
            </w:r>
          </w:p>
        </w:tc>
        <w:tc>
          <w:tcPr>
            <w:tcW w:w="715" w:type="pct"/>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sz w:val="24"/>
                <w:szCs w:val="24"/>
                <w:lang w:eastAsia="zh-CN"/>
              </w:rPr>
            </w:pPr>
            <w:r>
              <w:rPr>
                <w:rFonts w:hint="eastAsia" w:ascii="仿宋" w:hAnsi="仿宋" w:eastAsia="仿宋" w:cs="仿宋"/>
                <w:color w:val="000000"/>
                <w:sz w:val="24"/>
                <w:szCs w:val="24"/>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47" w:hRule="exact"/>
          <w:jc w:val="center"/>
        </w:trPr>
        <w:tc>
          <w:tcPr>
            <w:tcW w:w="1076" w:type="pct"/>
            <w:vMerge w:val="continue"/>
            <w:vAlign w:val="center"/>
          </w:tcPr>
          <w:p>
            <w:pPr>
              <w:pageBreakBefore w:val="0"/>
              <w:kinsoku/>
              <w:wordWrap/>
              <w:overflowPunct/>
              <w:topLinePunct w:val="0"/>
              <w:autoSpaceDE/>
              <w:autoSpaceDN/>
              <w:bidi w:val="0"/>
              <w:adjustRightInd/>
              <w:snapToGrid/>
              <w:spacing w:line="560" w:lineRule="exact"/>
              <w:jc w:val="center"/>
              <w:rPr>
                <w:rFonts w:hint="eastAsia" w:ascii="仿宋" w:hAnsi="仿宋" w:eastAsia="仿宋" w:cs="仿宋"/>
                <w:color w:val="000000"/>
                <w:sz w:val="24"/>
                <w:szCs w:val="24"/>
              </w:rPr>
            </w:pPr>
          </w:p>
        </w:tc>
        <w:tc>
          <w:tcPr>
            <w:tcW w:w="959" w:type="pct"/>
            <w:vMerge w:val="continue"/>
            <w:vAlign w:val="center"/>
          </w:tcPr>
          <w:p>
            <w:pPr>
              <w:pageBreakBefore w:val="0"/>
              <w:kinsoku/>
              <w:wordWrap/>
              <w:overflowPunct/>
              <w:topLinePunct w:val="0"/>
              <w:autoSpaceDE/>
              <w:autoSpaceDN/>
              <w:bidi w:val="0"/>
              <w:adjustRightInd/>
              <w:snapToGrid/>
              <w:spacing w:line="560" w:lineRule="exact"/>
              <w:jc w:val="center"/>
              <w:rPr>
                <w:rFonts w:hint="eastAsia" w:ascii="仿宋" w:hAnsi="仿宋" w:eastAsia="仿宋" w:cs="仿宋"/>
                <w:color w:val="000000"/>
                <w:sz w:val="24"/>
                <w:szCs w:val="24"/>
              </w:rPr>
            </w:pPr>
          </w:p>
        </w:tc>
        <w:tc>
          <w:tcPr>
            <w:tcW w:w="1466" w:type="pct"/>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sz w:val="24"/>
                <w:szCs w:val="24"/>
                <w:lang w:eastAsia="zh-CN"/>
              </w:rPr>
            </w:pPr>
            <w:r>
              <w:rPr>
                <w:rFonts w:hint="eastAsia" w:ascii="仿宋" w:hAnsi="仿宋" w:eastAsia="仿宋" w:cs="仿宋"/>
                <w:color w:val="000000"/>
                <w:kern w:val="0"/>
                <w:sz w:val="24"/>
                <w:szCs w:val="24"/>
                <w:lang w:val="en-US" w:eastAsia="zh-CN"/>
              </w:rPr>
              <w:t>公开公示</w:t>
            </w:r>
          </w:p>
        </w:tc>
        <w:tc>
          <w:tcPr>
            <w:tcW w:w="782" w:type="pct"/>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rPr>
              <w:t>5</w:t>
            </w:r>
          </w:p>
        </w:tc>
        <w:tc>
          <w:tcPr>
            <w:tcW w:w="715" w:type="pct"/>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sz w:val="24"/>
                <w:szCs w:val="24"/>
                <w:lang w:eastAsia="zh-CN"/>
              </w:rPr>
            </w:pPr>
            <w:r>
              <w:rPr>
                <w:rFonts w:hint="eastAsia" w:ascii="仿宋" w:hAnsi="仿宋" w:eastAsia="仿宋" w:cs="仿宋"/>
                <w:color w:val="000000"/>
                <w:sz w:val="24"/>
                <w:szCs w:val="24"/>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691" w:hRule="exact"/>
          <w:jc w:val="center"/>
        </w:trPr>
        <w:tc>
          <w:tcPr>
            <w:tcW w:w="1076" w:type="pct"/>
            <w:vMerge w:val="continue"/>
            <w:vAlign w:val="center"/>
          </w:tcPr>
          <w:p>
            <w:pPr>
              <w:pageBreakBefore w:val="0"/>
              <w:kinsoku/>
              <w:wordWrap/>
              <w:overflowPunct/>
              <w:topLinePunct w:val="0"/>
              <w:autoSpaceDE/>
              <w:autoSpaceDN/>
              <w:bidi w:val="0"/>
              <w:adjustRightInd/>
              <w:snapToGrid/>
              <w:spacing w:line="560" w:lineRule="exact"/>
              <w:jc w:val="center"/>
              <w:rPr>
                <w:rFonts w:hint="eastAsia" w:ascii="仿宋" w:hAnsi="仿宋" w:eastAsia="仿宋" w:cs="仿宋"/>
                <w:color w:val="000000"/>
                <w:sz w:val="24"/>
                <w:szCs w:val="24"/>
              </w:rPr>
            </w:pPr>
          </w:p>
        </w:tc>
        <w:tc>
          <w:tcPr>
            <w:tcW w:w="959" w:type="pct"/>
            <w:vMerge w:val="continue"/>
            <w:vAlign w:val="center"/>
          </w:tcPr>
          <w:p>
            <w:pPr>
              <w:pageBreakBefore w:val="0"/>
              <w:kinsoku/>
              <w:wordWrap/>
              <w:overflowPunct/>
              <w:topLinePunct w:val="0"/>
              <w:autoSpaceDE/>
              <w:autoSpaceDN/>
              <w:bidi w:val="0"/>
              <w:adjustRightInd/>
              <w:snapToGrid/>
              <w:spacing w:line="560" w:lineRule="exact"/>
              <w:jc w:val="center"/>
              <w:rPr>
                <w:rFonts w:hint="eastAsia" w:ascii="仿宋" w:hAnsi="仿宋" w:eastAsia="仿宋" w:cs="仿宋"/>
                <w:color w:val="000000"/>
                <w:sz w:val="24"/>
                <w:szCs w:val="24"/>
              </w:rPr>
            </w:pPr>
          </w:p>
        </w:tc>
        <w:tc>
          <w:tcPr>
            <w:tcW w:w="1466" w:type="pct"/>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项目档案资料完整性</w:t>
            </w:r>
          </w:p>
        </w:tc>
        <w:tc>
          <w:tcPr>
            <w:tcW w:w="782" w:type="pct"/>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5</w:t>
            </w:r>
          </w:p>
        </w:tc>
        <w:tc>
          <w:tcPr>
            <w:tcW w:w="715" w:type="pct"/>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sz w:val="24"/>
                <w:szCs w:val="24"/>
                <w:lang w:eastAsia="zh-CN"/>
              </w:rPr>
            </w:pPr>
            <w:r>
              <w:rPr>
                <w:rFonts w:hint="eastAsia" w:ascii="仿宋" w:hAnsi="仿宋" w:eastAsia="仿宋" w:cs="仿宋"/>
                <w:color w:val="000000"/>
                <w:sz w:val="24"/>
                <w:szCs w:val="24"/>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15" w:type="dxa"/>
            <w:left w:w="15" w:type="dxa"/>
            <w:bottom w:w="15" w:type="dxa"/>
            <w:right w:w="15" w:type="dxa"/>
          </w:tblCellMar>
        </w:tblPrEx>
        <w:trPr>
          <w:trHeight w:val="522" w:hRule="exact"/>
          <w:jc w:val="center"/>
        </w:trPr>
        <w:tc>
          <w:tcPr>
            <w:tcW w:w="3502" w:type="pct"/>
            <w:gridSpan w:val="3"/>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合  计</w:t>
            </w:r>
          </w:p>
        </w:tc>
        <w:tc>
          <w:tcPr>
            <w:tcW w:w="782" w:type="pct"/>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40</w:t>
            </w:r>
          </w:p>
        </w:tc>
        <w:tc>
          <w:tcPr>
            <w:tcW w:w="715" w:type="pct"/>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default" w:ascii="仿宋" w:hAnsi="仿宋" w:eastAsia="仿宋" w:cs="仿宋"/>
                <w:color w:val="000000"/>
                <w:kern w:val="0"/>
                <w:sz w:val="24"/>
                <w:szCs w:val="24"/>
                <w:highlight w:val="yellow"/>
                <w:lang w:val="en-US" w:eastAsia="zh-CN"/>
              </w:rPr>
            </w:pPr>
            <w:r>
              <w:rPr>
                <w:rFonts w:hint="eastAsia" w:ascii="仿宋" w:hAnsi="仿宋" w:eastAsia="仿宋" w:cs="仿宋"/>
                <w:color w:val="000000"/>
                <w:kern w:val="0"/>
                <w:sz w:val="24"/>
                <w:szCs w:val="24"/>
                <w:highlight w:val="none"/>
                <w:lang w:val="en-US" w:eastAsia="zh-CN"/>
              </w:rPr>
              <w:t>38</w:t>
            </w:r>
          </w:p>
        </w:tc>
      </w:tr>
    </w:tbl>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rPr>
      </w:pPr>
      <w:r>
        <w:rPr>
          <w:rFonts w:hint="eastAsia" w:ascii="仿宋" w:hAnsi="仿宋" w:eastAsia="仿宋" w:cs="仿宋"/>
          <w:sz w:val="30"/>
          <w:szCs w:val="30"/>
        </w:rPr>
        <w:t>1.项目财务管理（20分）</w:t>
      </w:r>
    </w:p>
    <w:p>
      <w:pPr>
        <w:pageBreakBefore w:val="0"/>
        <w:kinsoku/>
        <w:wordWrap/>
        <w:overflowPunct/>
        <w:topLinePunct w:val="0"/>
        <w:autoSpaceDE/>
        <w:autoSpaceDN/>
        <w:bidi w:val="0"/>
        <w:adjustRightInd/>
        <w:snapToGrid/>
        <w:spacing w:line="560" w:lineRule="exact"/>
        <w:jc w:val="left"/>
        <w:rPr>
          <w:rFonts w:hint="eastAsia" w:ascii="仿宋" w:hAnsi="仿宋" w:eastAsia="仿宋" w:cs="仿宋"/>
          <w:sz w:val="30"/>
          <w:szCs w:val="30"/>
        </w:rPr>
      </w:pPr>
      <w:r>
        <w:rPr>
          <w:rFonts w:hint="eastAsia" w:ascii="仿宋" w:hAnsi="仿宋" w:eastAsia="仿宋" w:cs="仿宋"/>
          <w:sz w:val="30"/>
          <w:szCs w:val="30"/>
        </w:rPr>
        <w:t xml:space="preserve">    （1）专项资金实际使用率（</w:t>
      </w:r>
      <w:r>
        <w:rPr>
          <w:rFonts w:hint="eastAsia" w:ascii="仿宋" w:hAnsi="仿宋" w:eastAsia="仿宋" w:cs="仿宋"/>
          <w:sz w:val="30"/>
          <w:szCs w:val="30"/>
          <w:lang w:val="en-US" w:eastAsia="zh-CN"/>
        </w:rPr>
        <w:t>7</w:t>
      </w:r>
      <w:r>
        <w:rPr>
          <w:rFonts w:hint="eastAsia" w:ascii="仿宋" w:hAnsi="仿宋" w:eastAsia="仿宋" w:cs="仿宋"/>
          <w:sz w:val="30"/>
          <w:szCs w:val="30"/>
        </w:rPr>
        <w:t>分）</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rPr>
      </w:pPr>
      <w:r>
        <w:rPr>
          <w:rFonts w:hint="eastAsia" w:ascii="仿宋" w:hAnsi="仿宋" w:eastAsia="仿宋" w:cs="仿宋"/>
          <w:sz w:val="30"/>
          <w:szCs w:val="30"/>
        </w:rPr>
        <w:t>该指标主要评价实际使用专项资金数额占专项资金实际拨付额比例。</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rPr>
      </w:pPr>
      <w:r>
        <w:rPr>
          <w:rFonts w:hint="eastAsia" w:ascii="仿宋" w:hAnsi="仿宋" w:eastAsia="仿宋" w:cs="仿宋"/>
          <w:sz w:val="30"/>
          <w:szCs w:val="30"/>
        </w:rPr>
        <w:t>经检查，202</w:t>
      </w:r>
      <w:r>
        <w:rPr>
          <w:rFonts w:hint="eastAsia" w:ascii="仿宋" w:hAnsi="仿宋" w:eastAsia="仿宋" w:cs="仿宋"/>
          <w:sz w:val="30"/>
          <w:szCs w:val="30"/>
          <w:lang w:val="en-US" w:eastAsia="zh-CN"/>
        </w:rPr>
        <w:t>1</w:t>
      </w:r>
      <w:r>
        <w:rPr>
          <w:rFonts w:hint="eastAsia" w:ascii="仿宋" w:hAnsi="仿宋" w:eastAsia="仿宋" w:cs="仿宋"/>
          <w:sz w:val="30"/>
          <w:szCs w:val="30"/>
        </w:rPr>
        <w:t>年</w:t>
      </w:r>
      <w:r>
        <w:rPr>
          <w:rFonts w:hint="eastAsia" w:ascii="仿宋" w:hAnsi="仿宋" w:eastAsia="仿宋" w:cs="仿宋"/>
          <w:sz w:val="30"/>
          <w:szCs w:val="30"/>
          <w:lang w:val="en-US" w:eastAsia="zh-CN"/>
        </w:rPr>
        <w:t>共安排中央直达</w:t>
      </w:r>
      <w:r>
        <w:rPr>
          <w:rFonts w:hint="eastAsia" w:ascii="仿宋" w:hAnsi="仿宋" w:eastAsia="仿宋" w:cs="仿宋"/>
          <w:sz w:val="30"/>
          <w:szCs w:val="30"/>
        </w:rPr>
        <w:t>资金</w:t>
      </w:r>
      <w:r>
        <w:rPr>
          <w:rFonts w:hint="eastAsia" w:ascii="仿宋" w:hAnsi="仿宋" w:eastAsia="仿宋" w:cs="仿宋"/>
          <w:sz w:val="30"/>
          <w:szCs w:val="30"/>
          <w:lang w:val="en-US" w:eastAsia="zh-CN"/>
        </w:rPr>
        <w:t>1817</w:t>
      </w:r>
      <w:r>
        <w:rPr>
          <w:rFonts w:hint="eastAsia" w:ascii="仿宋" w:hAnsi="仿宋" w:eastAsia="仿宋" w:cs="仿宋"/>
          <w:sz w:val="30"/>
          <w:szCs w:val="30"/>
        </w:rPr>
        <w:t>万元用于该项目，202</w:t>
      </w:r>
      <w:r>
        <w:rPr>
          <w:rFonts w:hint="eastAsia" w:ascii="仿宋" w:hAnsi="仿宋" w:eastAsia="仿宋" w:cs="仿宋"/>
          <w:sz w:val="30"/>
          <w:szCs w:val="30"/>
          <w:lang w:val="en-US" w:eastAsia="zh-CN"/>
        </w:rPr>
        <w:t>1</w:t>
      </w:r>
      <w:r>
        <w:rPr>
          <w:rFonts w:hint="eastAsia" w:ascii="仿宋" w:hAnsi="仿宋" w:eastAsia="仿宋" w:cs="仿宋"/>
          <w:sz w:val="30"/>
          <w:szCs w:val="30"/>
        </w:rPr>
        <w:t>年度该项目专项资金</w:t>
      </w:r>
      <w:r>
        <w:rPr>
          <w:rFonts w:hint="eastAsia" w:ascii="仿宋" w:hAnsi="仿宋" w:eastAsia="仿宋" w:cs="仿宋"/>
          <w:sz w:val="30"/>
          <w:szCs w:val="30"/>
          <w:lang w:val="en-US" w:eastAsia="zh-CN"/>
        </w:rPr>
        <w:t>实际</w:t>
      </w:r>
      <w:r>
        <w:rPr>
          <w:rFonts w:hint="eastAsia" w:ascii="仿宋" w:hAnsi="仿宋" w:eastAsia="仿宋" w:cs="仿宋"/>
          <w:sz w:val="30"/>
          <w:szCs w:val="30"/>
        </w:rPr>
        <w:t>使用</w:t>
      </w:r>
      <w:r>
        <w:rPr>
          <w:rFonts w:hint="eastAsia" w:ascii="仿宋" w:hAnsi="仿宋" w:eastAsia="仿宋" w:cs="仿宋"/>
          <w:sz w:val="30"/>
          <w:szCs w:val="30"/>
          <w:lang w:val="en-US" w:eastAsia="zh-CN"/>
        </w:rPr>
        <w:t>1817</w:t>
      </w:r>
      <w:r>
        <w:rPr>
          <w:rFonts w:hint="eastAsia" w:ascii="仿宋" w:hAnsi="仿宋" w:eastAsia="仿宋" w:cs="仿宋"/>
          <w:sz w:val="30"/>
          <w:szCs w:val="30"/>
        </w:rPr>
        <w:t>万元，实际使用专项资金数额占专项资金拨付额的比例为</w:t>
      </w:r>
      <w:r>
        <w:rPr>
          <w:rFonts w:hint="eastAsia" w:ascii="仿宋" w:hAnsi="仿宋" w:eastAsia="仿宋" w:cs="仿宋"/>
          <w:sz w:val="30"/>
          <w:szCs w:val="30"/>
          <w:lang w:val="en-US" w:eastAsia="zh-CN"/>
        </w:rPr>
        <w:t>100</w:t>
      </w:r>
      <w:r>
        <w:rPr>
          <w:rFonts w:hint="eastAsia" w:ascii="仿宋" w:hAnsi="仿宋" w:eastAsia="仿宋" w:cs="仿宋"/>
          <w:sz w:val="30"/>
          <w:szCs w:val="30"/>
        </w:rPr>
        <w:t>%。</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rPr>
      </w:pPr>
      <w:r>
        <w:rPr>
          <w:rFonts w:hint="eastAsia" w:ascii="仿宋" w:hAnsi="仿宋" w:eastAsia="仿宋" w:cs="仿宋"/>
          <w:sz w:val="30"/>
          <w:szCs w:val="30"/>
        </w:rPr>
        <w:t>该项指标实际得分</w:t>
      </w:r>
      <w:r>
        <w:rPr>
          <w:rFonts w:hint="eastAsia" w:ascii="仿宋" w:hAnsi="仿宋" w:eastAsia="仿宋" w:cs="仿宋"/>
          <w:sz w:val="30"/>
          <w:szCs w:val="30"/>
          <w:lang w:val="en-US" w:eastAsia="zh-CN"/>
        </w:rPr>
        <w:t>7</w:t>
      </w:r>
      <w:r>
        <w:rPr>
          <w:rFonts w:hint="eastAsia" w:ascii="仿宋" w:hAnsi="仿宋" w:eastAsia="仿宋" w:cs="仿宋"/>
          <w:sz w:val="30"/>
          <w:szCs w:val="30"/>
        </w:rPr>
        <w:t>分。</w:t>
      </w:r>
    </w:p>
    <w:p>
      <w:pPr>
        <w:pageBreakBefore w:val="0"/>
        <w:kinsoku/>
        <w:wordWrap/>
        <w:overflowPunct/>
        <w:topLinePunct w:val="0"/>
        <w:autoSpaceDE/>
        <w:autoSpaceDN/>
        <w:bidi w:val="0"/>
        <w:adjustRightInd/>
        <w:snapToGrid/>
        <w:spacing w:line="560" w:lineRule="exact"/>
        <w:ind w:firstLine="560"/>
        <w:jc w:val="left"/>
        <w:rPr>
          <w:rFonts w:hint="eastAsia" w:ascii="仿宋" w:hAnsi="仿宋" w:eastAsia="仿宋" w:cs="仿宋"/>
          <w:sz w:val="30"/>
          <w:szCs w:val="30"/>
        </w:rPr>
      </w:pPr>
      <w:r>
        <w:rPr>
          <w:rFonts w:hint="eastAsia" w:ascii="仿宋" w:hAnsi="仿宋" w:eastAsia="仿宋" w:cs="仿宋"/>
          <w:sz w:val="30"/>
          <w:szCs w:val="30"/>
        </w:rPr>
        <w:t>（</w:t>
      </w:r>
      <w:r>
        <w:rPr>
          <w:rFonts w:hint="eastAsia" w:ascii="仿宋" w:hAnsi="仿宋" w:eastAsia="仿宋" w:cs="仿宋"/>
          <w:sz w:val="30"/>
          <w:szCs w:val="30"/>
          <w:lang w:val="en-US" w:eastAsia="zh-CN"/>
        </w:rPr>
        <w:t>2</w:t>
      </w:r>
      <w:r>
        <w:rPr>
          <w:rFonts w:hint="eastAsia" w:ascii="仿宋" w:hAnsi="仿宋" w:eastAsia="仿宋" w:cs="仿宋"/>
          <w:sz w:val="30"/>
          <w:szCs w:val="30"/>
        </w:rPr>
        <w:t>）专项资金支出合规性（</w:t>
      </w:r>
      <w:r>
        <w:rPr>
          <w:rFonts w:hint="eastAsia" w:ascii="仿宋" w:hAnsi="仿宋" w:eastAsia="仿宋" w:cs="仿宋"/>
          <w:sz w:val="30"/>
          <w:szCs w:val="30"/>
          <w:lang w:val="en-US" w:eastAsia="zh-CN"/>
        </w:rPr>
        <w:t>7</w:t>
      </w:r>
      <w:r>
        <w:rPr>
          <w:rFonts w:hint="eastAsia" w:ascii="仿宋" w:hAnsi="仿宋" w:eastAsia="仿宋" w:cs="仿宋"/>
          <w:sz w:val="30"/>
          <w:szCs w:val="30"/>
        </w:rPr>
        <w:t>分）</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rPr>
      </w:pPr>
      <w:r>
        <w:rPr>
          <w:rFonts w:hint="eastAsia" w:ascii="仿宋" w:hAnsi="仿宋" w:eastAsia="仿宋" w:cs="仿宋"/>
          <w:sz w:val="30"/>
          <w:szCs w:val="30"/>
        </w:rPr>
        <w:t>该指标主要评价专项资金是否严格按照资金管理办法的用途支出，是否有截留、挤占、挪用等违规行为。</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rPr>
      </w:pPr>
      <w:r>
        <w:rPr>
          <w:rFonts w:hint="eastAsia" w:ascii="仿宋" w:hAnsi="仿宋" w:eastAsia="仿宋" w:cs="仿宋"/>
          <w:sz w:val="30"/>
          <w:szCs w:val="30"/>
        </w:rPr>
        <w:t>经检查，该项目资金严格按照</w:t>
      </w:r>
      <w:r>
        <w:rPr>
          <w:rFonts w:hint="eastAsia" w:ascii="仿宋" w:hAnsi="仿宋" w:eastAsia="仿宋" w:cs="仿宋"/>
          <w:sz w:val="30"/>
          <w:szCs w:val="30"/>
          <w:lang w:val="en-US" w:eastAsia="zh-CN"/>
        </w:rPr>
        <w:t>相关</w:t>
      </w:r>
      <w:r>
        <w:rPr>
          <w:rFonts w:hint="eastAsia" w:ascii="仿宋" w:hAnsi="仿宋" w:eastAsia="仿宋" w:cs="仿宋"/>
          <w:sz w:val="30"/>
          <w:szCs w:val="30"/>
        </w:rPr>
        <w:t>规定支出，专款专用，不存在截留、挤占、挪用等违规行为。</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rPr>
      </w:pPr>
      <w:r>
        <w:rPr>
          <w:rFonts w:hint="eastAsia" w:ascii="仿宋" w:hAnsi="仿宋" w:eastAsia="仿宋" w:cs="仿宋"/>
          <w:sz w:val="30"/>
          <w:szCs w:val="30"/>
        </w:rPr>
        <w:t>该指标实际得分</w:t>
      </w:r>
      <w:r>
        <w:rPr>
          <w:rFonts w:hint="eastAsia" w:ascii="仿宋" w:hAnsi="仿宋" w:eastAsia="仿宋" w:cs="仿宋"/>
          <w:sz w:val="30"/>
          <w:szCs w:val="30"/>
          <w:lang w:val="en-US" w:eastAsia="zh-CN"/>
        </w:rPr>
        <w:t>7</w:t>
      </w:r>
      <w:r>
        <w:rPr>
          <w:rFonts w:hint="eastAsia" w:ascii="仿宋" w:hAnsi="仿宋" w:eastAsia="仿宋" w:cs="仿宋"/>
          <w:sz w:val="30"/>
          <w:szCs w:val="30"/>
        </w:rPr>
        <w:t>分。</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rPr>
      </w:pPr>
      <w:r>
        <w:rPr>
          <w:rFonts w:hint="eastAsia" w:ascii="仿宋" w:hAnsi="仿宋" w:eastAsia="仿宋" w:cs="仿宋"/>
          <w:sz w:val="30"/>
          <w:szCs w:val="30"/>
          <w:lang w:eastAsia="zh-CN"/>
        </w:rPr>
        <w:t>（</w:t>
      </w:r>
      <w:r>
        <w:rPr>
          <w:rFonts w:hint="eastAsia" w:ascii="仿宋" w:hAnsi="仿宋" w:eastAsia="仿宋" w:cs="仿宋"/>
          <w:sz w:val="30"/>
          <w:szCs w:val="30"/>
          <w:lang w:val="en-US" w:eastAsia="zh-CN"/>
        </w:rPr>
        <w:t>3</w:t>
      </w:r>
      <w:r>
        <w:rPr>
          <w:rFonts w:hint="eastAsia" w:ascii="仿宋" w:hAnsi="仿宋" w:eastAsia="仿宋" w:cs="仿宋"/>
          <w:sz w:val="30"/>
          <w:szCs w:val="30"/>
          <w:lang w:eastAsia="zh-CN"/>
        </w:rPr>
        <w:t>）</w:t>
      </w:r>
      <w:r>
        <w:rPr>
          <w:rFonts w:hint="eastAsia" w:ascii="仿宋" w:hAnsi="仿宋" w:eastAsia="仿宋" w:cs="仿宋"/>
          <w:sz w:val="30"/>
          <w:szCs w:val="30"/>
        </w:rPr>
        <w:t>会计核算（</w:t>
      </w:r>
      <w:r>
        <w:rPr>
          <w:rFonts w:hint="eastAsia" w:ascii="仿宋" w:hAnsi="仿宋" w:eastAsia="仿宋" w:cs="仿宋"/>
          <w:sz w:val="30"/>
          <w:szCs w:val="30"/>
          <w:lang w:val="en-US" w:eastAsia="zh-CN"/>
        </w:rPr>
        <w:t>6</w:t>
      </w:r>
      <w:r>
        <w:rPr>
          <w:rFonts w:hint="eastAsia" w:ascii="仿宋" w:hAnsi="仿宋" w:eastAsia="仿宋" w:cs="仿宋"/>
          <w:sz w:val="30"/>
          <w:szCs w:val="30"/>
        </w:rPr>
        <w:t>分）</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rPr>
      </w:pPr>
      <w:r>
        <w:rPr>
          <w:rFonts w:hint="eastAsia" w:ascii="仿宋" w:hAnsi="仿宋" w:eastAsia="仿宋" w:cs="仿宋"/>
          <w:sz w:val="30"/>
          <w:szCs w:val="30"/>
        </w:rPr>
        <w:t>该指标主要评价会计核算是否严格遵守有关法规及制度规定，会计核算是否规范，专项资金支付申报、审批流程是否完善、支付依据是否合法。</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rPr>
      </w:pPr>
      <w:r>
        <w:rPr>
          <w:rFonts w:hint="eastAsia" w:ascii="仿宋" w:hAnsi="仿宋" w:eastAsia="仿宋" w:cs="仿宋"/>
          <w:sz w:val="30"/>
          <w:szCs w:val="30"/>
        </w:rPr>
        <w:t>该项目绩效专项资金为</w:t>
      </w:r>
      <w:r>
        <w:rPr>
          <w:rFonts w:hint="eastAsia" w:ascii="仿宋" w:hAnsi="仿宋" w:eastAsia="仿宋" w:cs="仿宋"/>
          <w:sz w:val="30"/>
          <w:szCs w:val="30"/>
          <w:lang w:val="en-US" w:eastAsia="zh-CN"/>
        </w:rPr>
        <w:t>1817</w:t>
      </w:r>
      <w:r>
        <w:rPr>
          <w:rFonts w:hint="eastAsia" w:ascii="仿宋" w:hAnsi="仿宋" w:eastAsia="仿宋" w:cs="仿宋"/>
          <w:sz w:val="30"/>
          <w:szCs w:val="30"/>
        </w:rPr>
        <w:t>万元，账面记载专项资金支出金额为</w:t>
      </w:r>
      <w:r>
        <w:rPr>
          <w:rFonts w:hint="eastAsia" w:ascii="仿宋" w:hAnsi="仿宋" w:eastAsia="仿宋" w:cs="仿宋"/>
          <w:sz w:val="30"/>
          <w:szCs w:val="30"/>
          <w:lang w:val="en-US" w:eastAsia="zh-CN"/>
        </w:rPr>
        <w:t>1817</w:t>
      </w:r>
      <w:r>
        <w:rPr>
          <w:rFonts w:hint="eastAsia" w:ascii="仿宋" w:hAnsi="仿宋" w:eastAsia="仿宋" w:cs="仿宋"/>
          <w:sz w:val="30"/>
          <w:szCs w:val="30"/>
        </w:rPr>
        <w:t>万元。 经检查，会计核算严格遵守《政府会计制度》的相关规定，科目使用正确，核算规范；各项补贴资金的支付申报、审批流程完善，</w:t>
      </w:r>
      <w:r>
        <w:rPr>
          <w:rFonts w:hint="eastAsia" w:ascii="仿宋" w:hAnsi="仿宋" w:eastAsia="仿宋" w:cs="仿宋"/>
          <w:sz w:val="30"/>
          <w:szCs w:val="30"/>
          <w:highlight w:val="none"/>
        </w:rPr>
        <w:t>支付依据</w:t>
      </w:r>
      <w:r>
        <w:rPr>
          <w:rFonts w:hint="eastAsia" w:ascii="仿宋" w:hAnsi="仿宋" w:eastAsia="仿宋" w:cs="仿宋"/>
          <w:sz w:val="30"/>
          <w:szCs w:val="30"/>
        </w:rPr>
        <w:t>充分合法。</w:t>
      </w:r>
    </w:p>
    <w:p>
      <w:pPr>
        <w:pageBreakBefore w:val="0"/>
        <w:kinsoku/>
        <w:wordWrap/>
        <w:overflowPunct/>
        <w:topLinePunct w:val="0"/>
        <w:autoSpaceDE/>
        <w:autoSpaceDN/>
        <w:bidi w:val="0"/>
        <w:adjustRightInd/>
        <w:snapToGrid/>
        <w:spacing w:line="560" w:lineRule="exact"/>
        <w:ind w:firstLine="560"/>
        <w:jc w:val="left"/>
        <w:rPr>
          <w:rFonts w:hint="eastAsia"/>
        </w:rPr>
      </w:pPr>
      <w:r>
        <w:rPr>
          <w:rFonts w:hint="eastAsia" w:ascii="仿宋" w:hAnsi="仿宋" w:eastAsia="仿宋" w:cs="仿宋"/>
          <w:sz w:val="30"/>
          <w:szCs w:val="30"/>
        </w:rPr>
        <w:t>该项指标实际得分</w:t>
      </w:r>
      <w:r>
        <w:rPr>
          <w:rFonts w:hint="eastAsia" w:ascii="仿宋" w:hAnsi="仿宋" w:eastAsia="仿宋" w:cs="仿宋"/>
          <w:sz w:val="30"/>
          <w:szCs w:val="30"/>
          <w:lang w:val="en-US" w:eastAsia="zh-CN"/>
        </w:rPr>
        <w:t>6</w:t>
      </w:r>
      <w:r>
        <w:rPr>
          <w:rFonts w:hint="eastAsia" w:ascii="仿宋" w:hAnsi="仿宋" w:eastAsia="仿宋" w:cs="仿宋"/>
          <w:sz w:val="30"/>
          <w:szCs w:val="30"/>
        </w:rPr>
        <w:t>分。</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rPr>
      </w:pPr>
      <w:r>
        <w:rPr>
          <w:rFonts w:hint="eastAsia" w:ascii="仿宋" w:hAnsi="仿宋" w:eastAsia="仿宋" w:cs="仿宋"/>
          <w:sz w:val="30"/>
          <w:szCs w:val="30"/>
        </w:rPr>
        <w:t>2.项目业务管理（20分）</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highlight w:val="none"/>
        </w:rPr>
      </w:pPr>
      <w:r>
        <w:rPr>
          <w:rFonts w:hint="eastAsia" w:ascii="仿宋" w:hAnsi="仿宋" w:eastAsia="仿宋" w:cs="仿宋"/>
          <w:sz w:val="30"/>
          <w:szCs w:val="30"/>
          <w:highlight w:val="none"/>
        </w:rPr>
        <w:t>（1）管理制度是否健全（5分）</w:t>
      </w:r>
    </w:p>
    <w:p>
      <w:pPr>
        <w:pageBreakBefore w:val="0"/>
        <w:kinsoku/>
        <w:wordWrap/>
        <w:overflowPunct/>
        <w:topLinePunct w:val="0"/>
        <w:autoSpaceDE/>
        <w:autoSpaceDN/>
        <w:bidi w:val="0"/>
        <w:adjustRightInd/>
        <w:snapToGrid/>
        <w:spacing w:line="560" w:lineRule="exact"/>
        <w:jc w:val="left"/>
        <w:rPr>
          <w:rFonts w:hint="eastAsia" w:ascii="仿宋" w:hAnsi="仿宋" w:eastAsia="仿宋" w:cs="仿宋"/>
          <w:sz w:val="30"/>
          <w:szCs w:val="30"/>
        </w:rPr>
      </w:pPr>
      <w:r>
        <w:rPr>
          <w:rFonts w:hint="eastAsia" w:ascii="仿宋" w:hAnsi="仿宋" w:eastAsia="仿宋" w:cs="仿宋"/>
          <w:sz w:val="30"/>
          <w:szCs w:val="30"/>
        </w:rPr>
        <w:t xml:space="preserve">    该指标主要评价项目制定的管理制度和措施是否全面、明确、合理。能否保障项目顺利实施</w:t>
      </w:r>
    </w:p>
    <w:p>
      <w:pPr>
        <w:pageBreakBefore w:val="0"/>
        <w:kinsoku/>
        <w:wordWrap/>
        <w:overflowPunct/>
        <w:topLinePunct w:val="0"/>
        <w:autoSpaceDE/>
        <w:autoSpaceDN/>
        <w:bidi w:val="0"/>
        <w:adjustRightInd/>
        <w:snapToGrid/>
        <w:spacing w:line="560" w:lineRule="exact"/>
        <w:ind w:firstLine="600" w:firstLineChars="200"/>
        <w:jc w:val="left"/>
        <w:rPr>
          <w:rFonts w:hint="default" w:ascii="仿宋" w:hAnsi="仿宋" w:eastAsia="仿宋" w:cs="仿宋"/>
          <w:sz w:val="30"/>
          <w:szCs w:val="30"/>
          <w:lang w:val="en-US" w:eastAsia="zh-CN"/>
        </w:rPr>
      </w:pPr>
      <w:r>
        <w:rPr>
          <w:rFonts w:hint="eastAsia" w:ascii="仿宋" w:hAnsi="仿宋" w:eastAsia="仿宋" w:cs="仿宋"/>
          <w:sz w:val="30"/>
          <w:szCs w:val="30"/>
        </w:rPr>
        <w:t>经检查，曲阳县教育和体育局制定</w:t>
      </w:r>
      <w:r>
        <w:rPr>
          <w:rFonts w:hint="eastAsia" w:ascii="仿宋" w:hAnsi="仿宋" w:eastAsia="仿宋" w:cs="仿宋"/>
          <w:sz w:val="30"/>
          <w:szCs w:val="30"/>
          <w:lang w:eastAsia="zh-CN"/>
        </w:rPr>
        <w:t>了</w:t>
      </w:r>
      <w:r>
        <w:rPr>
          <w:rFonts w:hint="eastAsia" w:ascii="仿宋" w:hAnsi="仿宋" w:eastAsia="仿宋" w:cs="仿宋"/>
          <w:sz w:val="30"/>
          <w:szCs w:val="30"/>
          <w:lang w:val="en-US" w:eastAsia="zh-CN"/>
        </w:rPr>
        <w:t>特岗教师工资待遇项目</w:t>
      </w:r>
      <w:r>
        <w:rPr>
          <w:rFonts w:hint="eastAsia" w:ascii="仿宋" w:hAnsi="仿宋" w:eastAsia="仿宋" w:cs="仿宋"/>
          <w:sz w:val="30"/>
          <w:szCs w:val="30"/>
        </w:rPr>
        <w:t>相关</w:t>
      </w:r>
      <w:r>
        <w:rPr>
          <w:rFonts w:hint="eastAsia" w:ascii="仿宋" w:hAnsi="仿宋" w:eastAsia="仿宋" w:cs="仿宋"/>
          <w:sz w:val="30"/>
          <w:szCs w:val="30"/>
          <w:lang w:val="en-US" w:eastAsia="zh-CN"/>
        </w:rPr>
        <w:t>管理</w:t>
      </w:r>
      <w:r>
        <w:rPr>
          <w:rFonts w:hint="eastAsia" w:ascii="仿宋" w:hAnsi="仿宋" w:eastAsia="仿宋" w:cs="仿宋"/>
          <w:sz w:val="30"/>
          <w:szCs w:val="30"/>
        </w:rPr>
        <w:t>制度，</w:t>
      </w:r>
      <w:r>
        <w:rPr>
          <w:rFonts w:hint="eastAsia" w:ascii="仿宋" w:hAnsi="仿宋" w:eastAsia="仿宋" w:cs="仿宋"/>
          <w:sz w:val="30"/>
          <w:szCs w:val="30"/>
          <w:lang w:val="en-US" w:eastAsia="zh-CN"/>
        </w:rPr>
        <w:t>但其制度的明确性有待加强</w:t>
      </w:r>
      <w:r>
        <w:rPr>
          <w:rFonts w:hint="eastAsia" w:ascii="仿宋" w:hAnsi="仿宋" w:eastAsia="仿宋" w:cs="仿宋"/>
          <w:sz w:val="30"/>
          <w:szCs w:val="30"/>
        </w:rPr>
        <w:t>。</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rPr>
      </w:pPr>
      <w:r>
        <w:rPr>
          <w:rFonts w:hint="eastAsia" w:ascii="仿宋" w:hAnsi="仿宋" w:eastAsia="仿宋" w:cs="仿宋"/>
          <w:sz w:val="30"/>
          <w:szCs w:val="30"/>
        </w:rPr>
        <w:t>该指标</w:t>
      </w:r>
      <w:r>
        <w:rPr>
          <w:rFonts w:hint="eastAsia" w:ascii="仿宋" w:hAnsi="仿宋" w:eastAsia="仿宋" w:cs="仿宋"/>
          <w:sz w:val="30"/>
          <w:szCs w:val="30"/>
          <w:lang w:val="en-US" w:eastAsia="zh-CN"/>
        </w:rPr>
        <w:t>扣2分，</w:t>
      </w:r>
      <w:r>
        <w:rPr>
          <w:rFonts w:hint="eastAsia" w:ascii="仿宋" w:hAnsi="仿宋" w:eastAsia="仿宋" w:cs="仿宋"/>
          <w:sz w:val="30"/>
          <w:szCs w:val="30"/>
        </w:rPr>
        <w:t>实际得</w:t>
      </w:r>
      <w:r>
        <w:rPr>
          <w:rFonts w:hint="eastAsia" w:ascii="仿宋" w:hAnsi="仿宋" w:eastAsia="仿宋" w:cs="仿宋"/>
          <w:sz w:val="30"/>
          <w:szCs w:val="30"/>
          <w:lang w:val="en-US" w:eastAsia="zh-CN"/>
        </w:rPr>
        <w:t>3</w:t>
      </w:r>
      <w:r>
        <w:rPr>
          <w:rFonts w:hint="eastAsia" w:ascii="仿宋" w:hAnsi="仿宋" w:eastAsia="仿宋" w:cs="仿宋"/>
          <w:sz w:val="30"/>
          <w:szCs w:val="30"/>
        </w:rPr>
        <w:t>分。</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rPr>
      </w:pPr>
      <w:r>
        <w:rPr>
          <w:rFonts w:hint="eastAsia" w:ascii="仿宋" w:hAnsi="仿宋" w:eastAsia="仿宋" w:cs="仿宋"/>
          <w:sz w:val="30"/>
          <w:szCs w:val="30"/>
        </w:rPr>
        <w:t>（</w:t>
      </w:r>
      <w:r>
        <w:rPr>
          <w:rFonts w:hint="eastAsia" w:ascii="仿宋" w:hAnsi="仿宋" w:eastAsia="仿宋" w:cs="仿宋"/>
          <w:sz w:val="30"/>
          <w:szCs w:val="30"/>
          <w:lang w:val="en-US" w:eastAsia="zh-CN"/>
        </w:rPr>
        <w:t>2</w:t>
      </w:r>
      <w:r>
        <w:rPr>
          <w:rFonts w:hint="eastAsia" w:ascii="仿宋" w:hAnsi="仿宋" w:eastAsia="仿宋" w:cs="仿宋"/>
          <w:sz w:val="30"/>
          <w:szCs w:val="30"/>
        </w:rPr>
        <w:t>）</w:t>
      </w:r>
      <w:r>
        <w:rPr>
          <w:rFonts w:hint="eastAsia" w:ascii="仿宋" w:hAnsi="仿宋" w:eastAsia="仿宋" w:cs="仿宋"/>
          <w:sz w:val="30"/>
          <w:szCs w:val="30"/>
          <w:lang w:val="en-US" w:eastAsia="zh-CN"/>
        </w:rPr>
        <w:t>制度执行有效性</w:t>
      </w:r>
      <w:r>
        <w:rPr>
          <w:rFonts w:hint="eastAsia" w:ascii="仿宋" w:hAnsi="仿宋" w:eastAsia="仿宋" w:cs="仿宋"/>
          <w:sz w:val="30"/>
          <w:szCs w:val="30"/>
        </w:rPr>
        <w:t>(5分）</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rPr>
      </w:pPr>
      <w:r>
        <w:rPr>
          <w:rFonts w:hint="eastAsia" w:ascii="仿宋" w:hAnsi="仿宋" w:eastAsia="仿宋" w:cs="仿宋"/>
          <w:sz w:val="30"/>
          <w:szCs w:val="30"/>
        </w:rPr>
        <w:t>该指标主要评价该项目是否项目实施是否符合相关管理规定，用以反映和考核相关管理制度的有效执行情况。</w:t>
      </w:r>
    </w:p>
    <w:p>
      <w:pPr>
        <w:pageBreakBefore w:val="0"/>
        <w:kinsoku/>
        <w:wordWrap/>
        <w:overflowPunct/>
        <w:topLinePunct w:val="0"/>
        <w:autoSpaceDE/>
        <w:autoSpaceDN/>
        <w:bidi w:val="0"/>
        <w:adjustRightInd/>
        <w:snapToGrid/>
        <w:spacing w:line="560" w:lineRule="exact"/>
        <w:ind w:firstLine="600" w:firstLineChars="200"/>
        <w:jc w:val="left"/>
        <w:rPr>
          <w:rFonts w:hint="default" w:ascii="仿宋" w:hAnsi="仿宋" w:eastAsia="仿宋" w:cs="仿宋"/>
          <w:sz w:val="30"/>
          <w:szCs w:val="30"/>
          <w:lang w:val="en-US" w:eastAsia="zh-CN"/>
        </w:rPr>
      </w:pPr>
      <w:r>
        <w:rPr>
          <w:rFonts w:hint="eastAsia" w:ascii="仿宋" w:hAnsi="仿宋" w:eastAsia="仿宋" w:cs="仿宋"/>
          <w:sz w:val="30"/>
          <w:szCs w:val="30"/>
        </w:rPr>
        <w:t>经检查，该项目</w:t>
      </w:r>
      <w:r>
        <w:rPr>
          <w:rFonts w:hint="eastAsia" w:ascii="仿宋" w:hAnsi="仿宋" w:eastAsia="仿宋" w:cs="仿宋"/>
          <w:sz w:val="30"/>
          <w:szCs w:val="30"/>
          <w:lang w:val="en-US" w:eastAsia="zh-CN"/>
        </w:rPr>
        <w:t>按照</w:t>
      </w:r>
      <w:r>
        <w:rPr>
          <w:rFonts w:hint="eastAsia" w:ascii="仿宋" w:hAnsi="仿宋" w:eastAsia="仿宋" w:cs="仿宋"/>
          <w:sz w:val="30"/>
          <w:szCs w:val="30"/>
        </w:rPr>
        <w:t>河北省财政厅关于印发《河北省城乡义务教育补助经费管理办法》的通知</w:t>
      </w:r>
      <w:r>
        <w:rPr>
          <w:rFonts w:hint="eastAsia" w:ascii="仿宋" w:hAnsi="仿宋" w:eastAsia="仿宋" w:cs="仿宋"/>
          <w:sz w:val="30"/>
          <w:szCs w:val="30"/>
          <w:lang w:eastAsia="zh-CN"/>
        </w:rPr>
        <w:t>（</w:t>
      </w:r>
      <w:r>
        <w:rPr>
          <w:rFonts w:hint="eastAsia" w:ascii="仿宋" w:hAnsi="仿宋" w:eastAsia="仿宋" w:cs="仿宋"/>
          <w:sz w:val="30"/>
          <w:szCs w:val="30"/>
        </w:rPr>
        <w:t>冀财规〔2019〕22号</w:t>
      </w:r>
      <w:r>
        <w:rPr>
          <w:rFonts w:hint="eastAsia" w:ascii="仿宋" w:hAnsi="仿宋" w:eastAsia="仿宋" w:cs="仿宋"/>
          <w:sz w:val="30"/>
          <w:szCs w:val="30"/>
          <w:lang w:eastAsia="zh-CN"/>
        </w:rPr>
        <w:t>）</w:t>
      </w:r>
      <w:r>
        <w:rPr>
          <w:rFonts w:hint="eastAsia" w:ascii="仿宋" w:hAnsi="仿宋" w:eastAsia="仿宋" w:cs="仿宋"/>
          <w:sz w:val="30"/>
          <w:szCs w:val="30"/>
          <w:lang w:val="en-US" w:eastAsia="zh-CN"/>
        </w:rPr>
        <w:t>的相关规定执行。</w:t>
      </w:r>
    </w:p>
    <w:p>
      <w:pPr>
        <w:pageBreakBefore w:val="0"/>
        <w:kinsoku/>
        <w:wordWrap/>
        <w:overflowPunct/>
        <w:topLinePunct w:val="0"/>
        <w:autoSpaceDE/>
        <w:autoSpaceDN/>
        <w:bidi w:val="0"/>
        <w:adjustRightInd/>
        <w:snapToGrid/>
        <w:spacing w:line="560" w:lineRule="exact"/>
        <w:ind w:firstLine="600" w:firstLineChars="200"/>
        <w:jc w:val="left"/>
        <w:rPr>
          <w:rFonts w:hint="eastAsia" w:eastAsia="仿宋"/>
          <w:lang w:val="en-US" w:eastAsia="zh-CN"/>
        </w:rPr>
      </w:pPr>
      <w:r>
        <w:rPr>
          <w:rFonts w:hint="eastAsia" w:ascii="仿宋" w:hAnsi="仿宋" w:eastAsia="仿宋" w:cs="仿宋"/>
          <w:sz w:val="30"/>
          <w:szCs w:val="30"/>
        </w:rPr>
        <w:t>该指标实际得分</w:t>
      </w:r>
      <w:r>
        <w:rPr>
          <w:rFonts w:hint="eastAsia" w:ascii="仿宋" w:hAnsi="仿宋" w:eastAsia="仿宋" w:cs="仿宋"/>
          <w:sz w:val="30"/>
          <w:szCs w:val="30"/>
          <w:lang w:val="en-US" w:eastAsia="zh-CN"/>
        </w:rPr>
        <w:t>5</w:t>
      </w:r>
      <w:r>
        <w:rPr>
          <w:rFonts w:hint="eastAsia" w:ascii="仿宋" w:hAnsi="仿宋" w:eastAsia="仿宋" w:cs="仿宋"/>
          <w:sz w:val="30"/>
          <w:szCs w:val="30"/>
        </w:rPr>
        <w:t>分</w:t>
      </w:r>
      <w:r>
        <w:rPr>
          <w:rFonts w:hint="eastAsia" w:ascii="仿宋" w:hAnsi="仿宋" w:eastAsia="仿宋" w:cs="仿宋"/>
          <w:sz w:val="30"/>
          <w:szCs w:val="30"/>
          <w:lang w:eastAsia="zh-CN"/>
        </w:rPr>
        <w:t>。</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rPr>
      </w:pPr>
      <w:r>
        <w:rPr>
          <w:rFonts w:hint="eastAsia" w:ascii="仿宋" w:hAnsi="仿宋" w:eastAsia="仿宋" w:cs="仿宋"/>
          <w:sz w:val="30"/>
          <w:szCs w:val="30"/>
        </w:rPr>
        <w:t>（</w:t>
      </w:r>
      <w:r>
        <w:rPr>
          <w:rFonts w:hint="eastAsia" w:ascii="仿宋" w:hAnsi="仿宋" w:eastAsia="仿宋" w:cs="仿宋"/>
          <w:sz w:val="30"/>
          <w:szCs w:val="30"/>
          <w:lang w:val="en-US" w:eastAsia="zh-CN"/>
        </w:rPr>
        <w:t>3</w:t>
      </w:r>
      <w:r>
        <w:rPr>
          <w:rFonts w:hint="eastAsia" w:ascii="仿宋" w:hAnsi="仿宋" w:eastAsia="仿宋" w:cs="仿宋"/>
          <w:sz w:val="30"/>
          <w:szCs w:val="30"/>
        </w:rPr>
        <w:t>）公开公示(5分）</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rPr>
      </w:pPr>
      <w:r>
        <w:rPr>
          <w:rFonts w:hint="eastAsia" w:ascii="仿宋" w:hAnsi="仿宋" w:eastAsia="仿宋" w:cs="仿宋"/>
          <w:sz w:val="30"/>
          <w:szCs w:val="30"/>
        </w:rPr>
        <w:t>该指标主要评价该项目是否按相关文件要求建立了公开公示制度并按照规定进行了公示。</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lang w:eastAsia="zh-CN"/>
        </w:rPr>
      </w:pPr>
      <w:r>
        <w:rPr>
          <w:rFonts w:hint="eastAsia" w:ascii="仿宋" w:hAnsi="仿宋" w:eastAsia="仿宋" w:cs="仿宋"/>
          <w:sz w:val="30"/>
          <w:szCs w:val="30"/>
        </w:rPr>
        <w:t>经检查， 该项目</w:t>
      </w:r>
      <w:r>
        <w:rPr>
          <w:rFonts w:hint="eastAsia" w:ascii="仿宋" w:hAnsi="仿宋" w:eastAsia="仿宋" w:cs="仿宋"/>
          <w:sz w:val="30"/>
          <w:szCs w:val="30"/>
          <w:lang w:val="en-US" w:eastAsia="zh-CN"/>
        </w:rPr>
        <w:t>按照相关规定将</w:t>
      </w:r>
      <w:r>
        <w:rPr>
          <w:rFonts w:hint="eastAsia" w:ascii="仿宋" w:hAnsi="仿宋" w:eastAsia="仿宋" w:cs="仿宋"/>
          <w:sz w:val="30"/>
          <w:szCs w:val="30"/>
        </w:rPr>
        <w:t>绩效信息</w:t>
      </w:r>
      <w:r>
        <w:rPr>
          <w:rFonts w:hint="eastAsia" w:ascii="仿宋" w:hAnsi="仿宋" w:eastAsia="仿宋" w:cs="仿宋"/>
          <w:sz w:val="30"/>
          <w:szCs w:val="30"/>
          <w:lang w:val="en-US" w:eastAsia="zh-CN"/>
        </w:rPr>
        <w:t>进行了公开公示</w:t>
      </w:r>
      <w:r>
        <w:rPr>
          <w:rFonts w:hint="eastAsia" w:ascii="仿宋" w:hAnsi="仿宋" w:eastAsia="仿宋" w:cs="仿宋"/>
          <w:sz w:val="30"/>
          <w:szCs w:val="30"/>
          <w:lang w:eastAsia="zh-CN"/>
        </w:rPr>
        <w:t>。</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lang w:eastAsia="zh-CN"/>
        </w:rPr>
      </w:pPr>
      <w:r>
        <w:rPr>
          <w:rFonts w:hint="eastAsia" w:ascii="仿宋" w:hAnsi="仿宋" w:eastAsia="仿宋" w:cs="仿宋"/>
          <w:sz w:val="30"/>
          <w:szCs w:val="30"/>
        </w:rPr>
        <w:t>该指标实际得分</w:t>
      </w:r>
      <w:r>
        <w:rPr>
          <w:rFonts w:hint="eastAsia" w:ascii="仿宋" w:hAnsi="仿宋" w:eastAsia="仿宋" w:cs="仿宋"/>
          <w:sz w:val="30"/>
          <w:szCs w:val="30"/>
          <w:lang w:val="en-US" w:eastAsia="zh-CN"/>
        </w:rPr>
        <w:t>5</w:t>
      </w:r>
      <w:r>
        <w:rPr>
          <w:rFonts w:hint="eastAsia" w:ascii="仿宋" w:hAnsi="仿宋" w:eastAsia="仿宋" w:cs="仿宋"/>
          <w:sz w:val="30"/>
          <w:szCs w:val="30"/>
        </w:rPr>
        <w:t>分</w:t>
      </w:r>
      <w:r>
        <w:rPr>
          <w:rFonts w:hint="eastAsia" w:ascii="仿宋" w:hAnsi="仿宋" w:eastAsia="仿宋" w:cs="仿宋"/>
          <w:sz w:val="30"/>
          <w:szCs w:val="30"/>
          <w:lang w:eastAsia="zh-CN"/>
        </w:rPr>
        <w:t>。</w:t>
      </w:r>
    </w:p>
    <w:p>
      <w:pPr>
        <w:pageBreakBefore w:val="0"/>
        <w:kinsoku/>
        <w:wordWrap/>
        <w:overflowPunct/>
        <w:topLinePunct w:val="0"/>
        <w:autoSpaceDE/>
        <w:autoSpaceDN/>
        <w:bidi w:val="0"/>
        <w:adjustRightInd/>
        <w:snapToGrid/>
        <w:spacing w:line="560" w:lineRule="exact"/>
        <w:ind w:firstLine="300" w:firstLineChars="100"/>
        <w:jc w:val="left"/>
        <w:rPr>
          <w:rFonts w:hint="eastAsia" w:ascii="仿宋" w:hAnsi="仿宋" w:eastAsia="仿宋" w:cs="仿宋"/>
          <w:sz w:val="30"/>
          <w:szCs w:val="30"/>
        </w:rPr>
      </w:pPr>
      <w:r>
        <w:rPr>
          <w:rFonts w:hint="eastAsia" w:ascii="仿宋" w:hAnsi="仿宋" w:eastAsia="仿宋" w:cs="仿宋"/>
          <w:sz w:val="30"/>
          <w:szCs w:val="30"/>
        </w:rPr>
        <w:t>（4）项目档案资料完整性（5分）</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rPr>
      </w:pPr>
      <w:r>
        <w:rPr>
          <w:rFonts w:hint="eastAsia" w:ascii="仿宋" w:hAnsi="仿宋" w:eastAsia="仿宋" w:cs="仿宋"/>
          <w:sz w:val="30"/>
          <w:szCs w:val="30"/>
        </w:rPr>
        <w:t>该指标主要评价项目项目档案资料是否齐全、完备，保存是否完整。</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rPr>
      </w:pPr>
      <w:r>
        <w:rPr>
          <w:rFonts w:hint="eastAsia" w:ascii="仿宋" w:hAnsi="仿宋" w:eastAsia="仿宋" w:cs="仿宋"/>
          <w:sz w:val="30"/>
          <w:szCs w:val="30"/>
        </w:rPr>
        <w:t>经检查，该项目档案资料齐全、完备，保存完整。</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rPr>
      </w:pPr>
      <w:r>
        <w:rPr>
          <w:rFonts w:hint="eastAsia" w:ascii="仿宋" w:hAnsi="仿宋" w:eastAsia="仿宋" w:cs="仿宋"/>
          <w:sz w:val="30"/>
          <w:szCs w:val="30"/>
        </w:rPr>
        <w:t>该指标实际得</w:t>
      </w:r>
      <w:r>
        <w:rPr>
          <w:rFonts w:hint="eastAsia" w:ascii="仿宋" w:hAnsi="仿宋" w:eastAsia="仿宋" w:cs="仿宋"/>
          <w:sz w:val="30"/>
          <w:szCs w:val="30"/>
          <w:lang w:val="en-US" w:eastAsia="zh-CN"/>
        </w:rPr>
        <w:t>5</w:t>
      </w:r>
      <w:r>
        <w:rPr>
          <w:rFonts w:hint="eastAsia" w:ascii="仿宋" w:hAnsi="仿宋" w:eastAsia="仿宋" w:cs="仿宋"/>
          <w:sz w:val="30"/>
          <w:szCs w:val="30"/>
        </w:rPr>
        <w:t>分。</w:t>
      </w:r>
    </w:p>
    <w:p>
      <w:pPr>
        <w:pStyle w:val="4"/>
        <w:pageBreakBefore w:val="0"/>
        <w:kinsoku/>
        <w:wordWrap/>
        <w:overflowPunct/>
        <w:topLinePunct w:val="0"/>
        <w:autoSpaceDE/>
        <w:autoSpaceDN/>
        <w:bidi w:val="0"/>
        <w:adjustRightInd/>
        <w:snapToGrid/>
        <w:spacing w:before="0" w:after="0" w:line="560" w:lineRule="exact"/>
        <w:ind w:firstLine="600" w:firstLineChars="200"/>
        <w:rPr>
          <w:rFonts w:hint="eastAsia" w:ascii="仿宋" w:hAnsi="仿宋" w:eastAsia="仿宋" w:cs="仿宋"/>
          <w:sz w:val="30"/>
          <w:szCs w:val="30"/>
        </w:rPr>
      </w:pPr>
      <w:bookmarkStart w:id="52" w:name="_Toc6507"/>
      <w:bookmarkStart w:id="53" w:name="_Toc30993"/>
      <w:bookmarkStart w:id="54" w:name="_Toc83630335"/>
      <w:bookmarkStart w:id="55" w:name="_Toc21112"/>
      <w:bookmarkStart w:id="56" w:name="_Toc83631045"/>
      <w:r>
        <w:rPr>
          <w:rFonts w:hint="eastAsia" w:ascii="仿宋" w:hAnsi="仿宋" w:eastAsia="仿宋" w:cs="仿宋"/>
          <w:b w:val="0"/>
          <w:bCs w:val="0"/>
          <w:sz w:val="30"/>
          <w:szCs w:val="30"/>
        </w:rPr>
        <w:t>（三）项目产出（30分）</w:t>
      </w:r>
      <w:bookmarkEnd w:id="52"/>
      <w:bookmarkEnd w:id="53"/>
      <w:bookmarkEnd w:id="54"/>
      <w:bookmarkEnd w:id="55"/>
      <w:bookmarkEnd w:id="56"/>
    </w:p>
    <w:p>
      <w:pPr>
        <w:pageBreakBefore w:val="0"/>
        <w:kinsoku/>
        <w:wordWrap/>
        <w:overflowPunct/>
        <w:topLinePunct w:val="0"/>
        <w:autoSpaceDE/>
        <w:autoSpaceDN/>
        <w:bidi w:val="0"/>
        <w:adjustRightInd/>
        <w:snapToGrid/>
        <w:spacing w:line="560" w:lineRule="exact"/>
        <w:jc w:val="left"/>
        <w:rPr>
          <w:rFonts w:hint="eastAsia" w:ascii="仿宋" w:hAnsi="仿宋" w:eastAsia="仿宋" w:cs="仿宋"/>
          <w:b/>
          <w:bCs/>
          <w:sz w:val="30"/>
          <w:szCs w:val="30"/>
        </w:rPr>
      </w:pPr>
      <w:r>
        <w:rPr>
          <w:rFonts w:hint="eastAsia" w:ascii="仿宋" w:hAnsi="仿宋" w:eastAsia="仿宋" w:cs="仿宋"/>
          <w:b/>
          <w:bCs/>
          <w:sz w:val="30"/>
          <w:szCs w:val="30"/>
        </w:rPr>
        <w:t xml:space="preserve">     </w:t>
      </w:r>
      <w:r>
        <w:rPr>
          <w:rFonts w:hint="eastAsia" w:ascii="仿宋" w:hAnsi="仿宋" w:eastAsia="仿宋" w:cs="仿宋"/>
          <w:sz w:val="30"/>
          <w:szCs w:val="30"/>
        </w:rPr>
        <w:t>该一级指标包含2个二级指标</w:t>
      </w:r>
      <w:r>
        <w:rPr>
          <w:rFonts w:hint="eastAsia" w:ascii="仿宋" w:hAnsi="仿宋" w:eastAsia="仿宋" w:cs="仿宋"/>
          <w:sz w:val="30"/>
          <w:szCs w:val="30"/>
          <w:lang w:val="en-US" w:eastAsia="zh-CN"/>
        </w:rPr>
        <w:t>4</w:t>
      </w:r>
      <w:r>
        <w:rPr>
          <w:rFonts w:hint="eastAsia" w:ascii="仿宋" w:hAnsi="仿宋" w:eastAsia="仿宋" w:cs="仿宋"/>
          <w:sz w:val="30"/>
          <w:szCs w:val="30"/>
        </w:rPr>
        <w:t>个三级指标，主要为3个数量指标：保障人数、人员经费发放到位率、人均发放水平；</w:t>
      </w:r>
      <w:r>
        <w:rPr>
          <w:rFonts w:hint="eastAsia" w:ascii="仿宋" w:hAnsi="仿宋" w:eastAsia="仿宋" w:cs="仿宋"/>
          <w:sz w:val="30"/>
          <w:szCs w:val="30"/>
          <w:lang w:val="en-US" w:eastAsia="zh-CN"/>
        </w:rPr>
        <w:t>1个时效指标</w:t>
      </w:r>
      <w:r>
        <w:rPr>
          <w:rFonts w:hint="eastAsia" w:ascii="仿宋" w:hAnsi="仿宋" w:eastAsia="仿宋" w:cs="仿宋"/>
          <w:sz w:val="30"/>
          <w:szCs w:val="30"/>
        </w:rPr>
        <w:t>：</w:t>
      </w:r>
      <w:r>
        <w:rPr>
          <w:rFonts w:hint="eastAsia" w:ascii="仿宋" w:hAnsi="仿宋" w:eastAsia="仿宋" w:cs="仿宋"/>
          <w:sz w:val="30"/>
          <w:szCs w:val="30"/>
          <w:lang w:val="en-US" w:eastAsia="zh-CN"/>
        </w:rPr>
        <w:t>资金支付及时性</w:t>
      </w:r>
      <w:r>
        <w:rPr>
          <w:rFonts w:hint="eastAsia" w:ascii="仿宋" w:hAnsi="仿宋" w:eastAsia="仿宋" w:cs="仿宋"/>
          <w:sz w:val="30"/>
          <w:szCs w:val="30"/>
        </w:rPr>
        <w:t>是否达到绩效目标的预期指标值。</w:t>
      </w:r>
    </w:p>
    <w:tbl>
      <w:tblPr>
        <w:tblStyle w:val="16"/>
        <w:tblW w:w="4997" w:type="pct"/>
        <w:jc w:val="center"/>
        <w:tblLayout w:type="autofit"/>
        <w:tblCellMar>
          <w:top w:w="15" w:type="dxa"/>
          <w:left w:w="15" w:type="dxa"/>
          <w:bottom w:w="15" w:type="dxa"/>
          <w:right w:w="15" w:type="dxa"/>
        </w:tblCellMar>
      </w:tblPr>
      <w:tblGrid>
        <w:gridCol w:w="1672"/>
        <w:gridCol w:w="1450"/>
        <w:gridCol w:w="3990"/>
        <w:gridCol w:w="1463"/>
        <w:gridCol w:w="1087"/>
      </w:tblGrid>
      <w:tr>
        <w:tblPrEx>
          <w:tblCellMar>
            <w:top w:w="15" w:type="dxa"/>
            <w:left w:w="15" w:type="dxa"/>
            <w:bottom w:w="15" w:type="dxa"/>
            <w:right w:w="15" w:type="dxa"/>
          </w:tblCellMar>
        </w:tblPrEx>
        <w:trPr>
          <w:trHeight w:val="479" w:hRule="exact"/>
          <w:jc w:val="center"/>
        </w:trPr>
        <w:tc>
          <w:tcPr>
            <w:tcW w:w="865" w:type="pct"/>
            <w:tcBorders>
              <w:top w:val="single" w:color="000000" w:sz="4" w:space="0"/>
              <w:left w:val="single" w:color="000000" w:sz="4" w:space="0"/>
              <w:bottom w:val="single" w:color="000000" w:sz="4" w:space="0"/>
              <w:right w:val="single" w:color="000000"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rPr>
              <w:t>一级指标</w:t>
            </w:r>
          </w:p>
        </w:tc>
        <w:tc>
          <w:tcPr>
            <w:tcW w:w="750" w:type="pct"/>
            <w:tcBorders>
              <w:top w:val="single" w:color="000000" w:sz="4" w:space="0"/>
              <w:left w:val="single" w:color="000000" w:sz="4" w:space="0"/>
              <w:bottom w:val="single" w:color="000000" w:sz="4" w:space="0"/>
              <w:right w:val="single" w:color="000000"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rPr>
              <w:t>二级指标</w:t>
            </w:r>
          </w:p>
        </w:tc>
        <w:tc>
          <w:tcPr>
            <w:tcW w:w="2064" w:type="pct"/>
            <w:tcBorders>
              <w:top w:val="single" w:color="000000" w:sz="4" w:space="0"/>
              <w:left w:val="single" w:color="000000" w:sz="4" w:space="0"/>
              <w:bottom w:val="single" w:color="000000" w:sz="4" w:space="0"/>
              <w:right w:val="single" w:color="000000"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rPr>
              <w:t>三级指标</w:t>
            </w:r>
          </w:p>
        </w:tc>
        <w:tc>
          <w:tcPr>
            <w:tcW w:w="757" w:type="pct"/>
            <w:tcBorders>
              <w:top w:val="single" w:color="000000" w:sz="4" w:space="0"/>
              <w:left w:val="single" w:color="000000" w:sz="4" w:space="0"/>
              <w:bottom w:val="single" w:color="000000" w:sz="4" w:space="0"/>
              <w:right w:val="single" w:color="000000"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rPr>
              <w:t>分数权重</w:t>
            </w:r>
          </w:p>
        </w:tc>
        <w:tc>
          <w:tcPr>
            <w:tcW w:w="562" w:type="pct"/>
            <w:tcBorders>
              <w:top w:val="single" w:color="000000" w:sz="4" w:space="0"/>
              <w:left w:val="single" w:color="000000" w:sz="4" w:space="0"/>
              <w:bottom w:val="single" w:color="000000" w:sz="4" w:space="0"/>
              <w:right w:val="single" w:color="000000"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rPr>
              <w:t>得分</w:t>
            </w:r>
          </w:p>
        </w:tc>
      </w:tr>
      <w:tr>
        <w:tblPrEx>
          <w:tblCellMar>
            <w:top w:w="15" w:type="dxa"/>
            <w:left w:w="15" w:type="dxa"/>
            <w:bottom w:w="15" w:type="dxa"/>
            <w:right w:w="15" w:type="dxa"/>
          </w:tblCellMar>
        </w:tblPrEx>
        <w:trPr>
          <w:trHeight w:val="599" w:hRule="exact"/>
          <w:jc w:val="center"/>
        </w:trPr>
        <w:tc>
          <w:tcPr>
            <w:tcW w:w="865" w:type="pct"/>
            <w:vMerge w:val="restart"/>
            <w:tcBorders>
              <w:top w:val="single" w:color="000000" w:sz="4" w:space="0"/>
              <w:left w:val="single" w:color="000000" w:sz="4" w:space="0"/>
              <w:right w:val="single" w:color="000000"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项目产出</w:t>
            </w:r>
          </w:p>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rPr>
              <w:t>（30分）</w:t>
            </w:r>
          </w:p>
        </w:tc>
        <w:tc>
          <w:tcPr>
            <w:tcW w:w="750" w:type="pct"/>
            <w:vMerge w:val="restart"/>
            <w:tcBorders>
              <w:top w:val="single" w:color="000000" w:sz="4" w:space="0"/>
              <w:left w:val="single" w:color="000000" w:sz="4" w:space="0"/>
              <w:bottom w:val="single" w:color="000000" w:sz="4" w:space="0"/>
              <w:right w:val="single" w:color="000000"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rPr>
              <w:t>数量指标</w:t>
            </w:r>
          </w:p>
        </w:tc>
        <w:tc>
          <w:tcPr>
            <w:tcW w:w="2064" w:type="pct"/>
            <w:tcBorders>
              <w:top w:val="single" w:color="000000" w:sz="4" w:space="0"/>
              <w:left w:val="single" w:color="000000" w:sz="4" w:space="0"/>
              <w:bottom w:val="single" w:color="000000" w:sz="4" w:space="0"/>
              <w:right w:val="single" w:color="000000" w:sz="4" w:space="0"/>
            </w:tcBorders>
            <w:vAlign w:val="center"/>
          </w:tcPr>
          <w:p>
            <w:pPr>
              <w:pageBreakBefore w:val="0"/>
              <w:widowControl/>
              <w:kinsoku/>
              <w:wordWrap/>
              <w:overflowPunct/>
              <w:topLinePunct w:val="0"/>
              <w:autoSpaceDE/>
              <w:autoSpaceDN/>
              <w:bidi w:val="0"/>
              <w:adjustRightInd/>
              <w:snapToGrid/>
              <w:spacing w:line="560" w:lineRule="exact"/>
              <w:textAlignment w:val="center"/>
              <w:rPr>
                <w:rFonts w:hint="eastAsia" w:ascii="仿宋" w:hAnsi="仿宋" w:eastAsia="仿宋" w:cs="仿宋"/>
                <w:color w:val="000000"/>
                <w:sz w:val="24"/>
                <w:szCs w:val="24"/>
              </w:rPr>
            </w:pPr>
            <w:r>
              <w:rPr>
                <w:rFonts w:hint="eastAsia" w:ascii="仿宋" w:hAnsi="仿宋" w:eastAsia="仿宋" w:cs="仿宋"/>
                <w:color w:val="000000"/>
                <w:sz w:val="24"/>
                <w:szCs w:val="24"/>
                <w:lang w:val="en-US" w:eastAsia="zh-CN"/>
              </w:rPr>
              <w:t>保障人数</w:t>
            </w:r>
          </w:p>
        </w:tc>
        <w:tc>
          <w:tcPr>
            <w:tcW w:w="757" w:type="pct"/>
            <w:tcBorders>
              <w:top w:val="single" w:color="000000" w:sz="4" w:space="0"/>
              <w:left w:val="single" w:color="000000" w:sz="4" w:space="0"/>
              <w:bottom w:val="single" w:color="000000" w:sz="4" w:space="0"/>
              <w:right w:val="single" w:color="000000"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sz w:val="24"/>
                <w:szCs w:val="24"/>
                <w:lang w:eastAsia="zh-CN"/>
              </w:rPr>
            </w:pPr>
            <w:r>
              <w:rPr>
                <w:rFonts w:hint="eastAsia" w:ascii="仿宋" w:hAnsi="仿宋" w:eastAsia="仿宋" w:cs="仿宋"/>
                <w:color w:val="000000"/>
                <w:sz w:val="24"/>
                <w:szCs w:val="24"/>
                <w:lang w:val="en-US" w:eastAsia="zh-CN"/>
              </w:rPr>
              <w:t>7</w:t>
            </w:r>
          </w:p>
        </w:tc>
        <w:tc>
          <w:tcPr>
            <w:tcW w:w="562" w:type="pct"/>
            <w:tcBorders>
              <w:top w:val="single" w:color="000000" w:sz="4" w:space="0"/>
              <w:left w:val="single" w:color="000000" w:sz="4" w:space="0"/>
              <w:bottom w:val="single" w:color="000000" w:sz="4" w:space="0"/>
              <w:right w:val="single" w:color="000000"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sz w:val="24"/>
                <w:szCs w:val="24"/>
                <w:lang w:eastAsia="zh-CN"/>
              </w:rPr>
            </w:pPr>
            <w:r>
              <w:rPr>
                <w:rFonts w:hint="eastAsia" w:ascii="仿宋" w:hAnsi="仿宋" w:eastAsia="仿宋" w:cs="仿宋"/>
                <w:color w:val="000000"/>
                <w:sz w:val="24"/>
                <w:szCs w:val="24"/>
                <w:lang w:val="en-US" w:eastAsia="zh-CN"/>
              </w:rPr>
              <w:t>7</w:t>
            </w:r>
          </w:p>
        </w:tc>
      </w:tr>
      <w:tr>
        <w:tblPrEx>
          <w:tblCellMar>
            <w:top w:w="15" w:type="dxa"/>
            <w:left w:w="15" w:type="dxa"/>
            <w:bottom w:w="15" w:type="dxa"/>
            <w:right w:w="15" w:type="dxa"/>
          </w:tblCellMar>
        </w:tblPrEx>
        <w:trPr>
          <w:trHeight w:val="599" w:hRule="exact"/>
          <w:jc w:val="center"/>
        </w:trPr>
        <w:tc>
          <w:tcPr>
            <w:tcW w:w="865" w:type="pct"/>
            <w:vMerge w:val="continue"/>
            <w:tcBorders>
              <w:left w:val="single" w:color="000000" w:sz="4" w:space="0"/>
              <w:right w:val="single" w:color="000000" w:sz="4" w:space="0"/>
            </w:tcBorders>
            <w:vAlign w:val="center"/>
          </w:tcPr>
          <w:p>
            <w:pPr>
              <w:pageBreakBefore w:val="0"/>
              <w:kinsoku/>
              <w:wordWrap/>
              <w:overflowPunct/>
              <w:topLinePunct w:val="0"/>
              <w:autoSpaceDE/>
              <w:autoSpaceDN/>
              <w:bidi w:val="0"/>
              <w:adjustRightInd/>
              <w:snapToGrid/>
              <w:spacing w:line="560" w:lineRule="exact"/>
              <w:jc w:val="center"/>
              <w:rPr>
                <w:rFonts w:hint="eastAsia" w:ascii="仿宋" w:hAnsi="仿宋" w:eastAsia="仿宋" w:cs="仿宋"/>
                <w:color w:val="000000"/>
                <w:sz w:val="24"/>
                <w:szCs w:val="24"/>
              </w:rPr>
            </w:pPr>
          </w:p>
        </w:tc>
        <w:tc>
          <w:tcPr>
            <w:tcW w:w="750" w:type="pct"/>
            <w:vMerge w:val="continue"/>
            <w:tcBorders>
              <w:top w:val="single" w:color="000000" w:sz="4" w:space="0"/>
              <w:left w:val="single" w:color="000000" w:sz="4" w:space="0"/>
              <w:bottom w:val="single" w:color="000000" w:sz="4" w:space="0"/>
              <w:right w:val="single" w:color="000000" w:sz="4" w:space="0"/>
            </w:tcBorders>
            <w:vAlign w:val="center"/>
          </w:tcPr>
          <w:p>
            <w:pPr>
              <w:pageBreakBefore w:val="0"/>
              <w:kinsoku/>
              <w:wordWrap/>
              <w:overflowPunct/>
              <w:topLinePunct w:val="0"/>
              <w:autoSpaceDE/>
              <w:autoSpaceDN/>
              <w:bidi w:val="0"/>
              <w:adjustRightInd/>
              <w:snapToGrid/>
              <w:spacing w:line="560" w:lineRule="exact"/>
              <w:jc w:val="center"/>
              <w:rPr>
                <w:rFonts w:hint="eastAsia" w:ascii="仿宋" w:hAnsi="仿宋" w:eastAsia="仿宋" w:cs="仿宋"/>
                <w:color w:val="000000"/>
                <w:sz w:val="24"/>
                <w:szCs w:val="24"/>
              </w:rPr>
            </w:pPr>
          </w:p>
        </w:tc>
        <w:tc>
          <w:tcPr>
            <w:tcW w:w="2064" w:type="pct"/>
            <w:tcBorders>
              <w:top w:val="single" w:color="000000" w:sz="4" w:space="0"/>
              <w:left w:val="single" w:color="000000" w:sz="4" w:space="0"/>
              <w:bottom w:val="single" w:color="000000" w:sz="4" w:space="0"/>
              <w:right w:val="single" w:color="000000" w:sz="4" w:space="0"/>
            </w:tcBorders>
            <w:vAlign w:val="center"/>
          </w:tcPr>
          <w:p>
            <w:pPr>
              <w:pageBreakBefore w:val="0"/>
              <w:widowControl/>
              <w:kinsoku/>
              <w:wordWrap/>
              <w:overflowPunct/>
              <w:topLinePunct w:val="0"/>
              <w:autoSpaceDE/>
              <w:autoSpaceDN/>
              <w:bidi w:val="0"/>
              <w:adjustRightInd/>
              <w:snapToGrid/>
              <w:spacing w:line="560" w:lineRule="exact"/>
              <w:textAlignment w:val="center"/>
              <w:rPr>
                <w:rFonts w:hint="eastAsia" w:ascii="仿宋" w:hAnsi="仿宋" w:eastAsia="仿宋" w:cs="仿宋"/>
                <w:color w:val="000000"/>
                <w:sz w:val="24"/>
                <w:szCs w:val="24"/>
              </w:rPr>
            </w:pPr>
            <w:r>
              <w:rPr>
                <w:rFonts w:hint="eastAsia" w:ascii="仿宋" w:hAnsi="仿宋" w:eastAsia="仿宋" w:cs="仿宋"/>
                <w:color w:val="000000"/>
                <w:sz w:val="24"/>
                <w:szCs w:val="24"/>
                <w:lang w:val="en-US" w:eastAsia="zh-CN"/>
              </w:rPr>
              <w:t>人员经费发放到位率</w:t>
            </w:r>
          </w:p>
        </w:tc>
        <w:tc>
          <w:tcPr>
            <w:tcW w:w="757" w:type="pct"/>
            <w:tcBorders>
              <w:top w:val="single" w:color="000000" w:sz="4" w:space="0"/>
              <w:left w:val="single" w:color="000000" w:sz="4" w:space="0"/>
              <w:bottom w:val="single" w:color="000000" w:sz="4" w:space="0"/>
              <w:right w:val="single" w:color="000000"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8</w:t>
            </w:r>
          </w:p>
        </w:tc>
        <w:tc>
          <w:tcPr>
            <w:tcW w:w="562" w:type="pct"/>
            <w:tcBorders>
              <w:top w:val="single" w:color="000000" w:sz="4" w:space="0"/>
              <w:left w:val="single" w:color="000000" w:sz="4" w:space="0"/>
              <w:bottom w:val="single" w:color="000000" w:sz="4" w:space="0"/>
              <w:right w:val="single" w:color="000000"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sz w:val="24"/>
                <w:szCs w:val="24"/>
                <w:lang w:eastAsia="zh-CN"/>
              </w:rPr>
            </w:pPr>
            <w:r>
              <w:rPr>
                <w:rFonts w:hint="eastAsia" w:ascii="仿宋" w:hAnsi="仿宋" w:eastAsia="仿宋" w:cs="仿宋"/>
                <w:color w:val="000000"/>
                <w:sz w:val="24"/>
                <w:szCs w:val="24"/>
                <w:lang w:val="en-US" w:eastAsia="zh-CN"/>
              </w:rPr>
              <w:t>8</w:t>
            </w:r>
          </w:p>
        </w:tc>
      </w:tr>
      <w:tr>
        <w:tblPrEx>
          <w:tblCellMar>
            <w:top w:w="15" w:type="dxa"/>
            <w:left w:w="15" w:type="dxa"/>
            <w:bottom w:w="15" w:type="dxa"/>
            <w:right w:w="15" w:type="dxa"/>
          </w:tblCellMar>
        </w:tblPrEx>
        <w:trPr>
          <w:trHeight w:val="683" w:hRule="exact"/>
          <w:jc w:val="center"/>
        </w:trPr>
        <w:tc>
          <w:tcPr>
            <w:tcW w:w="865" w:type="pct"/>
            <w:vMerge w:val="continue"/>
            <w:tcBorders>
              <w:left w:val="single" w:color="000000" w:sz="4" w:space="0"/>
              <w:right w:val="single" w:color="000000" w:sz="4" w:space="0"/>
            </w:tcBorders>
            <w:vAlign w:val="center"/>
          </w:tcPr>
          <w:p>
            <w:pPr>
              <w:pageBreakBefore w:val="0"/>
              <w:kinsoku/>
              <w:wordWrap/>
              <w:overflowPunct/>
              <w:topLinePunct w:val="0"/>
              <w:autoSpaceDE/>
              <w:autoSpaceDN/>
              <w:bidi w:val="0"/>
              <w:adjustRightInd/>
              <w:snapToGrid/>
              <w:spacing w:line="560" w:lineRule="exact"/>
              <w:jc w:val="center"/>
              <w:rPr>
                <w:rFonts w:hint="eastAsia" w:ascii="仿宋" w:hAnsi="仿宋" w:eastAsia="仿宋" w:cs="仿宋"/>
                <w:color w:val="000000"/>
                <w:sz w:val="24"/>
                <w:szCs w:val="24"/>
              </w:rPr>
            </w:pPr>
          </w:p>
        </w:tc>
        <w:tc>
          <w:tcPr>
            <w:tcW w:w="750" w:type="pct"/>
            <w:vMerge w:val="continue"/>
            <w:tcBorders>
              <w:top w:val="single" w:color="000000" w:sz="4" w:space="0"/>
              <w:left w:val="single" w:color="000000" w:sz="4" w:space="0"/>
              <w:bottom w:val="single" w:color="000000" w:sz="4" w:space="0"/>
              <w:right w:val="single" w:color="000000" w:sz="4" w:space="0"/>
            </w:tcBorders>
            <w:vAlign w:val="center"/>
          </w:tcPr>
          <w:p>
            <w:pPr>
              <w:pageBreakBefore w:val="0"/>
              <w:kinsoku/>
              <w:wordWrap/>
              <w:overflowPunct/>
              <w:topLinePunct w:val="0"/>
              <w:autoSpaceDE/>
              <w:autoSpaceDN/>
              <w:bidi w:val="0"/>
              <w:adjustRightInd/>
              <w:snapToGrid/>
              <w:spacing w:line="560" w:lineRule="exact"/>
              <w:jc w:val="center"/>
              <w:rPr>
                <w:rFonts w:hint="eastAsia" w:ascii="仿宋" w:hAnsi="仿宋" w:eastAsia="仿宋" w:cs="仿宋"/>
                <w:color w:val="000000"/>
                <w:sz w:val="24"/>
                <w:szCs w:val="24"/>
              </w:rPr>
            </w:pPr>
          </w:p>
        </w:tc>
        <w:tc>
          <w:tcPr>
            <w:tcW w:w="2064" w:type="pct"/>
            <w:tcBorders>
              <w:top w:val="single" w:color="000000" w:sz="4" w:space="0"/>
              <w:left w:val="single" w:color="000000" w:sz="4" w:space="0"/>
              <w:bottom w:val="single" w:color="000000" w:sz="4" w:space="0"/>
              <w:right w:val="single" w:color="000000" w:sz="4" w:space="0"/>
            </w:tcBorders>
            <w:vAlign w:val="center"/>
          </w:tcPr>
          <w:p>
            <w:pPr>
              <w:pageBreakBefore w:val="0"/>
              <w:widowControl/>
              <w:kinsoku/>
              <w:wordWrap/>
              <w:overflowPunct/>
              <w:topLinePunct w:val="0"/>
              <w:autoSpaceDE/>
              <w:autoSpaceDN/>
              <w:bidi w:val="0"/>
              <w:adjustRightInd/>
              <w:snapToGrid/>
              <w:spacing w:line="560" w:lineRule="exact"/>
              <w:textAlignment w:val="center"/>
              <w:rPr>
                <w:rFonts w:hint="eastAsia" w:ascii="仿宋" w:hAnsi="仿宋" w:eastAsia="仿宋" w:cs="仿宋"/>
                <w:color w:val="000000"/>
                <w:sz w:val="24"/>
                <w:szCs w:val="24"/>
              </w:rPr>
            </w:pPr>
            <w:r>
              <w:rPr>
                <w:rFonts w:hint="eastAsia" w:ascii="仿宋" w:hAnsi="仿宋" w:eastAsia="仿宋" w:cs="仿宋"/>
                <w:color w:val="000000"/>
                <w:sz w:val="24"/>
                <w:szCs w:val="24"/>
                <w:lang w:val="en-US" w:eastAsia="zh-CN"/>
              </w:rPr>
              <w:t>人均发放水平</w:t>
            </w:r>
          </w:p>
        </w:tc>
        <w:tc>
          <w:tcPr>
            <w:tcW w:w="757" w:type="pct"/>
            <w:tcBorders>
              <w:top w:val="single" w:color="000000" w:sz="4" w:space="0"/>
              <w:left w:val="single" w:color="000000" w:sz="4" w:space="0"/>
              <w:bottom w:val="single" w:color="000000" w:sz="4" w:space="0"/>
              <w:right w:val="single" w:color="000000"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7</w:t>
            </w:r>
          </w:p>
        </w:tc>
        <w:tc>
          <w:tcPr>
            <w:tcW w:w="562" w:type="pct"/>
            <w:tcBorders>
              <w:top w:val="single" w:color="000000" w:sz="4" w:space="0"/>
              <w:left w:val="single" w:color="000000" w:sz="4" w:space="0"/>
              <w:bottom w:val="single" w:color="000000" w:sz="4" w:space="0"/>
              <w:right w:val="single" w:color="000000"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sz w:val="24"/>
                <w:szCs w:val="24"/>
                <w:lang w:eastAsia="zh-CN"/>
              </w:rPr>
            </w:pPr>
            <w:r>
              <w:rPr>
                <w:rFonts w:hint="eastAsia" w:ascii="仿宋" w:hAnsi="仿宋" w:eastAsia="仿宋" w:cs="仿宋"/>
                <w:color w:val="000000"/>
                <w:sz w:val="24"/>
                <w:szCs w:val="24"/>
                <w:lang w:val="en-US" w:eastAsia="zh-CN"/>
              </w:rPr>
              <w:t>7</w:t>
            </w:r>
          </w:p>
        </w:tc>
      </w:tr>
      <w:tr>
        <w:tblPrEx>
          <w:tblCellMar>
            <w:top w:w="15" w:type="dxa"/>
            <w:left w:w="15" w:type="dxa"/>
            <w:bottom w:w="15" w:type="dxa"/>
            <w:right w:w="15" w:type="dxa"/>
          </w:tblCellMar>
        </w:tblPrEx>
        <w:trPr>
          <w:trHeight w:val="625" w:hRule="exact"/>
          <w:jc w:val="center"/>
        </w:trPr>
        <w:tc>
          <w:tcPr>
            <w:tcW w:w="865" w:type="pct"/>
            <w:vMerge w:val="continue"/>
            <w:tcBorders>
              <w:left w:val="single" w:color="000000" w:sz="4" w:space="0"/>
              <w:right w:val="single" w:color="000000" w:sz="4" w:space="0"/>
            </w:tcBorders>
            <w:vAlign w:val="center"/>
          </w:tcPr>
          <w:p>
            <w:pPr>
              <w:pageBreakBefore w:val="0"/>
              <w:kinsoku/>
              <w:wordWrap/>
              <w:overflowPunct/>
              <w:topLinePunct w:val="0"/>
              <w:autoSpaceDE/>
              <w:autoSpaceDN/>
              <w:bidi w:val="0"/>
              <w:adjustRightInd/>
              <w:snapToGrid/>
              <w:spacing w:line="560" w:lineRule="exact"/>
              <w:jc w:val="center"/>
              <w:rPr>
                <w:rFonts w:hint="eastAsia" w:ascii="仿宋" w:hAnsi="仿宋" w:eastAsia="仿宋" w:cs="仿宋"/>
                <w:color w:val="000000"/>
                <w:sz w:val="24"/>
                <w:szCs w:val="24"/>
              </w:rPr>
            </w:pPr>
          </w:p>
        </w:tc>
        <w:tc>
          <w:tcPr>
            <w:tcW w:w="1450" w:type="dxa"/>
            <w:tcBorders>
              <w:top w:val="single" w:color="000000" w:sz="4" w:space="0"/>
              <w:left w:val="single" w:color="000000" w:sz="4" w:space="0"/>
              <w:right w:val="single" w:color="000000"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时效指标</w:t>
            </w:r>
          </w:p>
        </w:tc>
        <w:tc>
          <w:tcPr>
            <w:tcW w:w="3990" w:type="dxa"/>
            <w:tcBorders>
              <w:top w:val="single" w:color="000000" w:sz="4" w:space="0"/>
              <w:left w:val="single" w:color="000000" w:sz="4" w:space="0"/>
              <w:bottom w:val="single" w:color="000000" w:sz="4" w:space="0"/>
              <w:right w:val="single" w:color="000000" w:sz="4" w:space="0"/>
            </w:tcBorders>
            <w:vAlign w:val="center"/>
          </w:tcPr>
          <w:p>
            <w:pPr>
              <w:pageBreakBefore w:val="0"/>
              <w:widowControl/>
              <w:kinsoku/>
              <w:wordWrap/>
              <w:overflowPunct/>
              <w:topLinePunct w:val="0"/>
              <w:autoSpaceDE/>
              <w:autoSpaceDN/>
              <w:bidi w:val="0"/>
              <w:adjustRightInd/>
              <w:snapToGrid/>
              <w:spacing w:line="560" w:lineRule="exact"/>
              <w:textAlignment w:val="cente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资金支付及时性</w:t>
            </w:r>
          </w:p>
        </w:tc>
        <w:tc>
          <w:tcPr>
            <w:tcW w:w="757" w:type="pct"/>
            <w:tcBorders>
              <w:top w:val="single" w:color="000000" w:sz="4" w:space="0"/>
              <w:left w:val="single" w:color="000000" w:sz="4" w:space="0"/>
              <w:bottom w:val="single" w:color="000000" w:sz="4" w:space="0"/>
              <w:right w:val="single" w:color="000000"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kern w:val="0"/>
                <w:sz w:val="24"/>
                <w:szCs w:val="24"/>
                <w:lang w:eastAsia="zh-CN"/>
              </w:rPr>
            </w:pPr>
            <w:r>
              <w:rPr>
                <w:rFonts w:hint="eastAsia" w:ascii="仿宋" w:hAnsi="仿宋" w:eastAsia="仿宋" w:cs="仿宋"/>
                <w:color w:val="000000"/>
                <w:sz w:val="24"/>
                <w:szCs w:val="24"/>
                <w:lang w:val="en-US" w:eastAsia="zh-CN"/>
              </w:rPr>
              <w:t>8</w:t>
            </w:r>
          </w:p>
        </w:tc>
        <w:tc>
          <w:tcPr>
            <w:tcW w:w="562" w:type="pct"/>
            <w:tcBorders>
              <w:top w:val="single" w:color="000000" w:sz="4" w:space="0"/>
              <w:left w:val="single" w:color="000000" w:sz="4" w:space="0"/>
              <w:bottom w:val="single" w:color="000000" w:sz="4" w:space="0"/>
              <w:right w:val="single" w:color="000000"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sz w:val="24"/>
                <w:szCs w:val="24"/>
                <w:lang w:eastAsia="zh-CN"/>
              </w:rPr>
            </w:pPr>
            <w:r>
              <w:rPr>
                <w:rFonts w:hint="eastAsia" w:ascii="仿宋" w:hAnsi="仿宋" w:eastAsia="仿宋" w:cs="仿宋"/>
                <w:color w:val="000000"/>
                <w:sz w:val="24"/>
                <w:szCs w:val="24"/>
                <w:lang w:val="en-US" w:eastAsia="zh-CN"/>
              </w:rPr>
              <w:t>8</w:t>
            </w:r>
          </w:p>
        </w:tc>
      </w:tr>
      <w:tr>
        <w:tblPrEx>
          <w:tblCellMar>
            <w:top w:w="15" w:type="dxa"/>
            <w:left w:w="15" w:type="dxa"/>
            <w:bottom w:w="15" w:type="dxa"/>
            <w:right w:w="15" w:type="dxa"/>
          </w:tblCellMar>
        </w:tblPrEx>
        <w:trPr>
          <w:trHeight w:val="454" w:hRule="exact"/>
          <w:jc w:val="center"/>
        </w:trPr>
        <w:tc>
          <w:tcPr>
            <w:tcW w:w="3679" w:type="pct"/>
            <w:gridSpan w:val="3"/>
            <w:tcBorders>
              <w:top w:val="single" w:color="000000" w:sz="4" w:space="0"/>
              <w:left w:val="single" w:color="000000" w:sz="4" w:space="0"/>
              <w:bottom w:val="single" w:color="000000" w:sz="4" w:space="0"/>
              <w:right w:val="single" w:color="000000"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合  计</w:t>
            </w:r>
          </w:p>
        </w:tc>
        <w:tc>
          <w:tcPr>
            <w:tcW w:w="757" w:type="pct"/>
            <w:tcBorders>
              <w:top w:val="single" w:color="000000" w:sz="4" w:space="0"/>
              <w:left w:val="single" w:color="000000" w:sz="4" w:space="0"/>
              <w:bottom w:val="single" w:color="000000" w:sz="4" w:space="0"/>
              <w:right w:val="single" w:color="000000"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30</w:t>
            </w:r>
          </w:p>
        </w:tc>
        <w:tc>
          <w:tcPr>
            <w:tcW w:w="562" w:type="pct"/>
            <w:tcBorders>
              <w:top w:val="single" w:color="000000" w:sz="4" w:space="0"/>
              <w:left w:val="single" w:color="000000" w:sz="4" w:space="0"/>
              <w:bottom w:val="single" w:color="000000" w:sz="4" w:space="0"/>
              <w:right w:val="single" w:color="000000"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highlight w:val="none"/>
              </w:rPr>
              <w:t>30</w:t>
            </w:r>
          </w:p>
        </w:tc>
      </w:tr>
    </w:tbl>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1、保障人数（</w:t>
      </w:r>
      <w:r>
        <w:rPr>
          <w:rFonts w:hint="eastAsia" w:ascii="仿宋" w:hAnsi="仿宋" w:eastAsia="仿宋" w:cs="仿宋"/>
          <w:sz w:val="30"/>
          <w:szCs w:val="30"/>
          <w:lang w:val="en-US" w:eastAsia="zh-CN"/>
        </w:rPr>
        <w:t>7</w:t>
      </w:r>
      <w:r>
        <w:rPr>
          <w:rFonts w:hint="eastAsia" w:ascii="仿宋" w:hAnsi="仿宋" w:eastAsia="仿宋" w:cs="仿宋"/>
          <w:sz w:val="30"/>
          <w:szCs w:val="30"/>
        </w:rPr>
        <w:t>分）</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该指标主要评价享受</w:t>
      </w:r>
      <w:r>
        <w:rPr>
          <w:rFonts w:hint="eastAsia" w:ascii="仿宋" w:hAnsi="仿宋" w:eastAsia="仿宋" w:cs="仿宋"/>
          <w:sz w:val="30"/>
          <w:szCs w:val="30"/>
          <w:lang w:val="en-US" w:eastAsia="zh-CN"/>
        </w:rPr>
        <w:t>特岗教师工资待遇的教师人数</w:t>
      </w:r>
      <w:r>
        <w:rPr>
          <w:rFonts w:hint="eastAsia" w:ascii="仿宋" w:hAnsi="仿宋" w:eastAsia="仿宋" w:cs="仿宋"/>
          <w:sz w:val="30"/>
          <w:szCs w:val="30"/>
        </w:rPr>
        <w:t>。</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202</w:t>
      </w:r>
      <w:r>
        <w:rPr>
          <w:rFonts w:hint="eastAsia" w:ascii="仿宋" w:hAnsi="仿宋" w:eastAsia="仿宋" w:cs="仿宋"/>
          <w:sz w:val="30"/>
          <w:szCs w:val="30"/>
          <w:lang w:val="en-US" w:eastAsia="zh-CN"/>
        </w:rPr>
        <w:t>1</w:t>
      </w:r>
      <w:r>
        <w:rPr>
          <w:rFonts w:hint="eastAsia" w:ascii="仿宋" w:hAnsi="仿宋" w:eastAsia="仿宋" w:cs="仿宋"/>
          <w:sz w:val="30"/>
          <w:szCs w:val="30"/>
        </w:rPr>
        <w:t>享受</w:t>
      </w:r>
      <w:r>
        <w:rPr>
          <w:rFonts w:hint="eastAsia" w:ascii="仿宋" w:hAnsi="仿宋" w:eastAsia="仿宋" w:cs="仿宋"/>
          <w:sz w:val="30"/>
          <w:szCs w:val="30"/>
          <w:lang w:val="en-US" w:eastAsia="zh-CN"/>
        </w:rPr>
        <w:t>特岗教师工资待遇的教师</w:t>
      </w:r>
      <w:r>
        <w:rPr>
          <w:rFonts w:hint="eastAsia" w:ascii="仿宋" w:hAnsi="仿宋" w:eastAsia="仿宋" w:cs="仿宋"/>
          <w:sz w:val="30"/>
          <w:szCs w:val="30"/>
        </w:rPr>
        <w:t>人员数量为</w:t>
      </w:r>
      <w:r>
        <w:rPr>
          <w:rFonts w:hint="eastAsia" w:ascii="仿宋" w:hAnsi="仿宋" w:eastAsia="仿宋" w:cs="仿宋"/>
          <w:sz w:val="30"/>
          <w:szCs w:val="30"/>
          <w:lang w:val="en-US" w:eastAsia="zh-CN"/>
        </w:rPr>
        <w:t>880</w:t>
      </w:r>
      <w:r>
        <w:rPr>
          <w:rFonts w:hint="eastAsia" w:ascii="仿宋" w:hAnsi="仿宋" w:eastAsia="仿宋" w:cs="仿宋"/>
          <w:sz w:val="30"/>
          <w:szCs w:val="30"/>
        </w:rPr>
        <w:t>人，</w:t>
      </w:r>
      <w:r>
        <w:rPr>
          <w:rFonts w:hint="eastAsia" w:ascii="仿宋" w:hAnsi="仿宋" w:eastAsia="仿宋" w:cs="仿宋"/>
          <w:sz w:val="30"/>
          <w:szCs w:val="30"/>
          <w:lang w:val="en-US" w:eastAsia="zh-CN"/>
        </w:rPr>
        <w:t>评级为“优”</w:t>
      </w:r>
      <w:r>
        <w:rPr>
          <w:rFonts w:hint="eastAsia" w:ascii="仿宋" w:hAnsi="仿宋" w:eastAsia="仿宋" w:cs="仿宋"/>
          <w:sz w:val="30"/>
          <w:szCs w:val="30"/>
        </w:rPr>
        <w:t>。</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该项指标实际得</w:t>
      </w:r>
      <w:r>
        <w:rPr>
          <w:rFonts w:hint="eastAsia" w:ascii="仿宋" w:hAnsi="仿宋" w:eastAsia="仿宋" w:cs="仿宋"/>
          <w:sz w:val="30"/>
          <w:szCs w:val="30"/>
          <w:lang w:val="en-US" w:eastAsia="zh-CN"/>
        </w:rPr>
        <w:t>7</w:t>
      </w:r>
      <w:r>
        <w:rPr>
          <w:rFonts w:hint="eastAsia" w:ascii="仿宋" w:hAnsi="仿宋" w:eastAsia="仿宋" w:cs="仿宋"/>
          <w:sz w:val="30"/>
          <w:szCs w:val="30"/>
        </w:rPr>
        <w:t>分。</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2、人员经费发放到位率（</w:t>
      </w:r>
      <w:r>
        <w:rPr>
          <w:rFonts w:hint="eastAsia" w:ascii="仿宋" w:hAnsi="仿宋" w:eastAsia="仿宋" w:cs="仿宋"/>
          <w:sz w:val="30"/>
          <w:szCs w:val="30"/>
          <w:lang w:val="en-US" w:eastAsia="zh-CN"/>
        </w:rPr>
        <w:t>8</w:t>
      </w:r>
      <w:r>
        <w:rPr>
          <w:rFonts w:hint="eastAsia" w:ascii="仿宋" w:hAnsi="仿宋" w:eastAsia="仿宋" w:cs="仿宋"/>
          <w:sz w:val="30"/>
          <w:szCs w:val="30"/>
        </w:rPr>
        <w:t>分）</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该指标主要评价享受</w:t>
      </w:r>
      <w:r>
        <w:rPr>
          <w:rFonts w:hint="eastAsia" w:ascii="仿宋" w:hAnsi="仿宋" w:eastAsia="仿宋" w:cs="仿宋"/>
          <w:sz w:val="30"/>
          <w:szCs w:val="30"/>
          <w:lang w:val="en-US" w:eastAsia="zh-CN"/>
        </w:rPr>
        <w:t>特岗教师工资待遇的</w:t>
      </w:r>
      <w:r>
        <w:rPr>
          <w:rFonts w:hint="eastAsia" w:ascii="仿宋" w:hAnsi="仿宋" w:eastAsia="仿宋" w:cs="仿宋"/>
          <w:sz w:val="30"/>
          <w:szCs w:val="30"/>
        </w:rPr>
        <w:t>人员是否做到了应补尽补。</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202</w:t>
      </w:r>
      <w:r>
        <w:rPr>
          <w:rFonts w:hint="eastAsia" w:ascii="仿宋" w:hAnsi="仿宋" w:eastAsia="仿宋" w:cs="仿宋"/>
          <w:sz w:val="30"/>
          <w:szCs w:val="30"/>
          <w:lang w:val="en-US" w:eastAsia="zh-CN"/>
        </w:rPr>
        <w:t>1</w:t>
      </w:r>
      <w:r>
        <w:rPr>
          <w:rFonts w:hint="eastAsia" w:ascii="仿宋" w:hAnsi="仿宋" w:eastAsia="仿宋" w:cs="仿宋"/>
          <w:sz w:val="30"/>
          <w:szCs w:val="30"/>
        </w:rPr>
        <w:t>年享受</w:t>
      </w:r>
      <w:r>
        <w:rPr>
          <w:rFonts w:hint="eastAsia" w:ascii="仿宋" w:hAnsi="仿宋" w:eastAsia="仿宋" w:cs="仿宋"/>
          <w:sz w:val="30"/>
          <w:szCs w:val="30"/>
          <w:lang w:val="en-US" w:eastAsia="zh-CN"/>
        </w:rPr>
        <w:t>特岗教师工资待遇的</w:t>
      </w:r>
      <w:r>
        <w:rPr>
          <w:rFonts w:hint="eastAsia" w:ascii="仿宋" w:hAnsi="仿宋" w:eastAsia="仿宋" w:cs="仿宋"/>
          <w:sz w:val="30"/>
          <w:szCs w:val="30"/>
        </w:rPr>
        <w:t>人员数量为</w:t>
      </w:r>
      <w:r>
        <w:rPr>
          <w:rFonts w:hint="eastAsia" w:ascii="仿宋" w:hAnsi="仿宋" w:eastAsia="仿宋" w:cs="仿宋"/>
          <w:sz w:val="30"/>
          <w:szCs w:val="30"/>
          <w:lang w:val="en-US" w:eastAsia="zh-CN"/>
        </w:rPr>
        <w:t>880</w:t>
      </w:r>
      <w:r>
        <w:rPr>
          <w:rFonts w:hint="eastAsia" w:ascii="仿宋" w:hAnsi="仿宋" w:eastAsia="仿宋" w:cs="仿宋"/>
          <w:sz w:val="30"/>
          <w:szCs w:val="30"/>
        </w:rPr>
        <w:t>人，做到了应补尽补。</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该项指标实际得</w:t>
      </w:r>
      <w:r>
        <w:rPr>
          <w:rFonts w:hint="eastAsia" w:ascii="仿宋" w:hAnsi="仿宋" w:eastAsia="仿宋" w:cs="仿宋"/>
          <w:sz w:val="30"/>
          <w:szCs w:val="30"/>
          <w:lang w:val="en-US" w:eastAsia="zh-CN"/>
        </w:rPr>
        <w:t>8</w:t>
      </w:r>
      <w:r>
        <w:rPr>
          <w:rFonts w:hint="eastAsia" w:ascii="仿宋" w:hAnsi="仿宋" w:eastAsia="仿宋" w:cs="仿宋"/>
          <w:sz w:val="30"/>
          <w:szCs w:val="30"/>
        </w:rPr>
        <w:t>分。</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3、</w:t>
      </w:r>
      <w:r>
        <w:rPr>
          <w:rFonts w:hint="eastAsia" w:ascii="仿宋" w:hAnsi="仿宋" w:eastAsia="仿宋" w:cs="仿宋"/>
          <w:sz w:val="30"/>
          <w:szCs w:val="30"/>
          <w:lang w:val="en-US" w:eastAsia="zh-CN"/>
        </w:rPr>
        <w:t>人均发放水平</w:t>
      </w:r>
      <w:r>
        <w:rPr>
          <w:rFonts w:hint="eastAsia" w:ascii="仿宋" w:hAnsi="仿宋" w:eastAsia="仿宋" w:cs="仿宋"/>
          <w:sz w:val="30"/>
          <w:szCs w:val="30"/>
        </w:rPr>
        <w:t>（</w:t>
      </w:r>
      <w:r>
        <w:rPr>
          <w:rFonts w:hint="eastAsia" w:ascii="仿宋" w:hAnsi="仿宋" w:eastAsia="仿宋" w:cs="仿宋"/>
          <w:sz w:val="30"/>
          <w:szCs w:val="30"/>
          <w:lang w:val="en-US" w:eastAsia="zh-CN"/>
        </w:rPr>
        <w:t>7</w:t>
      </w:r>
      <w:r>
        <w:rPr>
          <w:rFonts w:hint="eastAsia" w:ascii="仿宋" w:hAnsi="仿宋" w:eastAsia="仿宋" w:cs="仿宋"/>
          <w:sz w:val="30"/>
          <w:szCs w:val="30"/>
        </w:rPr>
        <w:t>分）</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yellow"/>
        </w:rPr>
      </w:pPr>
      <w:r>
        <w:rPr>
          <w:rFonts w:hint="eastAsia" w:ascii="仿宋" w:hAnsi="仿宋" w:eastAsia="仿宋" w:cs="仿宋"/>
          <w:sz w:val="30"/>
          <w:szCs w:val="30"/>
        </w:rPr>
        <w:t>该指标主要评价</w:t>
      </w:r>
      <w:r>
        <w:rPr>
          <w:rFonts w:hint="eastAsia" w:ascii="仿宋" w:hAnsi="仿宋" w:eastAsia="仿宋" w:cs="仿宋"/>
          <w:sz w:val="30"/>
          <w:szCs w:val="30"/>
          <w:lang w:val="en-US" w:eastAsia="zh-CN"/>
        </w:rPr>
        <w:t>特岗教师工资待遇人均发放水平是</w:t>
      </w:r>
      <w:r>
        <w:rPr>
          <w:rFonts w:hint="eastAsia" w:ascii="仿宋" w:hAnsi="仿宋" w:eastAsia="仿宋" w:cs="仿宋"/>
          <w:sz w:val="30"/>
          <w:szCs w:val="30"/>
        </w:rPr>
        <w:t>否达</w:t>
      </w:r>
      <w:r>
        <w:rPr>
          <w:rFonts w:hint="eastAsia" w:ascii="仿宋" w:hAnsi="仿宋" w:eastAsia="仿宋" w:cs="仿宋"/>
          <w:sz w:val="30"/>
          <w:szCs w:val="30"/>
          <w:highlight w:val="none"/>
        </w:rPr>
        <w:t>到人社审批标准。</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highlight w:val="none"/>
        </w:rPr>
      </w:pPr>
      <w:r>
        <w:rPr>
          <w:rFonts w:hint="eastAsia" w:ascii="仿宋" w:hAnsi="仿宋" w:eastAsia="仿宋" w:cs="仿宋"/>
          <w:sz w:val="30"/>
          <w:szCs w:val="30"/>
          <w:highlight w:val="none"/>
        </w:rPr>
        <w:t>202</w:t>
      </w:r>
      <w:r>
        <w:rPr>
          <w:rFonts w:hint="eastAsia" w:ascii="仿宋" w:hAnsi="仿宋" w:eastAsia="仿宋" w:cs="仿宋"/>
          <w:sz w:val="30"/>
          <w:szCs w:val="30"/>
          <w:highlight w:val="none"/>
          <w:lang w:val="en-US" w:eastAsia="zh-CN"/>
        </w:rPr>
        <w:t>1</w:t>
      </w:r>
      <w:r>
        <w:rPr>
          <w:rFonts w:hint="eastAsia" w:ascii="仿宋" w:hAnsi="仿宋" w:eastAsia="仿宋" w:cs="仿宋"/>
          <w:sz w:val="30"/>
          <w:szCs w:val="30"/>
          <w:highlight w:val="none"/>
        </w:rPr>
        <w:t>年曲阳县教育和体育局</w:t>
      </w:r>
      <w:r>
        <w:rPr>
          <w:rFonts w:hint="eastAsia" w:ascii="仿宋" w:hAnsi="仿宋" w:eastAsia="仿宋" w:cs="仿宋"/>
          <w:sz w:val="30"/>
          <w:szCs w:val="30"/>
          <w:highlight w:val="none"/>
          <w:lang w:val="en-US" w:eastAsia="zh-CN"/>
        </w:rPr>
        <w:t>按照人社审批标准每人每年11600元发放特岗教师工资</w:t>
      </w:r>
      <w:r>
        <w:rPr>
          <w:rFonts w:hint="eastAsia" w:ascii="仿宋" w:hAnsi="仿宋" w:eastAsia="仿宋" w:cs="仿宋"/>
          <w:sz w:val="30"/>
          <w:szCs w:val="30"/>
          <w:highlight w:val="none"/>
        </w:rPr>
        <w:t>。</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该项指标实际得</w:t>
      </w:r>
      <w:r>
        <w:rPr>
          <w:rFonts w:hint="eastAsia" w:ascii="仿宋" w:hAnsi="仿宋" w:eastAsia="仿宋" w:cs="仿宋"/>
          <w:sz w:val="30"/>
          <w:szCs w:val="30"/>
          <w:lang w:val="en-US" w:eastAsia="zh-CN"/>
        </w:rPr>
        <w:t>7</w:t>
      </w:r>
      <w:r>
        <w:rPr>
          <w:rFonts w:hint="eastAsia" w:ascii="仿宋" w:hAnsi="仿宋" w:eastAsia="仿宋" w:cs="仿宋"/>
          <w:sz w:val="30"/>
          <w:szCs w:val="30"/>
        </w:rPr>
        <w:t>分。</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4、资金支付及时性（</w:t>
      </w:r>
      <w:r>
        <w:rPr>
          <w:rFonts w:hint="eastAsia" w:ascii="仿宋" w:hAnsi="仿宋" w:eastAsia="仿宋" w:cs="仿宋"/>
          <w:sz w:val="30"/>
          <w:szCs w:val="30"/>
          <w:lang w:val="en-US" w:eastAsia="zh-CN"/>
        </w:rPr>
        <w:t>8</w:t>
      </w:r>
      <w:r>
        <w:rPr>
          <w:rFonts w:hint="eastAsia" w:ascii="仿宋" w:hAnsi="仿宋" w:eastAsia="仿宋" w:cs="仿宋"/>
          <w:sz w:val="30"/>
          <w:szCs w:val="30"/>
        </w:rPr>
        <w:t>分）</w:t>
      </w:r>
    </w:p>
    <w:p>
      <w:pPr>
        <w:pageBreakBefore w:val="0"/>
        <w:kinsoku/>
        <w:wordWrap/>
        <w:overflowPunct/>
        <w:topLinePunct w:val="0"/>
        <w:autoSpaceDE/>
        <w:autoSpaceDN/>
        <w:bidi w:val="0"/>
        <w:adjustRightInd/>
        <w:snapToGrid/>
        <w:spacing w:line="560" w:lineRule="exact"/>
        <w:ind w:firstLine="560"/>
        <w:rPr>
          <w:rFonts w:hint="eastAsia" w:ascii="仿宋" w:hAnsi="仿宋" w:eastAsia="仿宋" w:cs="仿宋"/>
          <w:sz w:val="30"/>
          <w:szCs w:val="30"/>
        </w:rPr>
      </w:pPr>
      <w:r>
        <w:rPr>
          <w:rFonts w:hint="eastAsia" w:ascii="仿宋" w:hAnsi="仿宋" w:eastAsia="仿宋" w:cs="仿宋"/>
          <w:sz w:val="30"/>
          <w:szCs w:val="30"/>
        </w:rPr>
        <w:t>该指标主要评价项目</w:t>
      </w:r>
      <w:r>
        <w:rPr>
          <w:rFonts w:hint="eastAsia" w:ascii="仿宋" w:hAnsi="仿宋" w:eastAsia="仿宋" w:cs="仿宋"/>
          <w:sz w:val="30"/>
          <w:szCs w:val="30"/>
          <w:lang w:val="en-US" w:eastAsia="zh-CN"/>
        </w:rPr>
        <w:t>资金是否及时支付，是否有截留资金，延迟支付的情况。</w:t>
      </w:r>
    </w:p>
    <w:p>
      <w:pPr>
        <w:pageBreakBefore w:val="0"/>
        <w:kinsoku/>
        <w:wordWrap/>
        <w:overflowPunct/>
        <w:topLinePunct w:val="0"/>
        <w:autoSpaceDE/>
        <w:autoSpaceDN/>
        <w:bidi w:val="0"/>
        <w:adjustRightInd/>
        <w:snapToGrid/>
        <w:spacing w:line="560" w:lineRule="exact"/>
        <w:ind w:firstLine="560"/>
        <w:rPr>
          <w:rFonts w:hint="eastAsia" w:ascii="仿宋" w:hAnsi="仿宋" w:eastAsia="仿宋" w:cs="仿宋"/>
          <w:sz w:val="30"/>
          <w:szCs w:val="30"/>
        </w:rPr>
      </w:pPr>
      <w:r>
        <w:rPr>
          <w:rFonts w:hint="eastAsia" w:ascii="仿宋" w:hAnsi="仿宋" w:eastAsia="仿宋" w:cs="仿宋"/>
          <w:sz w:val="30"/>
          <w:szCs w:val="30"/>
        </w:rPr>
        <w:t>经检查，</w:t>
      </w:r>
      <w:r>
        <w:rPr>
          <w:rFonts w:hint="eastAsia" w:ascii="仿宋" w:hAnsi="仿宋" w:eastAsia="仿宋" w:cs="仿宋"/>
          <w:sz w:val="30"/>
          <w:szCs w:val="30"/>
          <w:lang w:val="en-US" w:eastAsia="zh-CN"/>
        </w:rPr>
        <w:t>该项目资金支付及时，没有截留资金和延迟支付的情况</w:t>
      </w:r>
      <w:r>
        <w:rPr>
          <w:rFonts w:hint="eastAsia" w:ascii="仿宋" w:hAnsi="仿宋" w:eastAsia="仿宋" w:cs="仿宋"/>
          <w:sz w:val="30"/>
          <w:szCs w:val="30"/>
        </w:rPr>
        <w:t>。</w:t>
      </w:r>
    </w:p>
    <w:p>
      <w:pPr>
        <w:pageBreakBefore w:val="0"/>
        <w:kinsoku/>
        <w:wordWrap/>
        <w:overflowPunct/>
        <w:topLinePunct w:val="0"/>
        <w:autoSpaceDE/>
        <w:autoSpaceDN/>
        <w:bidi w:val="0"/>
        <w:adjustRightInd/>
        <w:snapToGrid/>
        <w:spacing w:line="560" w:lineRule="exact"/>
        <w:ind w:firstLine="560"/>
        <w:rPr>
          <w:rFonts w:hint="eastAsia" w:ascii="仿宋" w:hAnsi="仿宋" w:eastAsia="仿宋" w:cs="仿宋"/>
          <w:sz w:val="30"/>
          <w:szCs w:val="30"/>
        </w:rPr>
      </w:pPr>
      <w:r>
        <w:rPr>
          <w:rFonts w:hint="eastAsia" w:ascii="仿宋" w:hAnsi="仿宋" w:eastAsia="仿宋" w:cs="仿宋"/>
          <w:sz w:val="30"/>
          <w:szCs w:val="30"/>
        </w:rPr>
        <w:t>该项指标实际得分</w:t>
      </w:r>
      <w:r>
        <w:rPr>
          <w:rFonts w:hint="eastAsia" w:ascii="仿宋" w:hAnsi="仿宋" w:eastAsia="仿宋" w:cs="仿宋"/>
          <w:sz w:val="30"/>
          <w:szCs w:val="30"/>
          <w:lang w:val="en-US" w:eastAsia="zh-CN"/>
        </w:rPr>
        <w:t>8</w:t>
      </w:r>
      <w:r>
        <w:rPr>
          <w:rFonts w:hint="eastAsia" w:ascii="仿宋" w:hAnsi="仿宋" w:eastAsia="仿宋" w:cs="仿宋"/>
          <w:sz w:val="30"/>
          <w:szCs w:val="30"/>
        </w:rPr>
        <w:t>分。</w:t>
      </w:r>
    </w:p>
    <w:p>
      <w:pPr>
        <w:pStyle w:val="4"/>
        <w:pageBreakBefore w:val="0"/>
        <w:kinsoku/>
        <w:wordWrap/>
        <w:overflowPunct/>
        <w:topLinePunct w:val="0"/>
        <w:autoSpaceDE/>
        <w:autoSpaceDN/>
        <w:bidi w:val="0"/>
        <w:adjustRightInd/>
        <w:snapToGrid/>
        <w:spacing w:before="0" w:after="0" w:line="560" w:lineRule="exact"/>
        <w:ind w:firstLine="600" w:firstLineChars="200"/>
        <w:rPr>
          <w:rFonts w:hint="eastAsia" w:ascii="仿宋" w:hAnsi="仿宋" w:eastAsia="仿宋" w:cs="仿宋"/>
          <w:b w:val="0"/>
          <w:bCs w:val="0"/>
          <w:sz w:val="30"/>
          <w:szCs w:val="30"/>
        </w:rPr>
      </w:pPr>
      <w:bookmarkStart w:id="57" w:name="_Toc16415"/>
      <w:bookmarkStart w:id="58" w:name="_Toc83631046"/>
      <w:bookmarkStart w:id="59" w:name="_Toc833"/>
      <w:bookmarkStart w:id="60" w:name="_Toc1929"/>
      <w:bookmarkStart w:id="61" w:name="_Toc83630336"/>
      <w:r>
        <w:rPr>
          <w:rFonts w:hint="eastAsia" w:ascii="仿宋" w:hAnsi="仿宋" w:eastAsia="仿宋" w:cs="仿宋"/>
          <w:b w:val="0"/>
          <w:bCs w:val="0"/>
          <w:sz w:val="30"/>
          <w:szCs w:val="30"/>
        </w:rPr>
        <w:t>（四）项目效果（20分）</w:t>
      </w:r>
      <w:bookmarkEnd w:id="57"/>
      <w:bookmarkEnd w:id="58"/>
      <w:bookmarkEnd w:id="59"/>
      <w:bookmarkEnd w:id="60"/>
      <w:bookmarkEnd w:id="61"/>
    </w:p>
    <w:p>
      <w:pPr>
        <w:pageBreakBefore w:val="0"/>
        <w:kinsoku/>
        <w:wordWrap/>
        <w:overflowPunct/>
        <w:topLinePunct w:val="0"/>
        <w:autoSpaceDE/>
        <w:autoSpaceDN/>
        <w:bidi w:val="0"/>
        <w:adjustRightInd/>
        <w:snapToGrid/>
        <w:spacing w:line="560" w:lineRule="exact"/>
        <w:ind w:firstLine="588" w:firstLineChars="196"/>
        <w:outlineLvl w:val="0"/>
        <w:rPr>
          <w:rFonts w:hint="eastAsia" w:ascii="仿宋" w:hAnsi="仿宋" w:eastAsia="仿宋" w:cs="仿宋"/>
          <w:sz w:val="30"/>
          <w:szCs w:val="30"/>
        </w:rPr>
      </w:pPr>
      <w:bookmarkStart w:id="62" w:name="_Toc83630337"/>
      <w:bookmarkStart w:id="63" w:name="_Toc14139"/>
      <w:bookmarkStart w:id="64" w:name="_Toc27277"/>
      <w:bookmarkStart w:id="65" w:name="_Toc83631047"/>
      <w:bookmarkStart w:id="66" w:name="_Toc83630433"/>
      <w:r>
        <w:rPr>
          <w:rFonts w:hint="eastAsia" w:ascii="仿宋" w:hAnsi="仿宋" w:eastAsia="仿宋" w:cs="仿宋"/>
          <w:sz w:val="30"/>
          <w:szCs w:val="30"/>
        </w:rPr>
        <w:t>该一级指标包含项目效益1个二级指标和</w:t>
      </w:r>
      <w:r>
        <w:rPr>
          <w:rFonts w:hint="eastAsia" w:ascii="仿宋" w:hAnsi="仿宋" w:eastAsia="仿宋" w:cs="仿宋"/>
          <w:sz w:val="30"/>
          <w:szCs w:val="30"/>
          <w:lang w:val="en-US" w:eastAsia="zh-CN"/>
        </w:rPr>
        <w:t>经济效益、社会效益和受益人员</w:t>
      </w:r>
      <w:r>
        <w:rPr>
          <w:rFonts w:hint="eastAsia" w:ascii="仿宋" w:hAnsi="仿宋" w:eastAsia="仿宋" w:cs="仿宋"/>
          <w:sz w:val="30"/>
          <w:szCs w:val="30"/>
        </w:rPr>
        <w:t>满意度</w:t>
      </w:r>
      <w:r>
        <w:rPr>
          <w:rFonts w:hint="eastAsia" w:ascii="仿宋" w:hAnsi="仿宋" w:eastAsia="仿宋" w:cs="仿宋"/>
          <w:sz w:val="30"/>
          <w:szCs w:val="30"/>
          <w:lang w:val="en-US" w:eastAsia="zh-CN"/>
        </w:rPr>
        <w:t>3</w:t>
      </w:r>
      <w:r>
        <w:rPr>
          <w:rFonts w:hint="eastAsia" w:ascii="仿宋" w:hAnsi="仿宋" w:eastAsia="仿宋" w:cs="仿宋"/>
          <w:sz w:val="30"/>
          <w:szCs w:val="30"/>
        </w:rPr>
        <w:t>个三级指标。主要评价项目实施后所产生的各种效益。</w:t>
      </w:r>
      <w:bookmarkEnd w:id="62"/>
      <w:bookmarkEnd w:id="63"/>
      <w:bookmarkEnd w:id="64"/>
      <w:bookmarkEnd w:id="65"/>
      <w:bookmarkEnd w:id="66"/>
    </w:p>
    <w:tbl>
      <w:tblPr>
        <w:tblStyle w:val="16"/>
        <w:tblW w:w="4997" w:type="pct"/>
        <w:jc w:val="center"/>
        <w:tblLayout w:type="autofit"/>
        <w:tblCellMar>
          <w:top w:w="15" w:type="dxa"/>
          <w:left w:w="15" w:type="dxa"/>
          <w:bottom w:w="15" w:type="dxa"/>
          <w:right w:w="15" w:type="dxa"/>
        </w:tblCellMar>
      </w:tblPr>
      <w:tblGrid>
        <w:gridCol w:w="2025"/>
        <w:gridCol w:w="1595"/>
        <w:gridCol w:w="2944"/>
        <w:gridCol w:w="1656"/>
        <w:gridCol w:w="1442"/>
      </w:tblGrid>
      <w:tr>
        <w:tblPrEx>
          <w:tblCellMar>
            <w:top w:w="15" w:type="dxa"/>
            <w:left w:w="15" w:type="dxa"/>
            <w:bottom w:w="15" w:type="dxa"/>
            <w:right w:w="15" w:type="dxa"/>
          </w:tblCellMar>
        </w:tblPrEx>
        <w:trPr>
          <w:trHeight w:val="454" w:hRule="exact"/>
          <w:jc w:val="center"/>
        </w:trPr>
        <w:tc>
          <w:tcPr>
            <w:tcW w:w="1048" w:type="pct"/>
            <w:tcBorders>
              <w:top w:val="single" w:color="000000" w:sz="4" w:space="0"/>
              <w:left w:val="single" w:color="000000" w:sz="4" w:space="0"/>
              <w:bottom w:val="single" w:color="000000" w:sz="4" w:space="0"/>
              <w:right w:val="single" w:color="000000"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rPr>
              <w:t>一级指标</w:t>
            </w:r>
          </w:p>
        </w:tc>
        <w:tc>
          <w:tcPr>
            <w:tcW w:w="825" w:type="pct"/>
            <w:tcBorders>
              <w:top w:val="single" w:color="000000" w:sz="4" w:space="0"/>
              <w:left w:val="single" w:color="000000" w:sz="4" w:space="0"/>
              <w:bottom w:val="single" w:color="000000" w:sz="4" w:space="0"/>
              <w:right w:val="single" w:color="000000"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rPr>
              <w:t>二级指标</w:t>
            </w:r>
          </w:p>
        </w:tc>
        <w:tc>
          <w:tcPr>
            <w:tcW w:w="1523" w:type="pct"/>
            <w:tcBorders>
              <w:top w:val="single" w:color="000000" w:sz="4" w:space="0"/>
              <w:left w:val="single" w:color="000000" w:sz="4" w:space="0"/>
              <w:bottom w:val="single" w:color="000000" w:sz="4" w:space="0"/>
              <w:right w:val="single" w:color="000000"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rPr>
              <w:t>三级指标</w:t>
            </w:r>
          </w:p>
        </w:tc>
        <w:tc>
          <w:tcPr>
            <w:tcW w:w="857" w:type="pct"/>
            <w:tcBorders>
              <w:top w:val="single" w:color="000000" w:sz="4" w:space="0"/>
              <w:left w:val="single" w:color="000000" w:sz="4" w:space="0"/>
              <w:bottom w:val="single" w:color="000000" w:sz="4" w:space="0"/>
              <w:right w:val="single" w:color="000000"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rPr>
              <w:t>分数权重</w:t>
            </w:r>
          </w:p>
        </w:tc>
        <w:tc>
          <w:tcPr>
            <w:tcW w:w="746" w:type="pct"/>
            <w:tcBorders>
              <w:top w:val="single" w:color="000000" w:sz="4" w:space="0"/>
              <w:left w:val="single" w:color="000000" w:sz="4" w:space="0"/>
              <w:bottom w:val="single" w:color="000000" w:sz="4" w:space="0"/>
              <w:right w:val="single" w:color="000000"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rPr>
              <w:t>得分</w:t>
            </w:r>
          </w:p>
        </w:tc>
      </w:tr>
      <w:tr>
        <w:tblPrEx>
          <w:tblCellMar>
            <w:top w:w="15" w:type="dxa"/>
            <w:left w:w="15" w:type="dxa"/>
            <w:bottom w:w="15" w:type="dxa"/>
            <w:right w:w="15" w:type="dxa"/>
          </w:tblCellMar>
        </w:tblPrEx>
        <w:trPr>
          <w:trHeight w:val="584" w:hRule="exact"/>
          <w:jc w:val="center"/>
        </w:trPr>
        <w:tc>
          <w:tcPr>
            <w:tcW w:w="1048" w:type="pct"/>
            <w:vMerge w:val="restart"/>
            <w:tcBorders>
              <w:top w:val="single" w:color="000000" w:sz="4" w:space="0"/>
              <w:left w:val="single" w:color="000000" w:sz="4" w:space="0"/>
              <w:right w:val="single" w:color="000000"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项目效果</w:t>
            </w:r>
          </w:p>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rPr>
              <w:t>（20分）</w:t>
            </w:r>
          </w:p>
        </w:tc>
        <w:tc>
          <w:tcPr>
            <w:tcW w:w="825" w:type="pct"/>
            <w:vMerge w:val="restart"/>
            <w:tcBorders>
              <w:top w:val="single" w:color="000000" w:sz="4" w:space="0"/>
              <w:left w:val="single" w:color="000000" w:sz="4" w:space="0"/>
              <w:right w:val="single" w:color="000000"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sz w:val="24"/>
                <w:szCs w:val="24"/>
              </w:rPr>
            </w:pPr>
            <w:r>
              <w:rPr>
                <w:rFonts w:hint="eastAsia" w:ascii="仿宋" w:hAnsi="仿宋" w:eastAsia="仿宋" w:cs="仿宋"/>
                <w:color w:val="000000"/>
                <w:kern w:val="0"/>
                <w:sz w:val="24"/>
                <w:szCs w:val="24"/>
              </w:rPr>
              <w:t>项目效益</w:t>
            </w:r>
          </w:p>
        </w:tc>
        <w:tc>
          <w:tcPr>
            <w:tcW w:w="2944" w:type="dxa"/>
            <w:tcBorders>
              <w:top w:val="single" w:color="000000" w:sz="4" w:space="0"/>
              <w:left w:val="single" w:color="000000" w:sz="4" w:space="0"/>
              <w:bottom w:val="single" w:color="000000" w:sz="4" w:space="0"/>
              <w:right w:val="single" w:color="000000"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lang w:val="en-US" w:eastAsia="zh-CN"/>
              </w:rPr>
              <w:t>经济效益</w:t>
            </w:r>
          </w:p>
        </w:tc>
        <w:tc>
          <w:tcPr>
            <w:tcW w:w="857" w:type="pct"/>
            <w:tcBorders>
              <w:top w:val="single" w:color="000000" w:sz="4" w:space="0"/>
              <w:left w:val="single" w:color="000000" w:sz="4" w:space="0"/>
              <w:bottom w:val="single" w:color="000000" w:sz="4" w:space="0"/>
              <w:right w:val="single" w:color="000000"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default"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6</w:t>
            </w:r>
          </w:p>
        </w:tc>
        <w:tc>
          <w:tcPr>
            <w:tcW w:w="746" w:type="pct"/>
            <w:tcBorders>
              <w:top w:val="single" w:color="000000" w:sz="4" w:space="0"/>
              <w:left w:val="single" w:color="000000" w:sz="4" w:space="0"/>
              <w:bottom w:val="single" w:color="000000" w:sz="4" w:space="0"/>
              <w:right w:val="single" w:color="000000"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6</w:t>
            </w:r>
          </w:p>
        </w:tc>
      </w:tr>
      <w:tr>
        <w:tblPrEx>
          <w:tblCellMar>
            <w:top w:w="15" w:type="dxa"/>
            <w:left w:w="15" w:type="dxa"/>
            <w:bottom w:w="15" w:type="dxa"/>
            <w:right w:w="15" w:type="dxa"/>
          </w:tblCellMar>
        </w:tblPrEx>
        <w:trPr>
          <w:trHeight w:val="684" w:hRule="exact"/>
          <w:jc w:val="center"/>
        </w:trPr>
        <w:tc>
          <w:tcPr>
            <w:tcW w:w="1048" w:type="pct"/>
            <w:vMerge w:val="continue"/>
            <w:tcBorders>
              <w:left w:val="single" w:color="000000" w:sz="4" w:space="0"/>
              <w:right w:val="single" w:color="000000" w:sz="4" w:space="0"/>
            </w:tcBorders>
            <w:vAlign w:val="center"/>
          </w:tcPr>
          <w:p>
            <w:pPr>
              <w:pageBreakBefore w:val="0"/>
              <w:kinsoku/>
              <w:wordWrap/>
              <w:overflowPunct/>
              <w:topLinePunct w:val="0"/>
              <w:autoSpaceDE/>
              <w:autoSpaceDN/>
              <w:bidi w:val="0"/>
              <w:adjustRightInd/>
              <w:snapToGrid/>
              <w:spacing w:line="560" w:lineRule="exact"/>
              <w:jc w:val="center"/>
              <w:rPr>
                <w:rFonts w:hint="eastAsia" w:ascii="仿宋" w:hAnsi="仿宋" w:eastAsia="仿宋" w:cs="仿宋"/>
                <w:color w:val="000000"/>
                <w:sz w:val="24"/>
                <w:szCs w:val="24"/>
              </w:rPr>
            </w:pPr>
          </w:p>
        </w:tc>
        <w:tc>
          <w:tcPr>
            <w:tcW w:w="825" w:type="pct"/>
            <w:vMerge w:val="continue"/>
            <w:tcBorders>
              <w:left w:val="single" w:color="000000" w:sz="4" w:space="0"/>
              <w:right w:val="single" w:color="000000" w:sz="4" w:space="0"/>
            </w:tcBorders>
            <w:vAlign w:val="center"/>
          </w:tcPr>
          <w:p>
            <w:pPr>
              <w:pageBreakBefore w:val="0"/>
              <w:kinsoku/>
              <w:wordWrap/>
              <w:overflowPunct/>
              <w:topLinePunct w:val="0"/>
              <w:autoSpaceDE/>
              <w:autoSpaceDN/>
              <w:bidi w:val="0"/>
              <w:adjustRightInd/>
              <w:snapToGrid/>
              <w:spacing w:line="560" w:lineRule="exact"/>
              <w:jc w:val="center"/>
              <w:rPr>
                <w:rFonts w:hint="eastAsia" w:ascii="仿宋" w:hAnsi="仿宋" w:eastAsia="仿宋" w:cs="仿宋"/>
                <w:color w:val="000000"/>
                <w:sz w:val="24"/>
                <w:szCs w:val="24"/>
              </w:rPr>
            </w:pPr>
          </w:p>
        </w:tc>
        <w:tc>
          <w:tcPr>
            <w:tcW w:w="2944" w:type="dxa"/>
            <w:tcBorders>
              <w:top w:val="single" w:color="000000" w:sz="4" w:space="0"/>
              <w:left w:val="single" w:color="000000" w:sz="4" w:space="0"/>
              <w:bottom w:val="single" w:color="000000" w:sz="4" w:space="0"/>
              <w:right w:val="single" w:color="000000"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lang w:val="en-US" w:eastAsia="zh-CN"/>
              </w:rPr>
              <w:t>社会效益</w:t>
            </w:r>
          </w:p>
        </w:tc>
        <w:tc>
          <w:tcPr>
            <w:tcW w:w="857" w:type="pct"/>
            <w:tcBorders>
              <w:top w:val="single" w:color="000000" w:sz="4" w:space="0"/>
              <w:left w:val="single" w:color="000000" w:sz="4" w:space="0"/>
              <w:bottom w:val="single" w:color="000000" w:sz="4" w:space="0"/>
              <w:right w:val="single" w:color="000000"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6</w:t>
            </w:r>
          </w:p>
        </w:tc>
        <w:tc>
          <w:tcPr>
            <w:tcW w:w="746" w:type="pct"/>
            <w:tcBorders>
              <w:top w:val="single" w:color="000000" w:sz="4" w:space="0"/>
              <w:left w:val="single" w:color="000000" w:sz="4" w:space="0"/>
              <w:bottom w:val="single" w:color="000000" w:sz="4" w:space="0"/>
              <w:right w:val="single" w:color="000000"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6</w:t>
            </w:r>
          </w:p>
        </w:tc>
      </w:tr>
      <w:tr>
        <w:tblPrEx>
          <w:tblCellMar>
            <w:top w:w="15" w:type="dxa"/>
            <w:left w:w="15" w:type="dxa"/>
            <w:bottom w:w="15" w:type="dxa"/>
            <w:right w:w="15" w:type="dxa"/>
          </w:tblCellMar>
        </w:tblPrEx>
        <w:trPr>
          <w:trHeight w:val="664" w:hRule="exact"/>
          <w:jc w:val="center"/>
        </w:trPr>
        <w:tc>
          <w:tcPr>
            <w:tcW w:w="1048" w:type="pct"/>
            <w:vMerge w:val="continue"/>
            <w:tcBorders>
              <w:left w:val="single" w:color="000000" w:sz="4" w:space="0"/>
              <w:right w:val="single" w:color="000000" w:sz="4" w:space="0"/>
            </w:tcBorders>
            <w:vAlign w:val="center"/>
          </w:tcPr>
          <w:p>
            <w:pPr>
              <w:pageBreakBefore w:val="0"/>
              <w:kinsoku/>
              <w:wordWrap/>
              <w:overflowPunct/>
              <w:topLinePunct w:val="0"/>
              <w:autoSpaceDE/>
              <w:autoSpaceDN/>
              <w:bidi w:val="0"/>
              <w:adjustRightInd/>
              <w:snapToGrid/>
              <w:spacing w:line="560" w:lineRule="exact"/>
              <w:jc w:val="center"/>
              <w:rPr>
                <w:rFonts w:hint="eastAsia" w:ascii="仿宋" w:hAnsi="仿宋" w:eastAsia="仿宋" w:cs="仿宋"/>
                <w:color w:val="000000"/>
                <w:sz w:val="24"/>
                <w:szCs w:val="24"/>
              </w:rPr>
            </w:pPr>
          </w:p>
        </w:tc>
        <w:tc>
          <w:tcPr>
            <w:tcW w:w="825" w:type="pct"/>
            <w:vMerge w:val="continue"/>
            <w:tcBorders>
              <w:left w:val="single" w:color="000000" w:sz="4" w:space="0"/>
              <w:right w:val="single" w:color="000000" w:sz="4" w:space="0"/>
            </w:tcBorders>
            <w:vAlign w:val="center"/>
          </w:tcPr>
          <w:p>
            <w:pPr>
              <w:pageBreakBefore w:val="0"/>
              <w:kinsoku/>
              <w:wordWrap/>
              <w:overflowPunct/>
              <w:topLinePunct w:val="0"/>
              <w:autoSpaceDE/>
              <w:autoSpaceDN/>
              <w:bidi w:val="0"/>
              <w:adjustRightInd/>
              <w:snapToGrid/>
              <w:spacing w:line="560" w:lineRule="exact"/>
              <w:jc w:val="center"/>
              <w:rPr>
                <w:rFonts w:hint="eastAsia" w:ascii="仿宋" w:hAnsi="仿宋" w:eastAsia="仿宋" w:cs="仿宋"/>
                <w:color w:val="000000"/>
                <w:sz w:val="24"/>
                <w:szCs w:val="24"/>
              </w:rPr>
            </w:pPr>
          </w:p>
        </w:tc>
        <w:tc>
          <w:tcPr>
            <w:tcW w:w="2944" w:type="dxa"/>
            <w:tcBorders>
              <w:top w:val="single" w:color="000000" w:sz="4" w:space="0"/>
              <w:left w:val="single" w:color="000000" w:sz="4" w:space="0"/>
              <w:bottom w:val="single" w:color="000000" w:sz="4" w:space="0"/>
              <w:right w:val="single" w:color="000000"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lang w:val="en-US" w:eastAsia="zh-CN"/>
              </w:rPr>
              <w:t>受益人员满意度</w:t>
            </w:r>
          </w:p>
        </w:tc>
        <w:tc>
          <w:tcPr>
            <w:tcW w:w="857" w:type="pct"/>
            <w:tcBorders>
              <w:top w:val="single" w:color="000000" w:sz="4" w:space="0"/>
              <w:left w:val="single" w:color="000000" w:sz="4" w:space="0"/>
              <w:bottom w:val="single" w:color="000000" w:sz="4" w:space="0"/>
              <w:right w:val="single" w:color="000000"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kern w:val="0"/>
                <w:sz w:val="24"/>
                <w:szCs w:val="24"/>
                <w:lang w:val="en-US" w:eastAsia="zh-CN"/>
              </w:rPr>
            </w:pPr>
            <w:r>
              <w:rPr>
                <w:rFonts w:hint="eastAsia" w:ascii="仿宋" w:hAnsi="仿宋" w:eastAsia="仿宋" w:cs="仿宋"/>
                <w:color w:val="000000"/>
                <w:kern w:val="0"/>
                <w:sz w:val="24"/>
                <w:szCs w:val="24"/>
                <w:lang w:val="en-US" w:eastAsia="zh-CN"/>
              </w:rPr>
              <w:t>8</w:t>
            </w:r>
          </w:p>
        </w:tc>
        <w:tc>
          <w:tcPr>
            <w:tcW w:w="746" w:type="pct"/>
            <w:tcBorders>
              <w:top w:val="single" w:color="000000" w:sz="4" w:space="0"/>
              <w:left w:val="single" w:color="000000" w:sz="4" w:space="0"/>
              <w:bottom w:val="single" w:color="000000" w:sz="4" w:space="0"/>
              <w:right w:val="single" w:color="000000"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default" w:ascii="仿宋" w:hAnsi="仿宋" w:eastAsia="仿宋" w:cs="仿宋"/>
                <w:color w:val="000000"/>
                <w:kern w:val="0"/>
                <w:sz w:val="24"/>
                <w:szCs w:val="24"/>
                <w:lang w:val="en-US" w:eastAsia="zh-CN"/>
              </w:rPr>
            </w:pPr>
            <w:r>
              <w:rPr>
                <w:rFonts w:hint="eastAsia" w:ascii="仿宋" w:hAnsi="仿宋" w:eastAsia="仿宋" w:cs="仿宋"/>
                <w:color w:val="000000"/>
                <w:kern w:val="0"/>
                <w:sz w:val="24"/>
                <w:szCs w:val="24"/>
                <w:lang w:val="en-US" w:eastAsia="zh-CN"/>
              </w:rPr>
              <w:t>8</w:t>
            </w:r>
          </w:p>
        </w:tc>
      </w:tr>
      <w:tr>
        <w:tblPrEx>
          <w:tblCellMar>
            <w:top w:w="15" w:type="dxa"/>
            <w:left w:w="15" w:type="dxa"/>
            <w:bottom w:w="15" w:type="dxa"/>
            <w:right w:w="15" w:type="dxa"/>
          </w:tblCellMar>
        </w:tblPrEx>
        <w:trPr>
          <w:trHeight w:val="454" w:hRule="exact"/>
          <w:jc w:val="center"/>
        </w:trPr>
        <w:tc>
          <w:tcPr>
            <w:tcW w:w="3396" w:type="pct"/>
            <w:gridSpan w:val="3"/>
            <w:tcBorders>
              <w:top w:val="single" w:color="000000" w:sz="4" w:space="0"/>
              <w:left w:val="single" w:color="000000" w:sz="4" w:space="0"/>
              <w:bottom w:val="single" w:color="000000" w:sz="4" w:space="0"/>
              <w:right w:val="single" w:color="000000"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合  计</w:t>
            </w:r>
          </w:p>
        </w:tc>
        <w:tc>
          <w:tcPr>
            <w:tcW w:w="857" w:type="pct"/>
            <w:tcBorders>
              <w:top w:val="single" w:color="000000" w:sz="4" w:space="0"/>
              <w:left w:val="single" w:color="000000" w:sz="4" w:space="0"/>
              <w:bottom w:val="single" w:color="000000" w:sz="4" w:space="0"/>
              <w:right w:val="single" w:color="000000"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20</w:t>
            </w:r>
          </w:p>
        </w:tc>
        <w:tc>
          <w:tcPr>
            <w:tcW w:w="746" w:type="pct"/>
            <w:tcBorders>
              <w:top w:val="single" w:color="000000" w:sz="4" w:space="0"/>
              <w:left w:val="single" w:color="000000" w:sz="4" w:space="0"/>
              <w:bottom w:val="single" w:color="000000" w:sz="4" w:space="0"/>
              <w:right w:val="single" w:color="000000"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kern w:val="0"/>
                <w:sz w:val="24"/>
                <w:szCs w:val="24"/>
              </w:rPr>
            </w:pPr>
            <w:r>
              <w:rPr>
                <w:rFonts w:hint="eastAsia" w:ascii="仿宋" w:hAnsi="仿宋" w:eastAsia="仿宋" w:cs="仿宋"/>
                <w:color w:val="000000"/>
                <w:kern w:val="0"/>
                <w:sz w:val="24"/>
                <w:szCs w:val="24"/>
              </w:rPr>
              <w:t>20</w:t>
            </w:r>
          </w:p>
        </w:tc>
      </w:tr>
    </w:tbl>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rPr>
      </w:pPr>
      <w:r>
        <w:rPr>
          <w:rFonts w:hint="eastAsia" w:ascii="仿宋" w:hAnsi="仿宋" w:eastAsia="仿宋" w:cs="仿宋"/>
          <w:sz w:val="30"/>
          <w:szCs w:val="30"/>
        </w:rPr>
        <w:t>1.</w:t>
      </w:r>
      <w:r>
        <w:rPr>
          <w:rFonts w:hint="eastAsia" w:ascii="仿宋" w:hAnsi="仿宋" w:eastAsia="仿宋" w:cs="仿宋"/>
          <w:sz w:val="30"/>
          <w:szCs w:val="30"/>
          <w:lang w:val="en-US" w:eastAsia="zh-CN"/>
        </w:rPr>
        <w:t>经济效益</w:t>
      </w:r>
      <w:r>
        <w:rPr>
          <w:rFonts w:hint="eastAsia" w:ascii="仿宋" w:hAnsi="仿宋" w:eastAsia="仿宋" w:cs="仿宋"/>
          <w:sz w:val="30"/>
          <w:szCs w:val="30"/>
        </w:rPr>
        <w:t>（</w:t>
      </w:r>
      <w:r>
        <w:rPr>
          <w:rFonts w:hint="eastAsia" w:ascii="仿宋" w:hAnsi="仿宋" w:eastAsia="仿宋" w:cs="仿宋"/>
          <w:sz w:val="30"/>
          <w:szCs w:val="30"/>
          <w:lang w:val="en-US" w:eastAsia="zh-CN"/>
        </w:rPr>
        <w:t>6</w:t>
      </w:r>
      <w:r>
        <w:rPr>
          <w:rFonts w:hint="eastAsia" w:ascii="仿宋" w:hAnsi="仿宋" w:eastAsia="仿宋" w:cs="仿宋"/>
          <w:sz w:val="30"/>
          <w:szCs w:val="30"/>
        </w:rPr>
        <w:t>分）</w:t>
      </w:r>
    </w:p>
    <w:p>
      <w:pPr>
        <w:pageBreakBefore w:val="0"/>
        <w:kinsoku/>
        <w:wordWrap/>
        <w:overflowPunct/>
        <w:topLinePunct w:val="0"/>
        <w:autoSpaceDE/>
        <w:autoSpaceDN/>
        <w:bidi w:val="0"/>
        <w:adjustRightInd/>
        <w:snapToGrid/>
        <w:spacing w:line="560" w:lineRule="exact"/>
        <w:ind w:firstLine="600" w:firstLineChars="200"/>
        <w:jc w:val="left"/>
        <w:rPr>
          <w:rFonts w:hint="default" w:ascii="仿宋" w:hAnsi="仿宋" w:eastAsia="仿宋" w:cs="仿宋"/>
          <w:sz w:val="30"/>
          <w:szCs w:val="30"/>
          <w:lang w:val="en-US" w:eastAsia="zh-CN"/>
        </w:rPr>
      </w:pPr>
      <w:r>
        <w:rPr>
          <w:rFonts w:hint="eastAsia" w:ascii="仿宋" w:hAnsi="仿宋" w:eastAsia="仿宋" w:cs="仿宋"/>
          <w:sz w:val="30"/>
          <w:szCs w:val="30"/>
        </w:rPr>
        <w:t>该指标主要评价项目</w:t>
      </w:r>
      <w:r>
        <w:rPr>
          <w:rFonts w:hint="eastAsia" w:ascii="仿宋" w:hAnsi="仿宋" w:eastAsia="仿宋" w:cs="仿宋"/>
          <w:sz w:val="30"/>
          <w:szCs w:val="30"/>
          <w:lang w:val="en-US" w:eastAsia="zh-CN"/>
        </w:rPr>
        <w:t>实施产生的经济效益。</w:t>
      </w:r>
    </w:p>
    <w:p>
      <w:pPr>
        <w:pageBreakBefore w:val="0"/>
        <w:kinsoku/>
        <w:wordWrap/>
        <w:overflowPunct/>
        <w:topLinePunct w:val="0"/>
        <w:autoSpaceDE/>
        <w:autoSpaceDN/>
        <w:bidi w:val="0"/>
        <w:adjustRightInd/>
        <w:snapToGrid/>
        <w:spacing w:line="560" w:lineRule="exact"/>
        <w:ind w:firstLine="600" w:firstLineChars="200"/>
        <w:jc w:val="left"/>
        <w:rPr>
          <w:rFonts w:hint="default" w:ascii="仿宋" w:hAnsi="仿宋" w:eastAsia="仿宋" w:cs="仿宋"/>
          <w:sz w:val="30"/>
          <w:szCs w:val="30"/>
          <w:lang w:val="en-US"/>
        </w:rPr>
      </w:pPr>
      <w:r>
        <w:rPr>
          <w:rFonts w:hint="eastAsia" w:ascii="仿宋" w:hAnsi="仿宋" w:eastAsia="仿宋" w:cs="仿宋"/>
          <w:sz w:val="30"/>
          <w:szCs w:val="30"/>
          <w:lang w:val="en-US" w:eastAsia="zh-CN"/>
        </w:rPr>
        <w:t>该项目的实施维护了特岗教师的合法利益，稳定特岗教师队伍，提高了教学质量，为曲阳县高素质人才的培养打下基础。</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rPr>
      </w:pPr>
      <w:r>
        <w:rPr>
          <w:rFonts w:hint="eastAsia" w:ascii="仿宋" w:hAnsi="仿宋" w:eastAsia="仿宋" w:cs="仿宋"/>
          <w:sz w:val="30"/>
          <w:szCs w:val="30"/>
        </w:rPr>
        <w:t>该项指标实际得</w:t>
      </w:r>
      <w:r>
        <w:rPr>
          <w:rFonts w:hint="eastAsia" w:ascii="仿宋" w:hAnsi="仿宋" w:eastAsia="仿宋" w:cs="仿宋"/>
          <w:sz w:val="30"/>
          <w:szCs w:val="30"/>
          <w:lang w:val="en-US" w:eastAsia="zh-CN"/>
        </w:rPr>
        <w:t>6</w:t>
      </w:r>
      <w:r>
        <w:rPr>
          <w:rFonts w:hint="eastAsia" w:ascii="仿宋" w:hAnsi="仿宋" w:eastAsia="仿宋" w:cs="仿宋"/>
          <w:sz w:val="30"/>
          <w:szCs w:val="30"/>
        </w:rPr>
        <w:t>分。</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color w:val="FF0000"/>
          <w:sz w:val="30"/>
          <w:szCs w:val="30"/>
        </w:rPr>
      </w:pPr>
      <w:r>
        <w:rPr>
          <w:rFonts w:hint="eastAsia" w:ascii="仿宋" w:hAnsi="仿宋" w:eastAsia="仿宋" w:cs="仿宋"/>
          <w:sz w:val="30"/>
          <w:szCs w:val="30"/>
        </w:rPr>
        <w:t>2.社会效益（</w:t>
      </w:r>
      <w:r>
        <w:rPr>
          <w:rFonts w:hint="eastAsia" w:ascii="仿宋" w:hAnsi="仿宋" w:eastAsia="仿宋" w:cs="仿宋"/>
          <w:sz w:val="30"/>
          <w:szCs w:val="30"/>
          <w:lang w:val="en-US" w:eastAsia="zh-CN"/>
        </w:rPr>
        <w:t>6</w:t>
      </w:r>
      <w:r>
        <w:rPr>
          <w:rFonts w:hint="eastAsia" w:ascii="仿宋" w:hAnsi="仿宋" w:eastAsia="仿宋" w:cs="仿宋"/>
          <w:sz w:val="30"/>
          <w:szCs w:val="30"/>
        </w:rPr>
        <w:t>分）</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lang w:val="en-US" w:eastAsia="zh-CN"/>
        </w:rPr>
      </w:pPr>
      <w:r>
        <w:rPr>
          <w:rFonts w:hint="eastAsia" w:ascii="仿宋" w:hAnsi="仿宋" w:eastAsia="仿宋" w:cs="仿宋"/>
          <w:sz w:val="30"/>
          <w:szCs w:val="30"/>
        </w:rPr>
        <w:t>该指标主要评价项目</w:t>
      </w:r>
      <w:r>
        <w:rPr>
          <w:rFonts w:hint="eastAsia" w:ascii="仿宋" w:hAnsi="仿宋" w:eastAsia="仿宋" w:cs="仿宋"/>
          <w:sz w:val="30"/>
          <w:szCs w:val="30"/>
          <w:lang w:val="en-US" w:eastAsia="zh-CN"/>
        </w:rPr>
        <w:t>实施产生的社会效益。</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lang w:eastAsia="zh-CN"/>
        </w:rPr>
      </w:pPr>
      <w:r>
        <w:rPr>
          <w:rFonts w:hint="eastAsia" w:ascii="仿宋" w:hAnsi="仿宋" w:eastAsia="仿宋" w:cs="仿宋"/>
          <w:sz w:val="30"/>
          <w:szCs w:val="30"/>
          <w:lang w:val="en-US" w:eastAsia="zh-CN"/>
        </w:rPr>
        <w:t>该项目的实施，</w:t>
      </w:r>
      <w:r>
        <w:rPr>
          <w:rFonts w:hint="eastAsia" w:ascii="仿宋" w:hAnsi="仿宋" w:eastAsia="仿宋" w:cs="仿宋"/>
          <w:sz w:val="30"/>
          <w:szCs w:val="30"/>
        </w:rPr>
        <w:t>充实</w:t>
      </w:r>
      <w:r>
        <w:rPr>
          <w:rFonts w:hint="eastAsia" w:ascii="仿宋" w:hAnsi="仿宋" w:eastAsia="仿宋" w:cs="仿宋"/>
          <w:sz w:val="30"/>
          <w:szCs w:val="30"/>
          <w:lang w:eastAsia="zh-CN"/>
        </w:rPr>
        <w:t>了</w:t>
      </w:r>
      <w:r>
        <w:rPr>
          <w:rFonts w:hint="eastAsia" w:ascii="仿宋" w:hAnsi="仿宋" w:eastAsia="仿宋" w:cs="仿宋"/>
          <w:sz w:val="30"/>
          <w:szCs w:val="30"/>
        </w:rPr>
        <w:t>农村中小学教师队伍，提升</w:t>
      </w:r>
      <w:r>
        <w:rPr>
          <w:rFonts w:hint="eastAsia" w:ascii="仿宋" w:hAnsi="仿宋" w:eastAsia="仿宋" w:cs="仿宋"/>
          <w:sz w:val="30"/>
          <w:szCs w:val="30"/>
          <w:lang w:eastAsia="zh-CN"/>
        </w:rPr>
        <w:t>了</w:t>
      </w:r>
      <w:r>
        <w:rPr>
          <w:rFonts w:hint="eastAsia" w:ascii="仿宋" w:hAnsi="仿宋" w:eastAsia="仿宋" w:cs="仿宋"/>
          <w:sz w:val="30"/>
          <w:szCs w:val="30"/>
        </w:rPr>
        <w:t>农村中小学教师队伍整体素质</w:t>
      </w:r>
      <w:r>
        <w:rPr>
          <w:rFonts w:hint="eastAsia" w:ascii="仿宋" w:hAnsi="仿宋" w:eastAsia="仿宋" w:cs="仿宋"/>
          <w:sz w:val="30"/>
          <w:szCs w:val="30"/>
          <w:lang w:val="en-US" w:eastAsia="zh-CN"/>
        </w:rPr>
        <w:t>和</w:t>
      </w:r>
      <w:r>
        <w:rPr>
          <w:rFonts w:hint="eastAsia" w:ascii="仿宋" w:hAnsi="仿宋" w:eastAsia="仿宋" w:cs="仿宋"/>
          <w:sz w:val="30"/>
          <w:szCs w:val="30"/>
        </w:rPr>
        <w:t>教育质量，促进义务教育均衡发展和教育公平</w:t>
      </w:r>
      <w:r>
        <w:rPr>
          <w:rFonts w:hint="eastAsia" w:ascii="仿宋" w:hAnsi="仿宋" w:eastAsia="仿宋" w:cs="仿宋"/>
          <w:sz w:val="30"/>
          <w:szCs w:val="30"/>
          <w:lang w:eastAsia="zh-CN"/>
        </w:rPr>
        <w:t>。</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rPr>
      </w:pPr>
      <w:r>
        <w:rPr>
          <w:rFonts w:hint="eastAsia" w:ascii="仿宋" w:hAnsi="仿宋" w:eastAsia="仿宋" w:cs="仿宋"/>
          <w:sz w:val="30"/>
          <w:szCs w:val="30"/>
        </w:rPr>
        <w:t>该项指标实际得</w:t>
      </w:r>
      <w:r>
        <w:rPr>
          <w:rFonts w:hint="eastAsia" w:ascii="仿宋" w:hAnsi="仿宋" w:eastAsia="仿宋" w:cs="仿宋"/>
          <w:sz w:val="30"/>
          <w:szCs w:val="30"/>
          <w:lang w:val="en-US" w:eastAsia="zh-CN"/>
        </w:rPr>
        <w:t>6</w:t>
      </w:r>
      <w:r>
        <w:rPr>
          <w:rFonts w:hint="eastAsia" w:ascii="仿宋" w:hAnsi="仿宋" w:eastAsia="仿宋" w:cs="仿宋"/>
          <w:sz w:val="30"/>
          <w:szCs w:val="30"/>
        </w:rPr>
        <w:t>分。</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rPr>
      </w:pPr>
      <w:r>
        <w:rPr>
          <w:rFonts w:hint="eastAsia" w:ascii="仿宋" w:hAnsi="仿宋" w:eastAsia="仿宋" w:cs="仿宋"/>
          <w:sz w:val="30"/>
          <w:szCs w:val="30"/>
          <w:lang w:val="en-US" w:eastAsia="zh-CN"/>
        </w:rPr>
        <w:t>3</w:t>
      </w:r>
      <w:r>
        <w:rPr>
          <w:rFonts w:hint="eastAsia" w:ascii="仿宋" w:hAnsi="仿宋" w:eastAsia="仿宋" w:cs="仿宋"/>
          <w:sz w:val="30"/>
          <w:szCs w:val="30"/>
        </w:rPr>
        <w:t>.受益对象满意度（</w:t>
      </w:r>
      <w:r>
        <w:rPr>
          <w:rFonts w:hint="eastAsia" w:ascii="仿宋" w:hAnsi="仿宋" w:eastAsia="仿宋" w:cs="仿宋"/>
          <w:sz w:val="30"/>
          <w:szCs w:val="30"/>
          <w:lang w:val="en-US" w:eastAsia="zh-CN"/>
        </w:rPr>
        <w:t>8</w:t>
      </w:r>
      <w:r>
        <w:rPr>
          <w:rFonts w:hint="eastAsia" w:ascii="仿宋" w:hAnsi="仿宋" w:eastAsia="仿宋" w:cs="仿宋"/>
          <w:sz w:val="30"/>
          <w:szCs w:val="30"/>
        </w:rPr>
        <w:t>分）</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rPr>
      </w:pPr>
      <w:r>
        <w:rPr>
          <w:rFonts w:hint="eastAsia" w:ascii="仿宋" w:hAnsi="仿宋" w:eastAsia="仿宋" w:cs="仿宋"/>
          <w:sz w:val="30"/>
          <w:szCs w:val="30"/>
        </w:rPr>
        <w:t>该指标主要评价受益民众的满意程度。通过抽查，问卷调查统计发现，目前对该项目的实施满意度较高。</w:t>
      </w:r>
    </w:p>
    <w:p>
      <w:pPr>
        <w:pStyle w:val="5"/>
        <w:pageBreakBefore w:val="0"/>
        <w:numPr>
          <w:ilvl w:val="0"/>
          <w:numId w:val="2"/>
        </w:numPr>
        <w:kinsoku/>
        <w:wordWrap/>
        <w:overflowPunct/>
        <w:topLinePunct w:val="0"/>
        <w:autoSpaceDE/>
        <w:autoSpaceDN/>
        <w:bidi w:val="0"/>
        <w:adjustRightInd/>
        <w:snapToGrid/>
        <w:spacing w:before="0" w:line="560" w:lineRule="exact"/>
        <w:ind w:firstLine="600" w:firstLineChars="200"/>
        <w:jc w:val="both"/>
        <w:rPr>
          <w:rFonts w:hint="eastAsia" w:ascii="仿宋" w:hAnsi="仿宋" w:eastAsia="仿宋" w:cs="仿宋"/>
          <w:kern w:val="2"/>
          <w:sz w:val="30"/>
          <w:szCs w:val="30"/>
          <w:lang w:eastAsia="zh-CN"/>
        </w:rPr>
      </w:pPr>
      <w:r>
        <w:rPr>
          <w:rFonts w:hint="eastAsia" w:ascii="仿宋" w:hAnsi="仿宋" w:eastAsia="仿宋" w:cs="仿宋"/>
          <w:kern w:val="2"/>
          <w:sz w:val="30"/>
          <w:szCs w:val="30"/>
          <w:lang w:eastAsia="zh-CN"/>
        </w:rPr>
        <w:t>受益对象满意度调查一览表</w:t>
      </w:r>
    </w:p>
    <w:tbl>
      <w:tblPr>
        <w:tblStyle w:val="16"/>
        <w:tblW w:w="5000" w:type="pct"/>
        <w:jc w:val="center"/>
        <w:tblLayout w:type="autofit"/>
        <w:tblCellMar>
          <w:top w:w="15" w:type="dxa"/>
          <w:left w:w="15" w:type="dxa"/>
          <w:bottom w:w="15" w:type="dxa"/>
          <w:right w:w="15" w:type="dxa"/>
        </w:tblCellMar>
      </w:tblPr>
      <w:tblGrid>
        <w:gridCol w:w="5878"/>
        <w:gridCol w:w="886"/>
        <w:gridCol w:w="1044"/>
        <w:gridCol w:w="1025"/>
        <w:gridCol w:w="835"/>
      </w:tblGrid>
      <w:tr>
        <w:tblPrEx>
          <w:tblCellMar>
            <w:top w:w="15" w:type="dxa"/>
            <w:left w:w="15" w:type="dxa"/>
            <w:bottom w:w="15" w:type="dxa"/>
            <w:right w:w="15" w:type="dxa"/>
          </w:tblCellMar>
        </w:tblPrEx>
        <w:trPr>
          <w:trHeight w:val="330" w:hRule="atLeast"/>
          <w:jc w:val="center"/>
        </w:trPr>
        <w:tc>
          <w:tcPr>
            <w:tcW w:w="5000" w:type="pct"/>
            <w:gridSpan w:val="5"/>
            <w:tcBorders>
              <w:top w:val="nil"/>
              <w:left w:val="nil"/>
              <w:bottom w:val="single" w:color="auto" w:sz="4" w:space="0"/>
              <w:right w:val="nil"/>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b/>
                <w:color w:val="000000"/>
                <w:sz w:val="24"/>
                <w:szCs w:val="24"/>
              </w:rPr>
            </w:pPr>
            <w:r>
              <w:rPr>
                <w:rFonts w:hint="eastAsia" w:ascii="仿宋" w:hAnsi="仿宋" w:eastAsia="仿宋" w:cs="仿宋"/>
                <w:b/>
                <w:color w:val="000000"/>
                <w:kern w:val="0"/>
                <w:sz w:val="24"/>
                <w:szCs w:val="24"/>
              </w:rPr>
              <w:t>受益对象满意度调查问卷汇总表</w:t>
            </w:r>
          </w:p>
        </w:tc>
      </w:tr>
      <w:tr>
        <w:tblPrEx>
          <w:tblCellMar>
            <w:top w:w="15" w:type="dxa"/>
            <w:left w:w="15" w:type="dxa"/>
            <w:bottom w:w="15" w:type="dxa"/>
            <w:right w:w="15" w:type="dxa"/>
          </w:tblCellMar>
        </w:tblPrEx>
        <w:trPr>
          <w:trHeight w:val="525" w:hRule="atLeast"/>
          <w:jc w:val="center"/>
        </w:trPr>
        <w:tc>
          <w:tcPr>
            <w:tcW w:w="3040" w:type="pct"/>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b/>
                <w:color w:val="000000"/>
                <w:sz w:val="24"/>
                <w:szCs w:val="24"/>
              </w:rPr>
            </w:pPr>
            <w:r>
              <w:rPr>
                <w:rFonts w:hint="eastAsia" w:ascii="仿宋" w:hAnsi="仿宋" w:eastAsia="仿宋" w:cs="仿宋"/>
                <w:b/>
                <w:color w:val="000000"/>
                <w:kern w:val="0"/>
                <w:sz w:val="24"/>
                <w:szCs w:val="24"/>
              </w:rPr>
              <w:t>调查项目</w:t>
            </w:r>
          </w:p>
        </w:tc>
        <w:tc>
          <w:tcPr>
            <w:tcW w:w="458" w:type="pct"/>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b/>
                <w:color w:val="000000"/>
                <w:kern w:val="0"/>
                <w:sz w:val="24"/>
                <w:szCs w:val="24"/>
              </w:rPr>
            </w:pPr>
            <w:r>
              <w:rPr>
                <w:rFonts w:hint="eastAsia" w:ascii="仿宋" w:hAnsi="仿宋" w:eastAsia="仿宋" w:cs="仿宋"/>
                <w:b/>
                <w:color w:val="000000"/>
                <w:kern w:val="0"/>
                <w:sz w:val="24"/>
                <w:szCs w:val="24"/>
              </w:rPr>
              <w:t>满意/</w:t>
            </w:r>
          </w:p>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b/>
                <w:color w:val="000000"/>
                <w:sz w:val="24"/>
                <w:szCs w:val="24"/>
              </w:rPr>
            </w:pPr>
            <w:r>
              <w:rPr>
                <w:rFonts w:hint="eastAsia" w:ascii="仿宋" w:hAnsi="仿宋" w:eastAsia="仿宋" w:cs="仿宋"/>
                <w:b/>
                <w:color w:val="000000"/>
                <w:kern w:val="0"/>
                <w:sz w:val="24"/>
                <w:szCs w:val="24"/>
              </w:rPr>
              <w:t>人次</w:t>
            </w:r>
          </w:p>
        </w:tc>
        <w:tc>
          <w:tcPr>
            <w:tcW w:w="540" w:type="pct"/>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b/>
                <w:color w:val="000000"/>
                <w:kern w:val="0"/>
                <w:sz w:val="24"/>
                <w:szCs w:val="24"/>
              </w:rPr>
            </w:pPr>
            <w:r>
              <w:rPr>
                <w:rFonts w:hint="eastAsia" w:ascii="仿宋" w:hAnsi="仿宋" w:eastAsia="仿宋" w:cs="仿宋"/>
                <w:b/>
                <w:color w:val="000000"/>
                <w:kern w:val="0"/>
                <w:sz w:val="24"/>
                <w:szCs w:val="24"/>
              </w:rPr>
              <w:t>一般/</w:t>
            </w:r>
          </w:p>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b/>
                <w:color w:val="000000"/>
                <w:sz w:val="24"/>
                <w:szCs w:val="24"/>
              </w:rPr>
            </w:pPr>
            <w:r>
              <w:rPr>
                <w:rFonts w:hint="eastAsia" w:ascii="仿宋" w:hAnsi="仿宋" w:eastAsia="仿宋" w:cs="仿宋"/>
                <w:b/>
                <w:color w:val="000000"/>
                <w:kern w:val="0"/>
                <w:sz w:val="24"/>
                <w:szCs w:val="24"/>
              </w:rPr>
              <w:t>人次</w:t>
            </w:r>
          </w:p>
        </w:tc>
        <w:tc>
          <w:tcPr>
            <w:tcW w:w="530" w:type="pct"/>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b/>
                <w:color w:val="000000"/>
                <w:kern w:val="0"/>
                <w:sz w:val="24"/>
                <w:szCs w:val="24"/>
              </w:rPr>
            </w:pPr>
            <w:r>
              <w:rPr>
                <w:rFonts w:hint="eastAsia" w:ascii="仿宋" w:hAnsi="仿宋" w:eastAsia="仿宋" w:cs="仿宋"/>
                <w:b/>
                <w:color w:val="000000"/>
                <w:kern w:val="0"/>
                <w:sz w:val="24"/>
                <w:szCs w:val="24"/>
              </w:rPr>
              <w:t>不满意/</w:t>
            </w:r>
          </w:p>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b/>
                <w:color w:val="000000"/>
                <w:sz w:val="24"/>
                <w:szCs w:val="24"/>
              </w:rPr>
            </w:pPr>
            <w:r>
              <w:rPr>
                <w:rFonts w:hint="eastAsia" w:ascii="仿宋" w:hAnsi="仿宋" w:eastAsia="仿宋" w:cs="仿宋"/>
                <w:b/>
                <w:color w:val="000000"/>
                <w:kern w:val="0"/>
                <w:sz w:val="24"/>
                <w:szCs w:val="24"/>
              </w:rPr>
              <w:t>人次</w:t>
            </w:r>
          </w:p>
        </w:tc>
        <w:tc>
          <w:tcPr>
            <w:tcW w:w="430" w:type="pct"/>
            <w:tcBorders>
              <w:top w:val="single" w:color="auto" w:sz="4" w:space="0"/>
              <w:left w:val="single" w:color="auto" w:sz="4" w:space="0"/>
              <w:bottom w:val="single" w:color="auto" w:sz="4" w:space="0"/>
              <w:right w:val="single" w:color="auto"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b/>
                <w:color w:val="000000"/>
                <w:kern w:val="0"/>
                <w:sz w:val="24"/>
                <w:szCs w:val="24"/>
              </w:rPr>
            </w:pPr>
            <w:r>
              <w:rPr>
                <w:rFonts w:hint="eastAsia" w:ascii="仿宋" w:hAnsi="仿宋" w:eastAsia="仿宋" w:cs="仿宋"/>
                <w:b/>
                <w:color w:val="000000"/>
                <w:kern w:val="0"/>
                <w:sz w:val="24"/>
                <w:szCs w:val="24"/>
              </w:rPr>
              <w:t>合计/</w:t>
            </w:r>
          </w:p>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b/>
                <w:color w:val="000000"/>
                <w:sz w:val="24"/>
                <w:szCs w:val="24"/>
              </w:rPr>
            </w:pPr>
            <w:r>
              <w:rPr>
                <w:rFonts w:hint="eastAsia" w:ascii="仿宋" w:hAnsi="仿宋" w:eastAsia="仿宋" w:cs="仿宋"/>
                <w:b/>
                <w:color w:val="000000"/>
                <w:kern w:val="0"/>
                <w:sz w:val="24"/>
                <w:szCs w:val="24"/>
              </w:rPr>
              <w:t>人次</w:t>
            </w:r>
          </w:p>
        </w:tc>
      </w:tr>
      <w:tr>
        <w:tblPrEx>
          <w:tblCellMar>
            <w:top w:w="15" w:type="dxa"/>
            <w:left w:w="15" w:type="dxa"/>
            <w:bottom w:w="15" w:type="dxa"/>
            <w:right w:w="15" w:type="dxa"/>
          </w:tblCellMar>
        </w:tblPrEx>
        <w:trPr>
          <w:trHeight w:val="590" w:hRule="atLeast"/>
          <w:jc w:val="center"/>
        </w:trPr>
        <w:tc>
          <w:tcPr>
            <w:tcW w:w="3040" w:type="pct"/>
            <w:tcBorders>
              <w:top w:val="single" w:color="000000" w:sz="4" w:space="0"/>
              <w:left w:val="single" w:color="000000" w:sz="4" w:space="0"/>
              <w:bottom w:val="single" w:color="000000" w:sz="4" w:space="0"/>
              <w:right w:val="single" w:color="000000"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default"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工资发放</w:t>
            </w:r>
          </w:p>
        </w:tc>
        <w:tc>
          <w:tcPr>
            <w:tcW w:w="458" w:type="pct"/>
            <w:tcBorders>
              <w:top w:val="single" w:color="000000" w:sz="4" w:space="0"/>
              <w:left w:val="single" w:color="000000" w:sz="4" w:space="0"/>
              <w:bottom w:val="single" w:color="000000" w:sz="4" w:space="0"/>
              <w:right w:val="single" w:color="000000"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sz w:val="24"/>
                <w:szCs w:val="24"/>
              </w:rPr>
            </w:pPr>
            <w:r>
              <w:rPr>
                <w:rFonts w:hint="eastAsia" w:ascii="仿宋" w:hAnsi="仿宋" w:eastAsia="仿宋" w:cs="仿宋"/>
                <w:color w:val="000000"/>
                <w:sz w:val="24"/>
                <w:szCs w:val="24"/>
              </w:rPr>
              <w:t>10</w:t>
            </w:r>
          </w:p>
        </w:tc>
        <w:tc>
          <w:tcPr>
            <w:tcW w:w="540" w:type="pct"/>
            <w:tcBorders>
              <w:top w:val="single" w:color="000000" w:sz="4" w:space="0"/>
              <w:left w:val="single" w:color="000000" w:sz="4" w:space="0"/>
              <w:bottom w:val="single" w:color="000000" w:sz="4" w:space="0"/>
              <w:right w:val="single" w:color="000000"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sz w:val="24"/>
                <w:szCs w:val="24"/>
              </w:rPr>
            </w:pPr>
          </w:p>
        </w:tc>
        <w:tc>
          <w:tcPr>
            <w:tcW w:w="530" w:type="pct"/>
            <w:tcBorders>
              <w:top w:val="single" w:color="000000" w:sz="4" w:space="0"/>
              <w:left w:val="single" w:color="000000" w:sz="4" w:space="0"/>
              <w:bottom w:val="single" w:color="000000" w:sz="4" w:space="0"/>
              <w:right w:val="single" w:color="000000"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sz w:val="24"/>
                <w:szCs w:val="24"/>
              </w:rPr>
            </w:pPr>
          </w:p>
        </w:tc>
        <w:tc>
          <w:tcPr>
            <w:tcW w:w="430" w:type="pct"/>
            <w:tcBorders>
              <w:top w:val="single" w:color="000000" w:sz="4" w:space="0"/>
              <w:left w:val="single" w:color="000000" w:sz="4" w:space="0"/>
              <w:bottom w:val="single" w:color="000000" w:sz="4" w:space="0"/>
              <w:right w:val="single" w:color="000000"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sz w:val="24"/>
                <w:szCs w:val="24"/>
              </w:rPr>
            </w:pPr>
            <w:r>
              <w:rPr>
                <w:rFonts w:hint="eastAsia" w:ascii="仿宋" w:hAnsi="仿宋" w:eastAsia="仿宋" w:cs="仿宋"/>
                <w:color w:val="000000"/>
                <w:sz w:val="24"/>
                <w:szCs w:val="24"/>
              </w:rPr>
              <w:t>10</w:t>
            </w:r>
          </w:p>
        </w:tc>
      </w:tr>
      <w:tr>
        <w:tblPrEx>
          <w:tblCellMar>
            <w:top w:w="15" w:type="dxa"/>
            <w:left w:w="15" w:type="dxa"/>
            <w:bottom w:w="15" w:type="dxa"/>
            <w:right w:w="15" w:type="dxa"/>
          </w:tblCellMar>
        </w:tblPrEx>
        <w:trPr>
          <w:trHeight w:val="90" w:hRule="atLeast"/>
          <w:jc w:val="center"/>
        </w:trPr>
        <w:tc>
          <w:tcPr>
            <w:tcW w:w="3040" w:type="pct"/>
            <w:tcBorders>
              <w:top w:val="single" w:color="000000" w:sz="4" w:space="0"/>
              <w:left w:val="single" w:color="000000" w:sz="4" w:space="0"/>
              <w:bottom w:val="single" w:color="000000" w:sz="4" w:space="0"/>
              <w:right w:val="single" w:color="000000"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default" w:ascii="仿宋" w:hAnsi="仿宋" w:eastAsia="仿宋" w:cs="仿宋"/>
                <w:sz w:val="24"/>
                <w:szCs w:val="24"/>
                <w:lang w:val="en-US" w:eastAsia="zh-CN"/>
              </w:rPr>
            </w:pPr>
            <w:r>
              <w:rPr>
                <w:rFonts w:hint="eastAsia" w:ascii="仿宋" w:hAnsi="仿宋" w:eastAsia="仿宋" w:cs="仿宋"/>
                <w:color w:val="000000"/>
                <w:sz w:val="24"/>
                <w:szCs w:val="24"/>
                <w:lang w:val="en-US" w:eastAsia="zh-CN"/>
              </w:rPr>
              <w:t>福利待遇</w:t>
            </w:r>
          </w:p>
        </w:tc>
        <w:tc>
          <w:tcPr>
            <w:tcW w:w="458" w:type="pct"/>
            <w:tcBorders>
              <w:top w:val="single" w:color="000000" w:sz="4" w:space="0"/>
              <w:left w:val="single" w:color="000000" w:sz="4" w:space="0"/>
              <w:bottom w:val="single" w:color="000000" w:sz="4" w:space="0"/>
              <w:right w:val="single" w:color="000000"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sz w:val="24"/>
                <w:szCs w:val="24"/>
              </w:rPr>
            </w:pPr>
            <w:r>
              <w:rPr>
                <w:rFonts w:hint="eastAsia" w:ascii="仿宋" w:hAnsi="仿宋" w:eastAsia="仿宋" w:cs="仿宋"/>
                <w:color w:val="000000"/>
                <w:sz w:val="24"/>
                <w:szCs w:val="24"/>
              </w:rPr>
              <w:t>10</w:t>
            </w:r>
          </w:p>
        </w:tc>
        <w:tc>
          <w:tcPr>
            <w:tcW w:w="540" w:type="pct"/>
            <w:tcBorders>
              <w:top w:val="single" w:color="000000" w:sz="4" w:space="0"/>
              <w:left w:val="single" w:color="000000" w:sz="4" w:space="0"/>
              <w:bottom w:val="single" w:color="000000" w:sz="4" w:space="0"/>
              <w:right w:val="single" w:color="000000"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sz w:val="24"/>
                <w:szCs w:val="24"/>
              </w:rPr>
            </w:pPr>
          </w:p>
        </w:tc>
        <w:tc>
          <w:tcPr>
            <w:tcW w:w="530" w:type="pct"/>
            <w:tcBorders>
              <w:top w:val="single" w:color="000000" w:sz="4" w:space="0"/>
              <w:left w:val="single" w:color="000000" w:sz="4" w:space="0"/>
              <w:bottom w:val="single" w:color="000000" w:sz="4" w:space="0"/>
              <w:right w:val="single" w:color="000000"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sz w:val="24"/>
                <w:szCs w:val="24"/>
              </w:rPr>
            </w:pPr>
          </w:p>
        </w:tc>
        <w:tc>
          <w:tcPr>
            <w:tcW w:w="430" w:type="pct"/>
            <w:tcBorders>
              <w:top w:val="single" w:color="000000" w:sz="4" w:space="0"/>
              <w:left w:val="single" w:color="000000" w:sz="4" w:space="0"/>
              <w:bottom w:val="single" w:color="000000" w:sz="4" w:space="0"/>
              <w:right w:val="single" w:color="000000"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sz w:val="24"/>
                <w:szCs w:val="24"/>
              </w:rPr>
            </w:pPr>
            <w:r>
              <w:rPr>
                <w:rFonts w:hint="eastAsia" w:ascii="仿宋" w:hAnsi="仿宋" w:eastAsia="仿宋" w:cs="仿宋"/>
                <w:color w:val="000000"/>
                <w:sz w:val="24"/>
                <w:szCs w:val="24"/>
              </w:rPr>
              <w:t>10</w:t>
            </w:r>
          </w:p>
        </w:tc>
      </w:tr>
      <w:tr>
        <w:tblPrEx>
          <w:tblCellMar>
            <w:top w:w="15" w:type="dxa"/>
            <w:left w:w="15" w:type="dxa"/>
            <w:bottom w:w="15" w:type="dxa"/>
            <w:right w:w="15" w:type="dxa"/>
          </w:tblCellMar>
        </w:tblPrEx>
        <w:trPr>
          <w:trHeight w:val="90" w:hRule="atLeast"/>
          <w:jc w:val="center"/>
        </w:trPr>
        <w:tc>
          <w:tcPr>
            <w:tcW w:w="3040" w:type="pct"/>
            <w:tcBorders>
              <w:top w:val="single" w:color="000000" w:sz="4" w:space="0"/>
              <w:left w:val="single" w:color="000000" w:sz="4" w:space="0"/>
              <w:bottom w:val="single" w:color="000000" w:sz="4" w:space="0"/>
              <w:right w:val="single" w:color="000000"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default"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社会待遇</w:t>
            </w:r>
          </w:p>
        </w:tc>
        <w:tc>
          <w:tcPr>
            <w:tcW w:w="458" w:type="pct"/>
            <w:tcBorders>
              <w:top w:val="single" w:color="000000" w:sz="4" w:space="0"/>
              <w:left w:val="single" w:color="000000" w:sz="4" w:space="0"/>
              <w:bottom w:val="single" w:color="000000" w:sz="4" w:space="0"/>
              <w:right w:val="single" w:color="000000"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default"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10</w:t>
            </w:r>
          </w:p>
        </w:tc>
        <w:tc>
          <w:tcPr>
            <w:tcW w:w="540" w:type="pct"/>
            <w:tcBorders>
              <w:top w:val="single" w:color="000000" w:sz="4" w:space="0"/>
              <w:left w:val="single" w:color="000000" w:sz="4" w:space="0"/>
              <w:bottom w:val="single" w:color="000000" w:sz="4" w:space="0"/>
              <w:right w:val="single" w:color="000000"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sz w:val="24"/>
                <w:szCs w:val="24"/>
              </w:rPr>
            </w:pPr>
          </w:p>
        </w:tc>
        <w:tc>
          <w:tcPr>
            <w:tcW w:w="530" w:type="pct"/>
            <w:tcBorders>
              <w:top w:val="single" w:color="000000" w:sz="4" w:space="0"/>
              <w:left w:val="single" w:color="000000" w:sz="4" w:space="0"/>
              <w:bottom w:val="single" w:color="000000" w:sz="4" w:space="0"/>
              <w:right w:val="single" w:color="000000"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eastAsia" w:ascii="仿宋" w:hAnsi="仿宋" w:eastAsia="仿宋" w:cs="仿宋"/>
                <w:color w:val="000000"/>
                <w:sz w:val="24"/>
                <w:szCs w:val="24"/>
              </w:rPr>
            </w:pPr>
          </w:p>
        </w:tc>
        <w:tc>
          <w:tcPr>
            <w:tcW w:w="430" w:type="pct"/>
            <w:tcBorders>
              <w:top w:val="single" w:color="000000" w:sz="4" w:space="0"/>
              <w:left w:val="single" w:color="000000" w:sz="4" w:space="0"/>
              <w:bottom w:val="single" w:color="000000" w:sz="4" w:space="0"/>
              <w:right w:val="single" w:color="000000" w:sz="4" w:space="0"/>
            </w:tcBorders>
            <w:vAlign w:val="center"/>
          </w:tcPr>
          <w:p>
            <w:pPr>
              <w:pageBreakBefore w:val="0"/>
              <w:widowControl/>
              <w:kinsoku/>
              <w:wordWrap/>
              <w:overflowPunct/>
              <w:topLinePunct w:val="0"/>
              <w:autoSpaceDE/>
              <w:autoSpaceDN/>
              <w:bidi w:val="0"/>
              <w:adjustRightInd/>
              <w:snapToGrid/>
              <w:spacing w:line="560" w:lineRule="exact"/>
              <w:jc w:val="center"/>
              <w:textAlignment w:val="center"/>
              <w:rPr>
                <w:rFonts w:hint="default" w:ascii="仿宋" w:hAnsi="仿宋" w:eastAsia="仿宋" w:cs="仿宋"/>
                <w:color w:val="000000"/>
                <w:sz w:val="24"/>
                <w:szCs w:val="24"/>
                <w:lang w:val="en-US" w:eastAsia="zh-CN"/>
              </w:rPr>
            </w:pPr>
            <w:r>
              <w:rPr>
                <w:rFonts w:hint="eastAsia" w:ascii="仿宋" w:hAnsi="仿宋" w:eastAsia="仿宋" w:cs="仿宋"/>
                <w:color w:val="000000"/>
                <w:sz w:val="24"/>
                <w:szCs w:val="24"/>
                <w:lang w:val="en-US" w:eastAsia="zh-CN"/>
              </w:rPr>
              <w:t>10</w:t>
            </w:r>
          </w:p>
        </w:tc>
      </w:tr>
    </w:tbl>
    <w:p>
      <w:pPr>
        <w:spacing w:after="0" w:line="360" w:lineRule="auto"/>
        <w:ind w:firstLine="640" w:firstLineChars="200"/>
        <w:jc w:val="both"/>
        <w:textAlignment w:val="baseline"/>
        <w:rPr>
          <w:rFonts w:ascii="仿宋_GB2312" w:eastAsia="仿宋_GB2312" w:cs="Times New Roman" w:hAnsiTheme="minorEastAsia"/>
          <w:color w:val="auto"/>
          <w:sz w:val="32"/>
          <w:szCs w:val="32"/>
          <w:u w:color="000000"/>
        </w:rPr>
      </w:pPr>
      <w:r>
        <w:rPr>
          <w:rFonts w:hint="eastAsia" w:ascii="仿宋_GB2312" w:eastAsia="仿宋_GB2312" w:cs="Times New Roman" w:hAnsiTheme="minorEastAsia"/>
          <w:color w:val="auto"/>
          <w:sz w:val="32"/>
          <w:szCs w:val="32"/>
          <w:u w:color="000000"/>
        </w:rPr>
        <w:t>调查问卷共分为3个单项，每个单项满分为10分。其中：每一单项满分为10分：满意为10分，一般为5分，不满意为0分。</w:t>
      </w:r>
    </w:p>
    <w:p>
      <w:pPr>
        <w:spacing w:after="0" w:line="360" w:lineRule="auto"/>
        <w:ind w:firstLine="640" w:firstLineChars="200"/>
        <w:jc w:val="both"/>
        <w:textAlignment w:val="baseline"/>
        <w:rPr>
          <w:rFonts w:ascii="仿宋_GB2312" w:eastAsia="仿宋_GB2312" w:cs="Times New Roman" w:hAnsiTheme="minorEastAsia"/>
          <w:color w:val="auto"/>
          <w:sz w:val="32"/>
          <w:szCs w:val="32"/>
          <w:u w:color="000000"/>
        </w:rPr>
      </w:pPr>
      <w:r>
        <w:rPr>
          <w:rFonts w:hint="eastAsia" w:ascii="仿宋_GB2312" w:eastAsia="仿宋_GB2312" w:cs="Times New Roman" w:hAnsiTheme="minorEastAsia"/>
          <w:color w:val="auto"/>
          <w:sz w:val="32"/>
          <w:szCs w:val="32"/>
          <w:u w:color="000000"/>
        </w:rPr>
        <w:t>单项满意度得分=总分数/总人数</w:t>
      </w:r>
    </w:p>
    <w:p>
      <w:pPr>
        <w:spacing w:after="0" w:line="360" w:lineRule="auto"/>
        <w:ind w:firstLine="640" w:firstLineChars="200"/>
        <w:jc w:val="both"/>
        <w:textAlignment w:val="baseline"/>
        <w:rPr>
          <w:rFonts w:ascii="仿宋_GB2312" w:eastAsia="仿宋_GB2312" w:cs="Times New Roman" w:hAnsiTheme="minorEastAsia"/>
          <w:color w:val="auto"/>
          <w:sz w:val="32"/>
          <w:szCs w:val="32"/>
          <w:u w:color="000000"/>
        </w:rPr>
      </w:pPr>
      <w:r>
        <w:rPr>
          <w:rFonts w:hint="eastAsia" w:ascii="仿宋_GB2312" w:eastAsia="仿宋_GB2312" w:cs="Times New Roman" w:hAnsiTheme="minorEastAsia"/>
          <w:color w:val="auto"/>
          <w:sz w:val="32"/>
          <w:szCs w:val="32"/>
          <w:u w:color="000000"/>
        </w:rPr>
        <w:t>总体满意度得分=∑1/3各单项满意度得分</w:t>
      </w:r>
    </w:p>
    <w:p>
      <w:pPr>
        <w:spacing w:after="0" w:line="360" w:lineRule="auto"/>
        <w:ind w:firstLine="640" w:firstLineChars="200"/>
        <w:jc w:val="both"/>
        <w:textAlignment w:val="baseline"/>
        <w:rPr>
          <w:rFonts w:ascii="仿宋_GB2312" w:eastAsia="仿宋_GB2312" w:cs="Times New Roman" w:hAnsiTheme="minorEastAsia"/>
          <w:color w:val="auto"/>
          <w:sz w:val="32"/>
          <w:szCs w:val="32"/>
          <w:u w:color="000000"/>
        </w:rPr>
      </w:pPr>
      <w:r>
        <w:rPr>
          <w:rFonts w:hint="eastAsia" w:ascii="仿宋_GB2312" w:eastAsia="仿宋_GB2312" w:cs="Times New Roman" w:hAnsiTheme="minorEastAsia"/>
          <w:color w:val="auto"/>
          <w:sz w:val="32"/>
          <w:szCs w:val="32"/>
          <w:u w:color="000000"/>
        </w:rPr>
        <w:t>经计算，总体得分为</w:t>
      </w:r>
      <w:r>
        <w:rPr>
          <w:rFonts w:hint="eastAsia" w:ascii="仿宋_GB2312" w:eastAsia="仿宋_GB2312" w:cs="Times New Roman" w:hAnsiTheme="minorEastAsia"/>
          <w:color w:val="auto"/>
          <w:sz w:val="32"/>
          <w:szCs w:val="32"/>
          <w:u w:color="000000"/>
          <w:lang w:val="en-US" w:eastAsia="zh-CN"/>
        </w:rPr>
        <w:t>10分</w:t>
      </w:r>
      <w:r>
        <w:rPr>
          <w:rFonts w:hint="eastAsia" w:ascii="仿宋_GB2312" w:eastAsia="仿宋_GB2312" w:cs="Times New Roman" w:hAnsiTheme="minorEastAsia"/>
          <w:color w:val="auto"/>
          <w:sz w:val="32"/>
          <w:szCs w:val="32"/>
          <w:u w:color="000000"/>
        </w:rPr>
        <w:t>。</w:t>
      </w:r>
    </w:p>
    <w:p>
      <w:pPr>
        <w:spacing w:after="0" w:line="360" w:lineRule="auto"/>
        <w:ind w:firstLine="640" w:firstLineChars="200"/>
        <w:jc w:val="both"/>
        <w:rPr>
          <w:rFonts w:hint="eastAsia" w:ascii="仿宋" w:hAnsi="仿宋" w:eastAsia="仿宋" w:cs="仿宋"/>
          <w:sz w:val="30"/>
          <w:szCs w:val="30"/>
        </w:rPr>
      </w:pPr>
      <w:r>
        <w:rPr>
          <w:rFonts w:hint="eastAsia" w:ascii="仿宋_GB2312" w:eastAsia="仿宋_GB2312" w:cs="Times New Roman" w:hAnsiTheme="minorEastAsia"/>
          <w:color w:val="auto"/>
          <w:sz w:val="32"/>
          <w:szCs w:val="32"/>
          <w:u w:color="000000"/>
        </w:rPr>
        <w:t>该指标实际得</w:t>
      </w:r>
      <w:r>
        <w:rPr>
          <w:rFonts w:hint="eastAsia" w:ascii="仿宋_GB2312" w:eastAsia="仿宋_GB2312" w:cs="Times New Roman" w:hAnsiTheme="minorEastAsia"/>
          <w:color w:val="auto"/>
          <w:sz w:val="32"/>
          <w:szCs w:val="32"/>
          <w:u w:color="000000"/>
          <w:lang w:val="en-US" w:eastAsia="zh-CN"/>
        </w:rPr>
        <w:t>8</w:t>
      </w:r>
      <w:r>
        <w:rPr>
          <w:rFonts w:hint="eastAsia" w:ascii="仿宋_GB2312" w:eastAsia="仿宋_GB2312" w:cs="Times New Roman" w:hAnsiTheme="minorEastAsia"/>
          <w:color w:val="auto"/>
          <w:sz w:val="32"/>
          <w:szCs w:val="32"/>
          <w:u w:color="000000"/>
        </w:rPr>
        <w:t>分。</w:t>
      </w:r>
    </w:p>
    <w:p>
      <w:pPr>
        <w:pageBreakBefore w:val="0"/>
        <w:kinsoku/>
        <w:wordWrap/>
        <w:overflowPunct/>
        <w:topLinePunct w:val="0"/>
        <w:autoSpaceDE/>
        <w:autoSpaceDN/>
        <w:bidi w:val="0"/>
        <w:adjustRightInd/>
        <w:snapToGrid/>
        <w:spacing w:line="560" w:lineRule="exact"/>
        <w:ind w:firstLine="643" w:firstLineChars="200"/>
        <w:jc w:val="left"/>
        <w:outlineLvl w:val="0"/>
        <w:rPr>
          <w:rFonts w:hint="eastAsia" w:ascii="仿宋" w:hAnsi="仿宋" w:eastAsia="仿宋" w:cs="仿宋"/>
          <w:b/>
          <w:bCs/>
          <w:sz w:val="32"/>
          <w:szCs w:val="32"/>
        </w:rPr>
      </w:pPr>
      <w:bookmarkStart w:id="67" w:name="_Toc30943"/>
      <w:bookmarkStart w:id="68" w:name="_Toc10581"/>
      <w:bookmarkStart w:id="69" w:name="_Toc6602"/>
      <w:bookmarkStart w:id="70" w:name="_Toc501368363"/>
      <w:bookmarkStart w:id="71" w:name="_Toc83630434"/>
      <w:bookmarkStart w:id="72" w:name="_Toc12802"/>
      <w:bookmarkStart w:id="73" w:name="_Toc83631048"/>
      <w:bookmarkStart w:id="74" w:name="_Toc10985"/>
      <w:r>
        <w:rPr>
          <w:rFonts w:hint="eastAsia" w:ascii="仿宋" w:hAnsi="仿宋" w:eastAsia="仿宋" w:cs="仿宋"/>
          <w:b/>
          <w:bCs/>
          <w:sz w:val="32"/>
          <w:szCs w:val="32"/>
          <w:lang w:val="en-US" w:eastAsia="zh-CN"/>
        </w:rPr>
        <w:t>五、</w:t>
      </w:r>
      <w:r>
        <w:rPr>
          <w:rFonts w:hint="eastAsia" w:ascii="仿宋" w:hAnsi="仿宋" w:eastAsia="仿宋" w:cs="仿宋"/>
          <w:b/>
          <w:bCs/>
          <w:sz w:val="32"/>
          <w:szCs w:val="32"/>
        </w:rPr>
        <w:t>绩效评价依据</w:t>
      </w:r>
      <w:bookmarkEnd w:id="67"/>
      <w:bookmarkEnd w:id="68"/>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（1）《中华人民共和国预算法》(主席令第21号)；</w:t>
      </w:r>
      <w:r>
        <w:rPr>
          <w:rFonts w:hint="eastAsia" w:ascii="仿宋" w:hAnsi="仿宋" w:eastAsia="仿宋" w:cs="仿宋"/>
          <w:sz w:val="30"/>
          <w:szCs w:val="30"/>
        </w:rPr>
        <w:br w:type="textWrapping"/>
      </w:r>
      <w:r>
        <w:rPr>
          <w:rFonts w:hint="eastAsia" w:ascii="仿宋" w:hAnsi="仿宋" w:eastAsia="仿宋" w:cs="仿宋"/>
          <w:sz w:val="30"/>
          <w:szCs w:val="30"/>
        </w:rPr>
        <w:t xml:space="preserve">    （2）《河北省财政支出绩效评价管理办法》（冀财预〔2011〕68号）；</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（3）《关于印发〈财政支出绩效评价管理暂行办法〉的通知》（财预〔2011〕285号）；</w:t>
      </w:r>
      <w:r>
        <w:rPr>
          <w:rFonts w:hint="eastAsia" w:ascii="仿宋" w:hAnsi="仿宋" w:eastAsia="仿宋" w:cs="仿宋"/>
          <w:sz w:val="30"/>
          <w:szCs w:val="30"/>
        </w:rPr>
        <w:br w:type="textWrapping"/>
      </w:r>
      <w:r>
        <w:rPr>
          <w:rFonts w:hint="eastAsia" w:ascii="仿宋" w:hAnsi="仿宋" w:eastAsia="仿宋" w:cs="仿宋"/>
          <w:sz w:val="30"/>
          <w:szCs w:val="30"/>
        </w:rPr>
        <w:t xml:space="preserve">    （4）《关于印发&lt;预算绩效评价共性指标体系框架&gt;的通知》（财预〔2013〕53号）； </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（5）《河北省项目支出绩效指标框架体系》（冀财预[2016]92号）；</w:t>
      </w:r>
    </w:p>
    <w:p>
      <w:pPr>
        <w:pageBreakBefore w:val="0"/>
        <w:kinsoku/>
        <w:wordWrap/>
        <w:overflowPunct/>
        <w:topLinePunct w:val="0"/>
        <w:autoSpaceDE/>
        <w:autoSpaceDN/>
        <w:bidi w:val="0"/>
        <w:adjustRightInd/>
        <w:snapToGrid/>
        <w:spacing w:line="560" w:lineRule="exact"/>
        <w:ind w:left="559" w:leftChars="266"/>
        <w:outlineLvl w:val="0"/>
        <w:rPr>
          <w:rFonts w:hint="eastAsia" w:ascii="仿宋" w:hAnsi="仿宋" w:eastAsia="仿宋" w:cs="仿宋"/>
          <w:sz w:val="30"/>
          <w:szCs w:val="30"/>
          <w:highlight w:val="yellow"/>
        </w:rPr>
      </w:pPr>
      <w:bookmarkStart w:id="75" w:name="_Toc83630326"/>
      <w:bookmarkStart w:id="76" w:name="_Toc83631036"/>
      <w:bookmarkStart w:id="77" w:name="_Toc14814"/>
      <w:bookmarkStart w:id="78" w:name="_Toc3143"/>
      <w:bookmarkStart w:id="79" w:name="_Toc83630422"/>
      <w:r>
        <w:rPr>
          <w:rFonts w:hint="eastAsia" w:ascii="仿宋" w:hAnsi="仿宋" w:eastAsia="仿宋" w:cs="仿宋"/>
          <w:sz w:val="30"/>
          <w:szCs w:val="30"/>
        </w:rPr>
        <w:t>（6）《</w:t>
      </w:r>
      <w:r>
        <w:rPr>
          <w:rFonts w:hint="eastAsia" w:ascii="仿宋" w:hAnsi="仿宋" w:eastAsia="仿宋" w:cs="仿宋"/>
          <w:sz w:val="30"/>
          <w:szCs w:val="30"/>
          <w:lang w:val="en-US" w:eastAsia="zh-CN"/>
        </w:rPr>
        <w:t>关于做好2021年农村义务教育阶段学校教师特设岗位计划实施工作的通知</w:t>
      </w:r>
      <w:r>
        <w:rPr>
          <w:rFonts w:hint="eastAsia" w:ascii="仿宋" w:hAnsi="仿宋" w:eastAsia="仿宋" w:cs="仿宋"/>
          <w:sz w:val="30"/>
          <w:szCs w:val="30"/>
        </w:rPr>
        <w:t>》</w:t>
      </w:r>
      <w:r>
        <w:rPr>
          <w:rFonts w:hint="eastAsia" w:ascii="仿宋" w:hAnsi="仿宋" w:eastAsia="仿宋" w:cs="仿宋"/>
          <w:sz w:val="30"/>
          <w:szCs w:val="30"/>
          <w:lang w:eastAsia="zh-CN"/>
        </w:rPr>
        <w:t>（</w:t>
      </w:r>
      <w:r>
        <w:rPr>
          <w:rFonts w:hint="eastAsia" w:ascii="仿宋" w:hAnsi="仿宋" w:eastAsia="仿宋" w:cs="仿宋"/>
          <w:sz w:val="30"/>
          <w:szCs w:val="30"/>
          <w:lang w:val="en-US" w:eastAsia="zh-CN"/>
        </w:rPr>
        <w:t>教师厅[2021]1号</w:t>
      </w:r>
      <w:r>
        <w:rPr>
          <w:rFonts w:hint="eastAsia" w:ascii="仿宋" w:hAnsi="仿宋" w:eastAsia="仿宋" w:cs="仿宋"/>
          <w:sz w:val="30"/>
          <w:szCs w:val="30"/>
          <w:lang w:eastAsia="zh-CN"/>
        </w:rPr>
        <w:t>）</w:t>
      </w:r>
      <w:r>
        <w:rPr>
          <w:rFonts w:hint="eastAsia" w:ascii="仿宋" w:hAnsi="仿宋" w:eastAsia="仿宋" w:cs="仿宋"/>
          <w:sz w:val="30"/>
          <w:szCs w:val="30"/>
        </w:rPr>
        <w:t>；</w:t>
      </w:r>
      <w:bookmarkEnd w:id="75"/>
      <w:bookmarkEnd w:id="76"/>
      <w:bookmarkEnd w:id="77"/>
      <w:bookmarkEnd w:id="78"/>
      <w:bookmarkEnd w:id="79"/>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（7）</w:t>
      </w:r>
      <w:r>
        <w:rPr>
          <w:rFonts w:hint="eastAsia" w:ascii="仿宋" w:hAnsi="仿宋" w:eastAsia="仿宋" w:cs="仿宋"/>
          <w:sz w:val="30"/>
          <w:szCs w:val="30"/>
          <w:lang w:eastAsia="zh-CN"/>
        </w:rPr>
        <w:t>《</w:t>
      </w:r>
      <w:r>
        <w:rPr>
          <w:rFonts w:hint="eastAsia" w:ascii="仿宋" w:hAnsi="仿宋" w:eastAsia="仿宋" w:cs="仿宋"/>
          <w:sz w:val="30"/>
          <w:szCs w:val="30"/>
          <w:lang w:val="en-US" w:eastAsia="zh-CN"/>
        </w:rPr>
        <w:t>人力资源社会保障部办公厅 教育部办公厅关于做好2021年中小学幼儿园教师公开招聘工作的通知</w:t>
      </w:r>
      <w:r>
        <w:rPr>
          <w:rFonts w:hint="eastAsia" w:ascii="仿宋" w:hAnsi="仿宋" w:eastAsia="仿宋" w:cs="仿宋"/>
          <w:sz w:val="30"/>
          <w:szCs w:val="30"/>
          <w:lang w:eastAsia="zh-CN"/>
        </w:rPr>
        <w:t>》</w:t>
      </w:r>
      <w:r>
        <w:rPr>
          <w:rFonts w:hint="eastAsia" w:ascii="仿宋" w:hAnsi="仿宋" w:eastAsia="仿宋" w:cs="仿宋"/>
          <w:sz w:val="30"/>
          <w:szCs w:val="30"/>
        </w:rPr>
        <w:t>；</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（8）</w:t>
      </w:r>
      <w:r>
        <w:rPr>
          <w:rFonts w:hint="eastAsia" w:ascii="仿宋" w:hAnsi="仿宋" w:eastAsia="仿宋" w:cs="仿宋"/>
          <w:sz w:val="30"/>
          <w:szCs w:val="30"/>
          <w:lang w:val="en-US" w:eastAsia="zh-CN"/>
        </w:rPr>
        <w:t xml:space="preserve">河北省教育厅 </w:t>
      </w:r>
      <w:r>
        <w:rPr>
          <w:rFonts w:hint="eastAsia" w:ascii="仿宋" w:hAnsi="仿宋" w:eastAsia="仿宋" w:cs="仿宋"/>
          <w:sz w:val="30"/>
          <w:szCs w:val="30"/>
        </w:rPr>
        <w:t>河北省财政厅《</w:t>
      </w:r>
      <w:r>
        <w:rPr>
          <w:rFonts w:hint="eastAsia" w:ascii="仿宋" w:hAnsi="仿宋" w:eastAsia="仿宋" w:cs="仿宋"/>
          <w:sz w:val="30"/>
          <w:szCs w:val="30"/>
          <w:lang w:val="en-US" w:eastAsia="zh-CN"/>
        </w:rPr>
        <w:t>关于做好河北省2021年农村义务教育阶段学校教师特设岗位计划实施工作的通知</w:t>
      </w:r>
      <w:r>
        <w:rPr>
          <w:rFonts w:hint="eastAsia" w:ascii="仿宋" w:hAnsi="仿宋" w:eastAsia="仿宋" w:cs="仿宋"/>
          <w:sz w:val="30"/>
          <w:szCs w:val="30"/>
        </w:rPr>
        <w:t>》（冀</w:t>
      </w:r>
      <w:r>
        <w:rPr>
          <w:rFonts w:hint="eastAsia" w:ascii="仿宋" w:hAnsi="仿宋" w:eastAsia="仿宋" w:cs="仿宋"/>
          <w:sz w:val="30"/>
          <w:szCs w:val="30"/>
          <w:lang w:val="en-US" w:eastAsia="zh-CN"/>
        </w:rPr>
        <w:t>教师[</w:t>
      </w:r>
      <w:r>
        <w:rPr>
          <w:rFonts w:hint="eastAsia" w:ascii="仿宋" w:hAnsi="仿宋" w:eastAsia="仿宋" w:cs="仿宋"/>
          <w:sz w:val="30"/>
          <w:szCs w:val="30"/>
        </w:rPr>
        <w:t>20</w:t>
      </w:r>
      <w:r>
        <w:rPr>
          <w:rFonts w:hint="eastAsia" w:ascii="仿宋" w:hAnsi="仿宋" w:eastAsia="仿宋" w:cs="仿宋"/>
          <w:sz w:val="30"/>
          <w:szCs w:val="30"/>
          <w:lang w:val="en-US" w:eastAsia="zh-CN"/>
        </w:rPr>
        <w:t>21]11</w:t>
      </w:r>
      <w:r>
        <w:rPr>
          <w:rFonts w:hint="eastAsia" w:ascii="仿宋" w:hAnsi="仿宋" w:eastAsia="仿宋" w:cs="仿宋"/>
          <w:sz w:val="30"/>
          <w:szCs w:val="30"/>
        </w:rPr>
        <w:t>号</w:t>
      </w:r>
      <w:r>
        <w:rPr>
          <w:rFonts w:hint="eastAsia" w:ascii="仿宋" w:hAnsi="仿宋" w:eastAsia="仿宋" w:cs="仿宋"/>
          <w:sz w:val="30"/>
          <w:szCs w:val="30"/>
          <w:highlight w:val="none"/>
        </w:rPr>
        <w:t>）</w:t>
      </w:r>
      <w:r>
        <w:rPr>
          <w:rFonts w:hint="eastAsia" w:ascii="仿宋" w:hAnsi="仿宋" w:eastAsia="仿宋" w:cs="仿宋"/>
          <w:sz w:val="30"/>
          <w:szCs w:val="30"/>
          <w:highlight w:val="none"/>
          <w:lang w:eastAsia="zh-CN"/>
        </w:rPr>
        <w:t>；</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（9）</w:t>
      </w:r>
      <w:r>
        <w:rPr>
          <w:rFonts w:hint="eastAsia" w:ascii="仿宋" w:hAnsi="仿宋" w:eastAsia="仿宋" w:cs="仿宋"/>
          <w:sz w:val="30"/>
          <w:szCs w:val="30"/>
          <w:highlight w:val="none"/>
          <w:lang w:eastAsia="zh-CN"/>
        </w:rPr>
        <w:t>河北省财政厅河北省教育厅《关于提前下达 2021年城乡义务教育中央补助经费预算(直达资金)的通知》</w:t>
      </w:r>
      <w:r>
        <w:rPr>
          <w:rFonts w:hint="eastAsia" w:ascii="仿宋" w:hAnsi="仿宋" w:eastAsia="仿宋" w:cs="仿宋"/>
          <w:sz w:val="30"/>
          <w:szCs w:val="30"/>
          <w:highlight w:val="none"/>
          <w:lang w:val="en-US" w:eastAsia="zh-CN"/>
        </w:rPr>
        <w:t>冀财教[2020]154号</w:t>
      </w:r>
      <w:r>
        <w:rPr>
          <w:rFonts w:hint="eastAsia" w:ascii="仿宋" w:hAnsi="仿宋" w:eastAsia="仿宋" w:cs="仿宋"/>
          <w:sz w:val="30"/>
          <w:szCs w:val="30"/>
        </w:rPr>
        <w:t>；</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rPr>
      </w:pPr>
      <w:r>
        <w:rPr>
          <w:rFonts w:hint="eastAsia" w:ascii="仿宋" w:hAnsi="仿宋" w:eastAsia="仿宋" w:cs="仿宋"/>
          <w:sz w:val="30"/>
          <w:szCs w:val="30"/>
        </w:rPr>
        <w:t>（1</w:t>
      </w:r>
      <w:r>
        <w:rPr>
          <w:rFonts w:hint="eastAsia" w:ascii="仿宋" w:hAnsi="仿宋" w:eastAsia="仿宋" w:cs="仿宋"/>
          <w:sz w:val="30"/>
          <w:szCs w:val="30"/>
          <w:lang w:val="en-US" w:eastAsia="zh-CN"/>
        </w:rPr>
        <w:t>0</w:t>
      </w:r>
      <w:r>
        <w:rPr>
          <w:rFonts w:hint="eastAsia" w:ascii="仿宋" w:hAnsi="仿宋" w:eastAsia="仿宋" w:cs="仿宋"/>
          <w:sz w:val="30"/>
          <w:szCs w:val="30"/>
        </w:rPr>
        <w:t>）该项目其他相关资料。</w:t>
      </w:r>
    </w:p>
    <w:p>
      <w:pPr>
        <w:pStyle w:val="3"/>
        <w:pageBreakBefore w:val="0"/>
        <w:kinsoku/>
        <w:wordWrap/>
        <w:overflowPunct/>
        <w:topLinePunct w:val="0"/>
        <w:autoSpaceDE/>
        <w:autoSpaceDN/>
        <w:bidi w:val="0"/>
        <w:adjustRightInd/>
        <w:snapToGrid/>
        <w:spacing w:beforeAutospacing="0" w:afterAutospacing="0" w:line="560" w:lineRule="exact"/>
        <w:ind w:firstLine="643" w:firstLineChars="200"/>
        <w:rPr>
          <w:rFonts w:hint="eastAsia" w:ascii="仿宋" w:hAnsi="仿宋" w:eastAsia="仿宋" w:cs="仿宋"/>
          <w:sz w:val="32"/>
          <w:szCs w:val="32"/>
        </w:rPr>
      </w:pPr>
      <w:bookmarkStart w:id="80" w:name="_Toc24878"/>
      <w:bookmarkStart w:id="81" w:name="_Toc2211"/>
      <w:r>
        <w:rPr>
          <w:rFonts w:hint="eastAsia" w:ascii="仿宋" w:hAnsi="仿宋" w:eastAsia="仿宋" w:cs="仿宋"/>
          <w:sz w:val="32"/>
          <w:szCs w:val="32"/>
          <w:lang w:val="en-US" w:eastAsia="zh-CN"/>
        </w:rPr>
        <w:t>六</w:t>
      </w:r>
      <w:r>
        <w:rPr>
          <w:rFonts w:hint="eastAsia" w:ascii="仿宋" w:hAnsi="仿宋" w:eastAsia="仿宋" w:cs="仿宋"/>
          <w:sz w:val="32"/>
          <w:szCs w:val="32"/>
        </w:rPr>
        <w:t>、项目综合评价</w:t>
      </w:r>
      <w:bookmarkEnd w:id="69"/>
      <w:bookmarkEnd w:id="70"/>
      <w:r>
        <w:rPr>
          <w:rFonts w:hint="eastAsia" w:ascii="仿宋" w:hAnsi="仿宋" w:eastAsia="仿宋" w:cs="仿宋"/>
          <w:sz w:val="32"/>
          <w:szCs w:val="32"/>
        </w:rPr>
        <w:t>结论和评价等级</w:t>
      </w:r>
      <w:bookmarkEnd w:id="71"/>
      <w:bookmarkEnd w:id="72"/>
      <w:bookmarkEnd w:id="73"/>
      <w:bookmarkEnd w:id="74"/>
      <w:bookmarkEnd w:id="80"/>
      <w:bookmarkEnd w:id="81"/>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lang w:val="en-US" w:eastAsia="zh-CN"/>
        </w:rPr>
      </w:pPr>
      <w:bookmarkStart w:id="82" w:name="_Toc501368364"/>
      <w:r>
        <w:rPr>
          <w:rFonts w:hint="eastAsia" w:ascii="仿宋" w:hAnsi="仿宋" w:eastAsia="仿宋" w:cs="仿宋"/>
          <w:sz w:val="30"/>
          <w:szCs w:val="30"/>
        </w:rPr>
        <w:t>1.</w:t>
      </w:r>
      <w:r>
        <w:rPr>
          <w:rFonts w:hint="eastAsia" w:ascii="仿宋" w:hAnsi="仿宋" w:eastAsia="仿宋" w:cs="仿宋"/>
          <w:sz w:val="30"/>
          <w:szCs w:val="30"/>
          <w:lang w:val="en-US" w:eastAsia="zh-CN"/>
        </w:rPr>
        <w:t>确定</w:t>
      </w:r>
      <w:r>
        <w:rPr>
          <w:rFonts w:hint="eastAsia" w:ascii="仿宋" w:hAnsi="仿宋" w:eastAsia="仿宋" w:cs="仿宋"/>
          <w:sz w:val="30"/>
          <w:szCs w:val="30"/>
        </w:rPr>
        <w:t>评</w:t>
      </w:r>
      <w:bookmarkEnd w:id="82"/>
      <w:r>
        <w:rPr>
          <w:rFonts w:hint="eastAsia" w:ascii="仿宋" w:hAnsi="仿宋" w:eastAsia="仿宋" w:cs="仿宋"/>
          <w:sz w:val="30"/>
          <w:szCs w:val="30"/>
          <w:lang w:val="en-US" w:eastAsia="zh-CN"/>
        </w:rPr>
        <w:t>价分值：</w:t>
      </w:r>
      <w:r>
        <w:rPr>
          <w:rFonts w:hint="eastAsia" w:ascii="仿宋" w:hAnsi="仿宋" w:eastAsia="仿宋" w:cs="仿宋"/>
          <w:sz w:val="30"/>
          <w:szCs w:val="30"/>
          <w:highlight w:val="none"/>
          <w:lang w:val="en-US" w:eastAsia="zh-CN"/>
        </w:rPr>
        <w:t>98分</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lang w:val="en-US" w:eastAsia="zh-CN"/>
        </w:rPr>
      </w:pPr>
      <w:r>
        <w:rPr>
          <w:rFonts w:hint="eastAsia" w:ascii="仿宋" w:hAnsi="仿宋" w:eastAsia="仿宋" w:cs="仿宋"/>
          <w:sz w:val="30"/>
          <w:szCs w:val="30"/>
        </w:rPr>
        <w:t>2.评价等级</w:t>
      </w:r>
      <w:r>
        <w:rPr>
          <w:rFonts w:hint="eastAsia" w:ascii="仿宋" w:hAnsi="仿宋" w:eastAsia="仿宋" w:cs="仿宋"/>
          <w:sz w:val="30"/>
          <w:szCs w:val="30"/>
          <w:lang w:eastAsia="zh-CN"/>
        </w:rPr>
        <w:t>：</w:t>
      </w:r>
      <w:r>
        <w:rPr>
          <w:rFonts w:hint="eastAsia" w:ascii="仿宋" w:hAnsi="仿宋" w:eastAsia="仿宋" w:cs="仿宋"/>
          <w:sz w:val="30"/>
          <w:szCs w:val="30"/>
          <w:lang w:val="en-US" w:eastAsia="zh-CN"/>
        </w:rPr>
        <w:t>优</w:t>
      </w:r>
    </w:p>
    <w:p>
      <w:pPr>
        <w:pageBreakBefore w:val="0"/>
        <w:kinsoku/>
        <w:wordWrap/>
        <w:overflowPunct/>
        <w:topLinePunct w:val="0"/>
        <w:autoSpaceDE/>
        <w:autoSpaceDN/>
        <w:bidi w:val="0"/>
        <w:adjustRightInd/>
        <w:snapToGrid/>
        <w:spacing w:line="560" w:lineRule="exact"/>
        <w:ind w:firstLine="600" w:firstLineChars="200"/>
        <w:jc w:val="left"/>
        <w:rPr>
          <w:rFonts w:hint="eastAsia" w:ascii="仿宋" w:hAnsi="仿宋" w:eastAsia="仿宋" w:cs="仿宋"/>
          <w:sz w:val="30"/>
          <w:szCs w:val="30"/>
        </w:rPr>
      </w:pPr>
      <w:r>
        <w:rPr>
          <w:rFonts w:hint="eastAsia" w:ascii="仿宋" w:hAnsi="仿宋" w:eastAsia="仿宋" w:cs="仿宋"/>
          <w:sz w:val="30"/>
          <w:szCs w:val="30"/>
        </w:rPr>
        <w:t>3.项目综合评价结论</w:t>
      </w:r>
    </w:p>
    <w:p>
      <w:pPr>
        <w:pageBreakBefore w:val="0"/>
        <w:kinsoku/>
        <w:wordWrap/>
        <w:overflowPunct/>
        <w:topLinePunct w:val="0"/>
        <w:autoSpaceDE/>
        <w:autoSpaceDN/>
        <w:bidi w:val="0"/>
        <w:adjustRightInd/>
        <w:snapToGrid/>
        <w:spacing w:line="560" w:lineRule="exact"/>
        <w:ind w:firstLine="588" w:firstLineChars="196"/>
        <w:outlineLvl w:val="0"/>
        <w:rPr>
          <w:rFonts w:hint="eastAsia" w:ascii="仿宋" w:hAnsi="仿宋" w:eastAsia="仿宋" w:cs="仿宋"/>
          <w:sz w:val="30"/>
          <w:szCs w:val="30"/>
          <w:highlight w:val="yellow"/>
          <w:lang w:eastAsia="zh-CN"/>
        </w:rPr>
      </w:pPr>
      <w:bookmarkStart w:id="83" w:name="_Toc25027"/>
      <w:bookmarkStart w:id="84" w:name="_Toc28969"/>
      <w:bookmarkStart w:id="85" w:name="_Toc83631049"/>
      <w:bookmarkStart w:id="86" w:name="_Toc83630435"/>
      <w:r>
        <w:rPr>
          <w:rFonts w:hint="eastAsia" w:ascii="仿宋" w:hAnsi="仿宋" w:eastAsia="仿宋" w:cs="仿宋"/>
          <w:sz w:val="30"/>
          <w:szCs w:val="30"/>
          <w:highlight w:val="none"/>
        </w:rPr>
        <w:t>该项目严格资金使用管理，专款专用，项目受益对象明确，</w:t>
      </w:r>
      <w:r>
        <w:rPr>
          <w:rFonts w:hint="eastAsia" w:ascii="仿宋" w:hAnsi="仿宋" w:eastAsia="仿宋" w:cs="仿宋"/>
          <w:sz w:val="30"/>
          <w:szCs w:val="30"/>
          <w:highlight w:val="none"/>
          <w:lang w:val="en-US" w:eastAsia="zh-CN"/>
        </w:rPr>
        <w:t>特岗教师的生活水平</w:t>
      </w:r>
      <w:r>
        <w:rPr>
          <w:rFonts w:hint="eastAsia" w:ascii="仿宋" w:hAnsi="仿宋" w:eastAsia="仿宋" w:cs="仿宋"/>
          <w:sz w:val="30"/>
          <w:szCs w:val="30"/>
          <w:highlight w:val="none"/>
        </w:rPr>
        <w:t>和满意度逐步提高，</w:t>
      </w:r>
      <w:r>
        <w:rPr>
          <w:rFonts w:hint="eastAsia" w:ascii="仿宋" w:hAnsi="仿宋" w:eastAsia="仿宋" w:cs="仿宋"/>
          <w:sz w:val="30"/>
          <w:szCs w:val="30"/>
          <w:highlight w:val="none"/>
          <w:lang w:val="en-US" w:eastAsia="zh-CN"/>
        </w:rPr>
        <w:t>更多的</w:t>
      </w:r>
      <w:r>
        <w:rPr>
          <w:rFonts w:hint="eastAsia" w:ascii="仿宋" w:hAnsi="仿宋" w:eastAsia="仿宋" w:cs="仿宋"/>
          <w:sz w:val="30"/>
          <w:szCs w:val="30"/>
          <w:highlight w:val="none"/>
        </w:rPr>
        <w:t>高校毕业生</w:t>
      </w:r>
      <w:r>
        <w:rPr>
          <w:rFonts w:hint="eastAsia" w:ascii="仿宋" w:hAnsi="仿宋" w:eastAsia="仿宋" w:cs="仿宋"/>
          <w:sz w:val="30"/>
          <w:szCs w:val="30"/>
          <w:highlight w:val="none"/>
          <w:lang w:val="en-US" w:eastAsia="zh-CN"/>
        </w:rPr>
        <w:t>开始</w:t>
      </w:r>
      <w:r>
        <w:rPr>
          <w:rFonts w:hint="eastAsia" w:ascii="仿宋" w:hAnsi="仿宋" w:eastAsia="仿宋" w:cs="仿宋"/>
          <w:sz w:val="30"/>
          <w:szCs w:val="30"/>
          <w:highlight w:val="none"/>
        </w:rPr>
        <w:t>从事农村义务教育工作</w:t>
      </w:r>
      <w:bookmarkEnd w:id="83"/>
      <w:bookmarkEnd w:id="84"/>
      <w:bookmarkEnd w:id="85"/>
      <w:bookmarkEnd w:id="86"/>
      <w:r>
        <w:rPr>
          <w:rFonts w:hint="eastAsia" w:ascii="仿宋" w:hAnsi="仿宋" w:eastAsia="仿宋" w:cs="仿宋"/>
          <w:sz w:val="30"/>
          <w:szCs w:val="30"/>
          <w:highlight w:val="none"/>
          <w:lang w:eastAsia="zh-CN"/>
        </w:rPr>
        <w:t>，提高了农村教师队伍的整体素质和农村教育教学质量，缩小</w:t>
      </w:r>
      <w:r>
        <w:rPr>
          <w:rFonts w:hint="eastAsia" w:ascii="仿宋" w:hAnsi="仿宋" w:eastAsia="仿宋" w:cs="仿宋"/>
          <w:sz w:val="30"/>
          <w:szCs w:val="30"/>
          <w:highlight w:val="none"/>
          <w:lang w:val="en-US" w:eastAsia="zh-CN"/>
        </w:rPr>
        <w:t>了</w:t>
      </w:r>
      <w:r>
        <w:rPr>
          <w:rFonts w:hint="eastAsia" w:ascii="仿宋" w:hAnsi="仿宋" w:eastAsia="仿宋" w:cs="仿宋"/>
          <w:sz w:val="30"/>
          <w:szCs w:val="30"/>
          <w:highlight w:val="none"/>
          <w:lang w:eastAsia="zh-CN"/>
        </w:rPr>
        <w:t>城乡教育差距。</w:t>
      </w:r>
    </w:p>
    <w:p>
      <w:pPr>
        <w:pStyle w:val="3"/>
        <w:pageBreakBefore w:val="0"/>
        <w:kinsoku/>
        <w:wordWrap/>
        <w:overflowPunct/>
        <w:topLinePunct w:val="0"/>
        <w:autoSpaceDE/>
        <w:autoSpaceDN/>
        <w:bidi w:val="0"/>
        <w:adjustRightInd/>
        <w:snapToGrid/>
        <w:spacing w:beforeAutospacing="0" w:afterAutospacing="0" w:line="560" w:lineRule="exact"/>
        <w:ind w:firstLine="643" w:firstLineChars="200"/>
        <w:rPr>
          <w:rFonts w:hint="eastAsia" w:ascii="仿宋" w:hAnsi="仿宋" w:eastAsia="仿宋" w:cs="仿宋"/>
          <w:bCs/>
          <w:sz w:val="32"/>
          <w:szCs w:val="32"/>
        </w:rPr>
      </w:pPr>
      <w:bookmarkStart w:id="87" w:name="_Toc7207"/>
      <w:bookmarkStart w:id="88" w:name="_Toc27278"/>
      <w:bookmarkStart w:id="89" w:name="_Toc83631050"/>
      <w:bookmarkStart w:id="90" w:name="_Toc22941"/>
      <w:bookmarkStart w:id="91" w:name="_Toc83630436"/>
      <w:bookmarkStart w:id="92" w:name="_Toc30518"/>
      <w:r>
        <w:rPr>
          <w:rFonts w:hint="eastAsia" w:ascii="仿宋" w:hAnsi="仿宋" w:eastAsia="仿宋" w:cs="仿宋"/>
          <w:bCs/>
          <w:sz w:val="32"/>
          <w:szCs w:val="32"/>
          <w:lang w:val="en-US" w:eastAsia="zh-CN"/>
        </w:rPr>
        <w:t>七</w:t>
      </w:r>
      <w:r>
        <w:rPr>
          <w:rFonts w:hint="eastAsia" w:ascii="仿宋" w:hAnsi="仿宋" w:eastAsia="仿宋" w:cs="仿宋"/>
          <w:bCs/>
          <w:sz w:val="32"/>
          <w:szCs w:val="32"/>
        </w:rPr>
        <w:t>、存在的问题及改进措施</w:t>
      </w:r>
      <w:bookmarkEnd w:id="87"/>
      <w:bookmarkEnd w:id="88"/>
      <w:bookmarkEnd w:id="89"/>
      <w:bookmarkEnd w:id="90"/>
      <w:bookmarkEnd w:id="91"/>
      <w:bookmarkEnd w:id="92"/>
    </w:p>
    <w:p>
      <w:pPr>
        <w:pageBreakBefore w:val="0"/>
        <w:kinsoku/>
        <w:wordWrap/>
        <w:overflowPunct/>
        <w:topLinePunct w:val="0"/>
        <w:autoSpaceDE/>
        <w:autoSpaceDN/>
        <w:bidi w:val="0"/>
        <w:adjustRightInd/>
        <w:snapToGrid/>
        <w:spacing w:line="560" w:lineRule="exact"/>
        <w:ind w:firstLine="645" w:firstLineChars="215"/>
        <w:rPr>
          <w:rFonts w:hint="eastAsia"/>
        </w:rPr>
      </w:pPr>
      <w:r>
        <w:rPr>
          <w:rFonts w:hint="eastAsia" w:ascii="仿宋" w:hAnsi="仿宋" w:eastAsia="仿宋" w:cs="仿宋"/>
          <w:sz w:val="30"/>
          <w:szCs w:val="30"/>
        </w:rPr>
        <w:t>（一）该项目取得的成绩是肯定的，但在实现绩效目标过程中也存在一些不足之处，具体归纳为：</w:t>
      </w:r>
    </w:p>
    <w:p>
      <w:pPr>
        <w:pageBreakBefore w:val="0"/>
        <w:kinsoku/>
        <w:wordWrap/>
        <w:overflowPunct/>
        <w:topLinePunct w:val="0"/>
        <w:autoSpaceDE/>
        <w:autoSpaceDN/>
        <w:bidi w:val="0"/>
        <w:adjustRightInd/>
        <w:snapToGrid/>
        <w:spacing w:line="560" w:lineRule="exact"/>
        <w:ind w:firstLine="600" w:firstLineChars="200"/>
        <w:jc w:val="left"/>
        <w:rPr>
          <w:rFonts w:hint="default" w:ascii="仿宋" w:hAnsi="仿宋" w:eastAsia="仿宋" w:cs="仿宋"/>
          <w:sz w:val="30"/>
          <w:szCs w:val="30"/>
          <w:lang w:val="en-US" w:eastAsia="zh-CN"/>
        </w:rPr>
      </w:pPr>
      <w:r>
        <w:rPr>
          <w:rFonts w:hint="eastAsia" w:ascii="仿宋" w:hAnsi="仿宋" w:eastAsia="仿宋" w:cs="仿宋"/>
          <w:sz w:val="30"/>
          <w:szCs w:val="30"/>
          <w:lang w:val="en-US" w:eastAsia="zh-CN"/>
        </w:rPr>
        <w:t>1、项目管理有待完善，实施单位制定的项目</w:t>
      </w:r>
      <w:r>
        <w:rPr>
          <w:rFonts w:hint="eastAsia" w:ascii="仿宋" w:hAnsi="仿宋" w:eastAsia="仿宋" w:cs="仿宋"/>
          <w:sz w:val="30"/>
          <w:szCs w:val="30"/>
        </w:rPr>
        <w:t>过程监控</w:t>
      </w:r>
      <w:r>
        <w:rPr>
          <w:rFonts w:hint="eastAsia" w:ascii="仿宋" w:hAnsi="仿宋" w:eastAsia="仿宋" w:cs="仿宋"/>
          <w:sz w:val="30"/>
          <w:szCs w:val="30"/>
          <w:lang w:val="en-US" w:eastAsia="zh-CN"/>
        </w:rPr>
        <w:t>管理制度有待进一步完善。</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（二）意见和建议</w:t>
      </w:r>
    </w:p>
    <w:p>
      <w:pPr>
        <w:pageBreakBefore w:val="0"/>
        <w:kinsoku/>
        <w:wordWrap/>
        <w:overflowPunct/>
        <w:topLinePunct w:val="0"/>
        <w:autoSpaceDE/>
        <w:autoSpaceDN/>
        <w:bidi w:val="0"/>
        <w:adjustRightInd/>
        <w:snapToGrid/>
        <w:spacing w:line="560" w:lineRule="exact"/>
        <w:ind w:firstLine="645" w:firstLineChars="215"/>
        <w:rPr>
          <w:rFonts w:hint="eastAsia" w:ascii="仿宋" w:hAnsi="仿宋" w:eastAsia="仿宋" w:cs="仿宋"/>
          <w:sz w:val="30"/>
          <w:szCs w:val="30"/>
          <w:lang w:eastAsia="zh-CN"/>
        </w:rPr>
      </w:pPr>
      <w:r>
        <w:rPr>
          <w:rFonts w:hint="eastAsia" w:ascii="仿宋" w:hAnsi="仿宋" w:eastAsia="仿宋" w:cs="仿宋"/>
          <w:sz w:val="30"/>
          <w:szCs w:val="30"/>
        </w:rPr>
        <w:t>通过本次的绩效评价工作，找出了项目管理过程中的亮点和缺陷，总结出项目绩效管理经验，对于以后相似项目的管理工作起到很好的借鉴作用。同时，本次绩效评价工作对于安排以后的资金预算，考核项目管理效果也将起到示范作用。同时，使国家财政资金得到安全保障，更好的发挥效应。通过评价工作，我们分析</w:t>
      </w:r>
      <w:r>
        <w:rPr>
          <w:rFonts w:hint="eastAsia" w:ascii="仿宋" w:hAnsi="仿宋" w:eastAsia="仿宋" w:cs="仿宋"/>
          <w:sz w:val="30"/>
          <w:szCs w:val="30"/>
          <w:lang w:eastAsia="zh-CN"/>
        </w:rPr>
        <w:t>了</w:t>
      </w:r>
      <w:r>
        <w:rPr>
          <w:rFonts w:hint="eastAsia" w:ascii="仿宋" w:hAnsi="仿宋" w:eastAsia="仿宋" w:cs="仿宋"/>
          <w:sz w:val="30"/>
          <w:szCs w:val="30"/>
        </w:rPr>
        <w:t>该项目存在的问题并提出相应的意见和建议</w:t>
      </w:r>
      <w:r>
        <w:rPr>
          <w:rFonts w:hint="eastAsia" w:ascii="仿宋" w:hAnsi="仿宋" w:eastAsia="仿宋" w:cs="仿宋"/>
          <w:sz w:val="30"/>
          <w:szCs w:val="30"/>
          <w:lang w:eastAsia="zh-CN"/>
        </w:rPr>
        <w:t>：</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rPr>
      </w:pPr>
      <w:r>
        <w:rPr>
          <w:rFonts w:hint="eastAsia" w:ascii="仿宋" w:hAnsi="仿宋" w:eastAsia="仿宋" w:cs="仿宋"/>
          <w:sz w:val="30"/>
          <w:szCs w:val="30"/>
        </w:rPr>
        <w:t xml:space="preserve">针对项目未制定过程监控管理的相关制度及措施，建议项目实施单位规范项目管理，完善过程监控制度建设。 </w:t>
      </w:r>
    </w:p>
    <w:p>
      <w:pPr>
        <w:pageBreakBefore w:val="0"/>
        <w:kinsoku/>
        <w:wordWrap/>
        <w:overflowPunct/>
        <w:topLinePunct w:val="0"/>
        <w:autoSpaceDE/>
        <w:autoSpaceDN/>
        <w:bidi w:val="0"/>
        <w:adjustRightInd/>
        <w:snapToGrid/>
        <w:spacing w:line="560" w:lineRule="exact"/>
        <w:ind w:firstLine="600" w:firstLineChars="200"/>
        <w:rPr>
          <w:rFonts w:hint="eastAsia" w:ascii="仿宋" w:hAnsi="仿宋" w:eastAsia="仿宋" w:cs="仿宋"/>
          <w:sz w:val="30"/>
          <w:szCs w:val="30"/>
        </w:rPr>
      </w:pPr>
    </w:p>
    <w:p>
      <w:pPr>
        <w:pStyle w:val="8"/>
        <w:pageBreakBefore w:val="0"/>
        <w:kinsoku/>
        <w:wordWrap/>
        <w:overflowPunct/>
        <w:topLinePunct w:val="0"/>
        <w:autoSpaceDE/>
        <w:autoSpaceDN/>
        <w:bidi w:val="0"/>
        <w:adjustRightInd/>
        <w:snapToGrid/>
        <w:spacing w:line="560" w:lineRule="exact"/>
        <w:ind w:right="210" w:rightChars="100"/>
        <w:rPr>
          <w:rFonts w:hint="eastAsia" w:ascii="仿宋" w:hAnsi="仿宋" w:eastAsia="仿宋" w:cs="仿宋"/>
          <w:b w:val="0"/>
          <w:kern w:val="2"/>
          <w:sz w:val="30"/>
          <w:szCs w:val="30"/>
        </w:rPr>
      </w:pPr>
      <w:r>
        <w:rPr>
          <w:rFonts w:hint="eastAsia" w:ascii="仿宋" w:hAnsi="仿宋" w:eastAsia="仿宋" w:cs="仿宋"/>
          <w:sz w:val="30"/>
          <w:szCs w:val="30"/>
        </w:rPr>
        <w:t xml:space="preserve">   </w:t>
      </w:r>
      <w:bookmarkStart w:id="93" w:name="_Toc83631051"/>
      <w:bookmarkStart w:id="94" w:name="_Toc6530"/>
      <w:bookmarkStart w:id="95" w:name="_Toc23781"/>
      <w:bookmarkStart w:id="96" w:name="_Toc83630437"/>
      <w:r>
        <w:rPr>
          <w:rFonts w:hint="eastAsia" w:ascii="仿宋" w:hAnsi="仿宋" w:eastAsia="仿宋" w:cs="仿宋"/>
          <w:b w:val="0"/>
          <w:kern w:val="2"/>
          <w:sz w:val="30"/>
          <w:szCs w:val="30"/>
        </w:rPr>
        <w:t>附件：绩效评价指标体系及评分情况表</w:t>
      </w:r>
      <w:bookmarkEnd w:id="93"/>
      <w:bookmarkEnd w:id="94"/>
      <w:bookmarkEnd w:id="95"/>
      <w:bookmarkEnd w:id="96"/>
    </w:p>
    <w:p>
      <w:pPr>
        <w:rPr>
          <w:rFonts w:hint="eastAsia"/>
        </w:rPr>
      </w:pPr>
    </w:p>
    <w:p>
      <w:pPr>
        <w:rPr>
          <w:rFonts w:hint="eastAsia"/>
        </w:rPr>
      </w:pPr>
      <w:bookmarkStart w:id="97" w:name="_GoBack"/>
      <w:bookmarkEnd w:id="97"/>
    </w:p>
    <w:p>
      <w:pPr>
        <w:pStyle w:val="2"/>
        <w:rPr>
          <w:rFonts w:hint="eastAsia"/>
        </w:rPr>
      </w:pPr>
    </w:p>
    <w:p>
      <w:pPr>
        <w:rPr>
          <w:rFonts w:hint="eastAsia"/>
        </w:rPr>
      </w:pPr>
    </w:p>
    <w:p>
      <w:pPr>
        <w:pageBreakBefore w:val="0"/>
        <w:kinsoku/>
        <w:wordWrap/>
        <w:overflowPunct/>
        <w:topLinePunct w:val="0"/>
        <w:autoSpaceDE/>
        <w:autoSpaceDN/>
        <w:bidi w:val="0"/>
        <w:adjustRightInd/>
        <w:snapToGrid/>
        <w:spacing w:line="560" w:lineRule="exact"/>
        <w:ind w:firstLine="6300" w:firstLineChars="2100"/>
        <w:rPr>
          <w:rFonts w:hint="eastAsia" w:ascii="仿宋" w:hAnsi="仿宋" w:eastAsia="仿宋" w:cs="仿宋"/>
          <w:sz w:val="30"/>
          <w:szCs w:val="30"/>
        </w:rPr>
      </w:pPr>
    </w:p>
    <w:p>
      <w:pPr>
        <w:pageBreakBefore w:val="0"/>
        <w:kinsoku/>
        <w:wordWrap/>
        <w:overflowPunct/>
        <w:topLinePunct w:val="0"/>
        <w:autoSpaceDE/>
        <w:autoSpaceDN/>
        <w:bidi w:val="0"/>
        <w:adjustRightInd/>
        <w:snapToGrid/>
        <w:spacing w:line="560" w:lineRule="exact"/>
        <w:ind w:firstLine="6300" w:firstLineChars="2100"/>
        <w:rPr>
          <w:rFonts w:hint="eastAsia" w:ascii="仿宋" w:hAnsi="仿宋" w:eastAsia="仿宋" w:cs="仿宋"/>
          <w:sz w:val="30"/>
          <w:szCs w:val="30"/>
        </w:rPr>
      </w:pPr>
      <w:r>
        <w:rPr>
          <w:rFonts w:hint="eastAsia" w:ascii="仿宋" w:hAnsi="仿宋" w:eastAsia="仿宋" w:cs="仿宋"/>
          <w:sz w:val="30"/>
          <w:szCs w:val="30"/>
        </w:rPr>
        <w:t>202</w:t>
      </w:r>
      <w:r>
        <w:rPr>
          <w:rFonts w:hint="eastAsia" w:ascii="仿宋" w:hAnsi="仿宋" w:eastAsia="仿宋" w:cs="仿宋"/>
          <w:sz w:val="30"/>
          <w:szCs w:val="30"/>
          <w:lang w:val="en-US" w:eastAsia="zh-CN"/>
        </w:rPr>
        <w:t>2</w:t>
      </w:r>
      <w:r>
        <w:rPr>
          <w:rFonts w:hint="eastAsia" w:ascii="仿宋" w:hAnsi="仿宋" w:eastAsia="仿宋" w:cs="仿宋"/>
          <w:sz w:val="30"/>
          <w:szCs w:val="30"/>
        </w:rPr>
        <w:t>年</w:t>
      </w:r>
      <w:r>
        <w:rPr>
          <w:rFonts w:hint="eastAsia" w:ascii="仿宋" w:hAnsi="仿宋" w:eastAsia="仿宋" w:cs="仿宋"/>
          <w:sz w:val="30"/>
          <w:szCs w:val="30"/>
          <w:lang w:val="en-US" w:eastAsia="zh-CN"/>
        </w:rPr>
        <w:t>9</w:t>
      </w:r>
      <w:r>
        <w:rPr>
          <w:rFonts w:hint="eastAsia" w:ascii="仿宋" w:hAnsi="仿宋" w:eastAsia="仿宋" w:cs="仿宋"/>
          <w:sz w:val="30"/>
          <w:szCs w:val="30"/>
        </w:rPr>
        <w:t>月</w:t>
      </w:r>
      <w:r>
        <w:rPr>
          <w:rFonts w:hint="eastAsia" w:ascii="仿宋" w:hAnsi="仿宋" w:eastAsia="仿宋" w:cs="仿宋"/>
          <w:sz w:val="30"/>
          <w:szCs w:val="30"/>
          <w:lang w:val="en-US" w:eastAsia="zh-CN"/>
        </w:rPr>
        <w:t>30</w:t>
      </w:r>
      <w:r>
        <w:rPr>
          <w:rFonts w:hint="eastAsia" w:ascii="仿宋" w:hAnsi="仿宋" w:eastAsia="仿宋" w:cs="仿宋"/>
          <w:sz w:val="30"/>
          <w:szCs w:val="30"/>
        </w:rPr>
        <w:t>日</w:t>
      </w:r>
    </w:p>
    <w:sectPr>
      <w:footerReference r:id="rId9" w:type="default"/>
      <w:pgSz w:w="11906" w:h="16838"/>
      <w:pgMar w:top="964" w:right="1134" w:bottom="964" w:left="1134" w:header="1134" w:footer="680" w:gutter="0"/>
      <w:pgBorders>
        <w:top w:val="none" w:sz="0" w:space="0"/>
        <w:left w:val="none" w:sz="0" w:space="0"/>
        <w:bottom w:val="none" w:sz="0" w:space="0"/>
        <w:right w:val="none" w:sz="0" w:space="0"/>
      </w:pgBorders>
      <w:pgNumType w:start="1"/>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方正小标宋_GBK">
    <w:altName w:val="微软雅黑"/>
    <w:panose1 w:val="00000000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 w:name="隶书">
    <w:panose1 w:val="02010509060101010101"/>
    <w:charset w:val="86"/>
    <w:family w:val="modern"/>
    <w:pitch w:val="default"/>
    <w:sig w:usb0="00000001" w:usb1="080E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Bdr>
        <w:top w:val="thinThickSmallGap" w:color="622423" w:sz="24" w:space="1"/>
      </w:pBdr>
      <w:tabs>
        <w:tab w:val="right" w:pos="9070"/>
        <w:tab w:val="clear" w:pos="4153"/>
        <w:tab w:val="clear" w:pos="8306"/>
      </w:tabs>
    </w:pPr>
    <w:r>
      <w:rPr>
        <w:sz w:val="18"/>
      </w:rPr>
      <w:pict>
        <v:shape id="_x0000_s4108" o:spid="_x0000_s4108" o:spt="202" type="#_x0000_t202" style="position:absolute;left:0pt;margin-top:0pt;height:144pt;width:144pt;mso-position-horizontal:right;mso-position-horizontal-relative:margin;mso-wrap-style:none;z-index:251660288;mso-width-relative:page;mso-height-relative:page;" filled="f" stroked="f" coordsize="21600,21600">
          <v:path/>
          <v:fill on="f" focussize="0,0"/>
          <v:stroke on="f"/>
          <v:imagedata o:title=""/>
          <o:lock v:ext="edit" aspectratio="f"/>
          <v:textbox inset="0mm,0mm,0mm,0mm" style="mso-fit-shape-to-text:t;">
            <w:txbxContent>
              <w:p>
                <w:pPr>
                  <w:pStyle w:val="11"/>
                </w:pPr>
              </w:p>
            </w:txbxContent>
          </v:textbox>
        </v:shape>
      </w:pict>
    </w:r>
    <w:r>
      <w:rPr>
        <w:rFonts w:hint="eastAsia" w:ascii="Cambria" w:hAnsi="Cambria"/>
      </w:rPr>
      <w:t xml:space="preserve"> </w:t>
    </w:r>
    <w:r>
      <w:rPr>
        <w:rFonts w:hint="eastAsia" w:ascii="Cambria" w:hAnsi="Cambria"/>
        <w:lang w:val="en-US" w:eastAsia="zh-CN"/>
      </w:rPr>
      <w:t xml:space="preserve">      </w:t>
    </w:r>
    <w:r>
      <w:rPr>
        <w:rFonts w:hint="eastAsia" w:ascii="Cambria" w:hAnsi="Cambria"/>
      </w:rPr>
      <w:t xml:space="preserve">保定市朝阳北大街1898号电谷源盛商务大厦27层2710室       </w:t>
    </w:r>
    <w:r>
      <w:rPr>
        <w:rFonts w:hint="eastAsia" w:ascii="Cambria" w:hAnsi="Cambria"/>
        <w:lang w:val="en-US" w:eastAsia="zh-CN"/>
      </w:rPr>
      <w:t xml:space="preserve">                 </w:t>
    </w:r>
    <w:r>
      <w:rPr>
        <w:rFonts w:hint="eastAsia" w:ascii="Cambria" w:hAnsi="Cambria"/>
      </w:rPr>
      <w:t xml:space="preserve">  电话：0312-</w:t>
    </w:r>
    <w:r>
      <w:rPr>
        <w:rFonts w:hint="eastAsia" w:ascii="Cambria" w:hAnsi="Cambria"/>
        <w:lang w:val="en-US" w:eastAsia="zh-CN"/>
      </w:rPr>
      <w:t>3328961</w:t>
    </w:r>
    <w:r>
      <w:rPr>
        <w:rFonts w:ascii="Cambria" w:hAnsi="Cambria"/>
        <w:vanish/>
      </w:rPr>
      <w:t>&lt;&gt;</w:t>
    </w:r>
    <w:r>
      <w:rPr>
        <w:rFonts w:ascii="Cambria" w:hAnsi="Cambria"/>
        <w:lang w:val="zh-CN"/>
      </w:rPr>
      <w:tab/>
    </w:r>
  </w:p>
  <w:p>
    <w:pPr>
      <w:pStyle w:val="11"/>
    </w:pPr>
    <w:r>
      <w:rPr>
        <w:rFonts w:ascii="Cambria" w:hAnsi="Cambria"/>
        <w:vanish/>
      </w:rPr>
      <w:t>&lt;&gt;</w:t>
    </w:r>
    <w:r>
      <w:rPr>
        <w:rFonts w:ascii="Cambria" w:hAnsi="Cambria"/>
        <w:lang w:val="zh-CN"/>
      </w:rPr>
      <w:tab/>
    </w:r>
    <w:r>
      <w:rPr>
        <w:rFonts w:ascii="Cambria" w:hAnsi="Cambria"/>
        <w:vanish/>
      </w:rPr>
      <w:t>&lt;&gt;</w:t>
    </w:r>
    <w:r>
      <w:rPr>
        <w:rFonts w:ascii="Cambria" w:hAnsi="Cambria"/>
        <w:lang w:val="zh-CN"/>
      </w:rPr>
      <w:tab/>
    </w:r>
    <w:r>
      <w:rPr>
        <w:rFonts w:ascii="Cambria" w:hAnsi="Cambria"/>
        <w:vanish/>
      </w:rPr>
      <w:t>&lt;&gt;</w:t>
    </w:r>
    <w:r>
      <w:rPr>
        <w:rFonts w:ascii="Cambria" w:hAnsi="Cambria"/>
        <w:lang w:val="zh-CN"/>
      </w:rPr>
      <w:tab/>
    </w:r>
  </w:p>
  <w:p>
    <w:pPr>
      <w:pStyle w:val="11"/>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tabs>
        <w:tab w:val="left" w:pos="3585"/>
        <w:tab w:val="clear" w:pos="4153"/>
        <w:tab w:val="clear" w:pos="8306"/>
      </w:tabs>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widowControl w:val="0"/>
      <w:pBdr>
        <w:top w:val="none" w:color="622423" w:sz="0" w:space="1"/>
        <w:left w:val="none" w:color="auto" w:sz="0" w:space="4"/>
        <w:bottom w:val="none" w:color="auto" w:sz="0" w:space="1"/>
        <w:right w:val="none" w:color="auto" w:sz="0" w:space="4"/>
        <w:between w:val="none" w:color="auto" w:sz="0" w:space="0"/>
      </w:pBdr>
      <w:tabs>
        <w:tab w:val="right" w:pos="9070"/>
        <w:tab w:val="clear" w:pos="4153"/>
        <w:tab w:val="clear" w:pos="8306"/>
      </w:tabs>
      <w:snapToGrid w:val="0"/>
      <w:jc w:val="left"/>
    </w:pPr>
    <w:r>
      <w:rPr>
        <w:sz w:val="18"/>
      </w:rPr>
      <w:pict>
        <v:shape id="_x0000_s4109" o:spid="_x0000_s4109" o:spt="202" type="#_x0000_t202" style="position:absolute;left:0pt;margin-left:427.05pt;margin-top:-33.1pt;height:17.5pt;width:37.85pt;mso-position-horizontal-relative:margin;z-index:251661312;mso-width-relative:page;mso-height-relative:page;" filled="f" stroked="f" coordsize="21600,21600">
          <v:path/>
          <v:fill on="f" focussize="0,0"/>
          <v:stroke on="f"/>
          <v:imagedata o:title=""/>
          <o:lock v:ext="edit" aspectratio="f"/>
          <v:textbox inset="0mm,0mm,0mm,0mm">
            <w:txbxContent>
              <w:p>
                <w:pPr>
                  <w:pStyle w:val="11"/>
                </w:pPr>
              </w:p>
            </w:txbxContent>
          </v:textbox>
        </v:shape>
      </w:pict>
    </w:r>
    <w:r>
      <w:rPr>
        <w:rFonts w:hint="eastAsia" w:ascii="Cambria" w:hAnsi="Cambria"/>
      </w:rPr>
      <w:t xml:space="preserve"> </w:t>
    </w:r>
    <w:r>
      <w:rPr>
        <w:rFonts w:hint="eastAsia" w:ascii="Cambria" w:hAnsi="Cambria"/>
        <w:lang w:val="en-US" w:eastAsia="zh-CN"/>
      </w:rPr>
      <w:t xml:space="preserve"> </w:t>
    </w:r>
  </w:p>
  <w:p>
    <w:pPr>
      <w:pStyle w:val="11"/>
    </w:pPr>
    <w:r>
      <w:rPr>
        <w:rFonts w:ascii="Cambria" w:hAnsi="Cambria"/>
        <w:vanish/>
      </w:rPr>
      <w:t>&lt;&gt;</w:t>
    </w:r>
    <w:r>
      <w:rPr>
        <w:rFonts w:ascii="Cambria" w:hAnsi="Cambria"/>
        <w:lang w:val="zh-CN"/>
      </w:rPr>
      <w:tab/>
    </w:r>
    <w:r>
      <w:rPr>
        <w:rFonts w:ascii="Cambria" w:hAnsi="Cambria"/>
        <w:vanish/>
      </w:rPr>
      <w:t>&lt;&gt;</w:t>
    </w:r>
    <w:r>
      <w:rPr>
        <w:rFonts w:ascii="Cambria" w:hAnsi="Cambria"/>
        <w:lang w:val="zh-CN"/>
      </w:rPr>
      <w:tab/>
    </w:r>
    <w:r>
      <w:rPr>
        <w:rFonts w:ascii="Cambria" w:hAnsi="Cambria"/>
        <w:vanish/>
      </w:rPr>
      <w:t>&lt;&gt;</w:t>
    </w:r>
    <w:r>
      <w:rPr>
        <w:rFonts w:ascii="Cambria" w:hAnsi="Cambria"/>
        <w:lang w:val="zh-CN"/>
      </w:rPr>
      <w:tab/>
    </w:r>
  </w:p>
  <w:p>
    <w:pPr>
      <w:pStyle w:val="11"/>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ind w:right="720"/>
      <w:jc w:val="center"/>
    </w:pPr>
    <w:r>
      <w:pict>
        <v:shape id="_x0000_s4106" o:spid="_x0000_s4106" o:spt="202" type="#_x0000_t202" style="position:absolute;left:0pt;margin-top:0pt;height:144pt;width:144pt;mso-position-horizontal:right;mso-position-horizontal-relative:margin;mso-wrap-style:none;z-index:251659264;mso-width-relative:page;mso-height-relative:page;" filled="f" stroked="f" coordsize="21600,21600">
          <v:path/>
          <v:fill on="f" focussize="0,0"/>
          <v:stroke on="f" joinstyle="miter"/>
          <v:imagedata o:title=""/>
          <o:lock v:ext="edit"/>
          <v:textbox inset="0mm,0mm,0mm,0mm" style="mso-fit-shape-to-text:t;">
            <w:txbxContent>
              <w:p>
                <w:pPr>
                  <w:pStyle w:val="11"/>
                </w:pPr>
                <w:r>
                  <w:fldChar w:fldCharType="begin"/>
                </w:r>
                <w:r>
                  <w:instrText xml:space="preserve"> PAGE  \* MERGEFORMAT </w:instrText>
                </w:r>
                <w:r>
                  <w:fldChar w:fldCharType="separate"/>
                </w:r>
                <w:r>
                  <w:t>1</w:t>
                </w:r>
                <w:r>
                  <w:fldChar w:fldCharType="end"/>
                </w:r>
              </w:p>
            </w:txbxContent>
          </v:textbox>
        </v:shape>
      </w:pict>
    </w:r>
  </w:p>
  <w:p>
    <w:pPr>
      <w:pStyle w:val="11"/>
      <w:pBdr>
        <w:top w:val="thinThickSmallGap" w:color="622423" w:sz="24" w:space="1"/>
      </w:pBdr>
      <w:tabs>
        <w:tab w:val="right" w:pos="9070"/>
        <w:tab w:val="clear" w:pos="4153"/>
        <w:tab w:val="clear" w:pos="8306"/>
      </w:tabs>
      <w:rPr>
        <w:rFonts w:ascii="Cambria" w:hAnsi="Cambria"/>
      </w:rPr>
    </w:pPr>
    <w:r>
      <w:rPr>
        <w:rFonts w:hint="eastAsia" w:ascii="Cambria" w:hAnsi="Cambria"/>
      </w:rPr>
      <w:t xml:space="preserve">       保定市乐凯北大街3088号电谷科技中心4号楼518室                电话：0312-3328961</w:t>
    </w:r>
    <w:r>
      <w:rPr>
        <w:rFonts w:ascii="Cambria" w:hAnsi="Cambria"/>
        <w:vanish/>
      </w:rPr>
      <w:t>&lt;&gt;</w:t>
    </w:r>
    <w:r>
      <w:rPr>
        <w:rFonts w:ascii="Cambria" w:hAnsi="Cambria"/>
        <w:lang w:val="zh-CN"/>
      </w:rPr>
      <w:tab/>
    </w:r>
    <w:r>
      <w:rPr>
        <w:rFonts w:ascii="Cambria" w:hAnsi="Cambria"/>
        <w:lang w:val="zh-CN"/>
      </w:rPr>
      <w:t xml:space="preserve"> </w:t>
    </w:r>
  </w:p>
  <w:p>
    <w:pPr>
      <w:pStyle w:val="11"/>
      <w:tabs>
        <w:tab w:val="left" w:pos="3585"/>
        <w:tab w:val="clear" w:pos="4153"/>
        <w:tab w:val="clear" w:pos="8306"/>
      </w:tabs>
      <w:jc w:val="right"/>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widowControl w:val="0"/>
      <w:pBdr>
        <w:top w:val="none" w:color="622423" w:sz="0" w:space="1"/>
        <w:left w:val="none" w:color="auto" w:sz="0" w:space="4"/>
        <w:bottom w:val="none" w:color="auto" w:sz="0" w:space="1"/>
        <w:right w:val="none" w:color="auto" w:sz="0" w:space="4"/>
        <w:between w:val="none" w:color="auto" w:sz="0" w:space="0"/>
      </w:pBdr>
      <w:tabs>
        <w:tab w:val="right" w:pos="9070"/>
        <w:tab w:val="clear" w:pos="4153"/>
        <w:tab w:val="clear" w:pos="8306"/>
      </w:tabs>
      <w:snapToGrid w:val="0"/>
      <w:jc w:val="left"/>
    </w:pPr>
    <w:r>
      <w:rPr>
        <w:sz w:val="18"/>
      </w:rPr>
      <w:pict>
        <v:shape id="_x0000_s4110" o:spid="_x0000_s4110" o:spt="202" type="#_x0000_t202" style="position:absolute;left:0pt;margin-top:0pt;height:144pt;width:144pt;mso-position-horizontal:right;mso-position-horizontal-relative:margin;mso-wrap-style:none;z-index:251662336;mso-width-relative:page;mso-height-relative:page;" filled="f" stroked="f" coordsize="21600,21600">
          <v:path/>
          <v:fill on="f" focussize="0,0"/>
          <v:stroke on="f"/>
          <v:imagedata o:title=""/>
          <o:lock v:ext="edit" aspectratio="f"/>
          <v:textbox inset="0mm,0mm,0mm,0mm" style="mso-fit-shape-to-text:t;">
            <w:txbxContent>
              <w:p>
                <w:pPr>
                  <w:pStyle w:val="11"/>
                </w:pPr>
                <w:r>
                  <w:fldChar w:fldCharType="begin"/>
                </w:r>
                <w:r>
                  <w:instrText xml:space="preserve"> PAGE  \* MERGEFORMAT </w:instrText>
                </w:r>
                <w:r>
                  <w:fldChar w:fldCharType="separate"/>
                </w:r>
                <w:r>
                  <w:t>1</w:t>
                </w:r>
                <w:r>
                  <w:fldChar w:fldCharType="end"/>
                </w:r>
              </w:p>
            </w:txbxContent>
          </v:textbox>
        </v:shape>
      </w:pict>
    </w:r>
    <w:r>
      <w:rPr>
        <w:rFonts w:ascii="Cambria" w:hAnsi="Cambria"/>
        <w:vanish/>
      </w:rPr>
      <w:t>&lt;&gt;</w:t>
    </w:r>
    <w:r>
      <w:rPr>
        <w:rFonts w:ascii="Cambria" w:hAnsi="Cambria"/>
        <w:lang w:val="zh-CN"/>
      </w:rPr>
      <w:tab/>
    </w:r>
    <w:r>
      <w:rPr>
        <w:rFonts w:ascii="Cambria" w:hAnsi="Cambria"/>
        <w:vanish/>
      </w:rPr>
      <w:t>&lt;&gt;</w:t>
    </w:r>
    <w:r>
      <w:rPr>
        <w:rFonts w:ascii="Cambria" w:hAnsi="Cambria"/>
        <w:lang w:val="zh-CN"/>
      </w:rPr>
      <w:tab/>
    </w:r>
    <w:r>
      <w:rPr>
        <w:rFonts w:ascii="Cambria" w:hAnsi="Cambria"/>
        <w:vanish/>
      </w:rPr>
      <w:t>&lt;&gt;</w:t>
    </w:r>
    <w:r>
      <w:rPr>
        <w:rFonts w:ascii="Cambria" w:hAnsi="Cambria"/>
        <w:lang w:val="zh-CN"/>
      </w:rPr>
      <w:tab/>
    </w:r>
  </w:p>
  <w:p>
    <w:pPr>
      <w:pStyle w:val="11"/>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Bdr>
        <w:bottom w:val="none" w:color="auto" w:sz="0" w:space="1"/>
      </w:pBdr>
      <w:jc w:val="both"/>
      <w:rPr>
        <w:i/>
        <w:sz w:val="21"/>
        <w:szCs w:val="21"/>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Bdr>
        <w:bottom w:val="none" w:color="auto" w:sz="0" w:space="1"/>
      </w:pBdr>
      <w:jc w:val="both"/>
      <w:rPr>
        <w:rFonts w:ascii="隶书" w:hAnsi="隶书" w:eastAsia="隶书" w:cs="隶书"/>
        <w:iC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319868D"/>
    <w:multiLevelType w:val="singleLevel"/>
    <w:tmpl w:val="D319868D"/>
    <w:lvl w:ilvl="0" w:tentative="0">
      <w:start w:val="1"/>
      <w:numFmt w:val="decimal"/>
      <w:suff w:val="nothing"/>
      <w:lvlText w:val="（%1）"/>
      <w:lvlJc w:val="left"/>
    </w:lvl>
  </w:abstractNum>
  <w:abstractNum w:abstractNumId="1">
    <w:nsid w:val="061C7303"/>
    <w:multiLevelType w:val="singleLevel"/>
    <w:tmpl w:val="061C7303"/>
    <w:lvl w:ilvl="0" w:tentative="0">
      <w:start w:val="1"/>
      <w:numFmt w:val="decimal"/>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9"/>
  <w:bordersDoNotSurroundHeader w:val="0"/>
  <w:bordersDoNotSurroundFooter w:val="0"/>
  <w:documentProtection w:enforcement="0"/>
  <w:defaultTabStop w:val="425"/>
  <w:drawingGridHorizontalSpacing w:val="105"/>
  <w:drawingGridVerticalSpacing w:val="156"/>
  <w:displayHorizontalDrawingGridEvery w:val="1"/>
  <w:displayVerticalDrawingGridEvery w:val="1"/>
  <w:noPunctuationKerning w:val="1"/>
  <w:characterSpacingControl w:val="compressPunctuation"/>
  <w:doNotValidateAgainstSchema/>
  <w:doNotDemarcateInvalidXml/>
  <w:hdrShapeDefaults>
    <o:shapelayout v:ext="edit">
      <o:idmap v:ext="edit" data="3,4"/>
    </o:shapelayout>
  </w:hdrShapeDefaults>
  <w:compat>
    <w:spaceForUL/>
    <w:balanceSingleByteDoubleByteWidth/>
    <w:doNotLeaveBackslashAlone/>
    <w:ulTrailSpace/>
    <w:doNotExpandShiftReturn/>
    <w:doNotWrapTextWithPunct/>
    <w:doNotUseEastAsianBreakRules/>
    <w:useFELayout/>
    <w:doNotUseIndentAsNumberingTabStop/>
    <w:useAltKinsokuLineBreakRules/>
    <w:compatSetting w:name="compatibilityMode" w:uri="http://schemas.microsoft.com/office/word" w:val="12"/>
  </w:compat>
  <w:docVars>
    <w:docVar w:name="commondata" w:val="eyJoZGlkIjoiYTI2ZWE1ZDIzOTU4YTFkY2Y0Njc0MDkzZDE4Zjk0MTAifQ=="/>
  </w:docVars>
  <w:rsids>
    <w:rsidRoot w:val="00172A27"/>
    <w:rsid w:val="00001E81"/>
    <w:rsid w:val="00002FE3"/>
    <w:rsid w:val="0001237A"/>
    <w:rsid w:val="00012B1F"/>
    <w:rsid w:val="00013039"/>
    <w:rsid w:val="00016780"/>
    <w:rsid w:val="00016877"/>
    <w:rsid w:val="00022151"/>
    <w:rsid w:val="00025856"/>
    <w:rsid w:val="0002621F"/>
    <w:rsid w:val="00033AA9"/>
    <w:rsid w:val="0003796B"/>
    <w:rsid w:val="00040467"/>
    <w:rsid w:val="00045C4A"/>
    <w:rsid w:val="00051E6A"/>
    <w:rsid w:val="000526B1"/>
    <w:rsid w:val="000545E4"/>
    <w:rsid w:val="00061A9C"/>
    <w:rsid w:val="00061CE6"/>
    <w:rsid w:val="0006219F"/>
    <w:rsid w:val="000708F8"/>
    <w:rsid w:val="0007441F"/>
    <w:rsid w:val="0007465C"/>
    <w:rsid w:val="00074D40"/>
    <w:rsid w:val="000755AD"/>
    <w:rsid w:val="00075E9A"/>
    <w:rsid w:val="00077141"/>
    <w:rsid w:val="00085E3D"/>
    <w:rsid w:val="0009369D"/>
    <w:rsid w:val="0009497A"/>
    <w:rsid w:val="00097090"/>
    <w:rsid w:val="000A0869"/>
    <w:rsid w:val="000A1167"/>
    <w:rsid w:val="000A3E44"/>
    <w:rsid w:val="000A4680"/>
    <w:rsid w:val="000B0D5C"/>
    <w:rsid w:val="000B155D"/>
    <w:rsid w:val="000B1E0C"/>
    <w:rsid w:val="000B20C4"/>
    <w:rsid w:val="000B2F28"/>
    <w:rsid w:val="000C0219"/>
    <w:rsid w:val="000C04B4"/>
    <w:rsid w:val="000D406E"/>
    <w:rsid w:val="000D62DD"/>
    <w:rsid w:val="000D7C44"/>
    <w:rsid w:val="000D7C62"/>
    <w:rsid w:val="000E2FF4"/>
    <w:rsid w:val="000E55B5"/>
    <w:rsid w:val="000E7041"/>
    <w:rsid w:val="000F06E0"/>
    <w:rsid w:val="000F4DB6"/>
    <w:rsid w:val="000F6F4D"/>
    <w:rsid w:val="000F7314"/>
    <w:rsid w:val="00102339"/>
    <w:rsid w:val="00103596"/>
    <w:rsid w:val="0010607C"/>
    <w:rsid w:val="0010686E"/>
    <w:rsid w:val="00107E9D"/>
    <w:rsid w:val="001118A5"/>
    <w:rsid w:val="001129D8"/>
    <w:rsid w:val="00117D1C"/>
    <w:rsid w:val="00123040"/>
    <w:rsid w:val="00123913"/>
    <w:rsid w:val="00127425"/>
    <w:rsid w:val="001337FE"/>
    <w:rsid w:val="00135522"/>
    <w:rsid w:val="0014634C"/>
    <w:rsid w:val="001471EC"/>
    <w:rsid w:val="00151E0E"/>
    <w:rsid w:val="00153236"/>
    <w:rsid w:val="00155639"/>
    <w:rsid w:val="00157B84"/>
    <w:rsid w:val="00161CEF"/>
    <w:rsid w:val="00163C86"/>
    <w:rsid w:val="0016529A"/>
    <w:rsid w:val="0016552F"/>
    <w:rsid w:val="00165B00"/>
    <w:rsid w:val="00167578"/>
    <w:rsid w:val="00172A27"/>
    <w:rsid w:val="001730CC"/>
    <w:rsid w:val="00175C51"/>
    <w:rsid w:val="001775FA"/>
    <w:rsid w:val="00177706"/>
    <w:rsid w:val="00181EDE"/>
    <w:rsid w:val="00196D03"/>
    <w:rsid w:val="001973EC"/>
    <w:rsid w:val="001A0FA2"/>
    <w:rsid w:val="001A47A9"/>
    <w:rsid w:val="001A6DAC"/>
    <w:rsid w:val="001A6DCF"/>
    <w:rsid w:val="001A7692"/>
    <w:rsid w:val="001B348D"/>
    <w:rsid w:val="001B48F3"/>
    <w:rsid w:val="001B5178"/>
    <w:rsid w:val="001B55E7"/>
    <w:rsid w:val="001C05EB"/>
    <w:rsid w:val="001C0981"/>
    <w:rsid w:val="001C0A70"/>
    <w:rsid w:val="001C370C"/>
    <w:rsid w:val="001C5733"/>
    <w:rsid w:val="001C587B"/>
    <w:rsid w:val="001D420F"/>
    <w:rsid w:val="001D7CB3"/>
    <w:rsid w:val="001E3AEC"/>
    <w:rsid w:val="001E5575"/>
    <w:rsid w:val="001E6191"/>
    <w:rsid w:val="001E6D7F"/>
    <w:rsid w:val="001F37F7"/>
    <w:rsid w:val="001F3B46"/>
    <w:rsid w:val="002019BF"/>
    <w:rsid w:val="00204D34"/>
    <w:rsid w:val="00205B2A"/>
    <w:rsid w:val="002061DE"/>
    <w:rsid w:val="00206E4A"/>
    <w:rsid w:val="00211650"/>
    <w:rsid w:val="00212B85"/>
    <w:rsid w:val="00214D2D"/>
    <w:rsid w:val="00217674"/>
    <w:rsid w:val="002238F1"/>
    <w:rsid w:val="0022441E"/>
    <w:rsid w:val="002262ED"/>
    <w:rsid w:val="00227687"/>
    <w:rsid w:val="00231583"/>
    <w:rsid w:val="00231E73"/>
    <w:rsid w:val="00232C0B"/>
    <w:rsid w:val="00236FF9"/>
    <w:rsid w:val="002371BA"/>
    <w:rsid w:val="00241DDA"/>
    <w:rsid w:val="0024577B"/>
    <w:rsid w:val="002477B2"/>
    <w:rsid w:val="002478F4"/>
    <w:rsid w:val="002513BE"/>
    <w:rsid w:val="00256A4B"/>
    <w:rsid w:val="00264E36"/>
    <w:rsid w:val="00266F46"/>
    <w:rsid w:val="002678E2"/>
    <w:rsid w:val="0027048A"/>
    <w:rsid w:val="00270705"/>
    <w:rsid w:val="00271949"/>
    <w:rsid w:val="00274702"/>
    <w:rsid w:val="0027470D"/>
    <w:rsid w:val="002762DA"/>
    <w:rsid w:val="00280437"/>
    <w:rsid w:val="002837BF"/>
    <w:rsid w:val="0028433C"/>
    <w:rsid w:val="00287E1A"/>
    <w:rsid w:val="002938D8"/>
    <w:rsid w:val="00294650"/>
    <w:rsid w:val="00294ED2"/>
    <w:rsid w:val="00297960"/>
    <w:rsid w:val="002A4C4D"/>
    <w:rsid w:val="002A5E76"/>
    <w:rsid w:val="002A68A6"/>
    <w:rsid w:val="002B37B6"/>
    <w:rsid w:val="002B45E5"/>
    <w:rsid w:val="002C1CA4"/>
    <w:rsid w:val="002E02E3"/>
    <w:rsid w:val="002E2613"/>
    <w:rsid w:val="002E2C1A"/>
    <w:rsid w:val="002E45FD"/>
    <w:rsid w:val="002E7CB4"/>
    <w:rsid w:val="002F0A16"/>
    <w:rsid w:val="002F2D01"/>
    <w:rsid w:val="002F72F6"/>
    <w:rsid w:val="00303ADF"/>
    <w:rsid w:val="00306C5A"/>
    <w:rsid w:val="00307390"/>
    <w:rsid w:val="00307D5B"/>
    <w:rsid w:val="00311278"/>
    <w:rsid w:val="00313749"/>
    <w:rsid w:val="00313C79"/>
    <w:rsid w:val="0032011B"/>
    <w:rsid w:val="003225CE"/>
    <w:rsid w:val="00323DE4"/>
    <w:rsid w:val="00325654"/>
    <w:rsid w:val="00327721"/>
    <w:rsid w:val="00330324"/>
    <w:rsid w:val="00330AA2"/>
    <w:rsid w:val="003362FC"/>
    <w:rsid w:val="0033673E"/>
    <w:rsid w:val="00344370"/>
    <w:rsid w:val="00350222"/>
    <w:rsid w:val="00350722"/>
    <w:rsid w:val="00351B3C"/>
    <w:rsid w:val="00354F98"/>
    <w:rsid w:val="00355135"/>
    <w:rsid w:val="003559E9"/>
    <w:rsid w:val="00360C3A"/>
    <w:rsid w:val="00361A21"/>
    <w:rsid w:val="00361C36"/>
    <w:rsid w:val="00371E92"/>
    <w:rsid w:val="003722A1"/>
    <w:rsid w:val="00375B5C"/>
    <w:rsid w:val="003776F3"/>
    <w:rsid w:val="0038027C"/>
    <w:rsid w:val="00382AC7"/>
    <w:rsid w:val="0039160E"/>
    <w:rsid w:val="003918F6"/>
    <w:rsid w:val="003933E7"/>
    <w:rsid w:val="00395AAD"/>
    <w:rsid w:val="0039616C"/>
    <w:rsid w:val="00397291"/>
    <w:rsid w:val="00397784"/>
    <w:rsid w:val="003A468C"/>
    <w:rsid w:val="003A5D20"/>
    <w:rsid w:val="003B0599"/>
    <w:rsid w:val="003B506F"/>
    <w:rsid w:val="003B55FC"/>
    <w:rsid w:val="003C2817"/>
    <w:rsid w:val="003D5A13"/>
    <w:rsid w:val="003E4CEC"/>
    <w:rsid w:val="003E58F6"/>
    <w:rsid w:val="003F5AA4"/>
    <w:rsid w:val="0040171A"/>
    <w:rsid w:val="0040642B"/>
    <w:rsid w:val="00411120"/>
    <w:rsid w:val="00412B46"/>
    <w:rsid w:val="00421AA7"/>
    <w:rsid w:val="004220AA"/>
    <w:rsid w:val="0043069F"/>
    <w:rsid w:val="00431254"/>
    <w:rsid w:val="00432102"/>
    <w:rsid w:val="00435890"/>
    <w:rsid w:val="00437563"/>
    <w:rsid w:val="0045092F"/>
    <w:rsid w:val="0045268D"/>
    <w:rsid w:val="00455858"/>
    <w:rsid w:val="0045663E"/>
    <w:rsid w:val="00460005"/>
    <w:rsid w:val="004603D0"/>
    <w:rsid w:val="00464C8B"/>
    <w:rsid w:val="00464E7C"/>
    <w:rsid w:val="00471474"/>
    <w:rsid w:val="00474E33"/>
    <w:rsid w:val="00476CA9"/>
    <w:rsid w:val="00477A0A"/>
    <w:rsid w:val="004837D1"/>
    <w:rsid w:val="00484031"/>
    <w:rsid w:val="004949BB"/>
    <w:rsid w:val="00494D2C"/>
    <w:rsid w:val="00495D03"/>
    <w:rsid w:val="00496C00"/>
    <w:rsid w:val="004A6E0D"/>
    <w:rsid w:val="004B34D2"/>
    <w:rsid w:val="004B36EF"/>
    <w:rsid w:val="004B60B0"/>
    <w:rsid w:val="004C077B"/>
    <w:rsid w:val="004C16C1"/>
    <w:rsid w:val="004C42FF"/>
    <w:rsid w:val="004D3E55"/>
    <w:rsid w:val="004E1A51"/>
    <w:rsid w:val="004E4D3D"/>
    <w:rsid w:val="004E78EF"/>
    <w:rsid w:val="004F05AB"/>
    <w:rsid w:val="004F1584"/>
    <w:rsid w:val="004F6320"/>
    <w:rsid w:val="005035A0"/>
    <w:rsid w:val="00503F54"/>
    <w:rsid w:val="00504D24"/>
    <w:rsid w:val="00506B53"/>
    <w:rsid w:val="0050755A"/>
    <w:rsid w:val="00525EA6"/>
    <w:rsid w:val="00525F5C"/>
    <w:rsid w:val="005262DE"/>
    <w:rsid w:val="0053461A"/>
    <w:rsid w:val="00535CEF"/>
    <w:rsid w:val="005443B3"/>
    <w:rsid w:val="005511A7"/>
    <w:rsid w:val="0055165F"/>
    <w:rsid w:val="0055189E"/>
    <w:rsid w:val="005605EF"/>
    <w:rsid w:val="0056126D"/>
    <w:rsid w:val="00573D78"/>
    <w:rsid w:val="00577454"/>
    <w:rsid w:val="00580E0D"/>
    <w:rsid w:val="00581141"/>
    <w:rsid w:val="00587B04"/>
    <w:rsid w:val="00587DA6"/>
    <w:rsid w:val="00596FA9"/>
    <w:rsid w:val="005975A7"/>
    <w:rsid w:val="005A0AFA"/>
    <w:rsid w:val="005A1FA5"/>
    <w:rsid w:val="005A2809"/>
    <w:rsid w:val="005A4668"/>
    <w:rsid w:val="005B0ABE"/>
    <w:rsid w:val="005B2098"/>
    <w:rsid w:val="005B5D50"/>
    <w:rsid w:val="005B604D"/>
    <w:rsid w:val="005C6CF3"/>
    <w:rsid w:val="005D4511"/>
    <w:rsid w:val="005D511C"/>
    <w:rsid w:val="005D6237"/>
    <w:rsid w:val="005D6295"/>
    <w:rsid w:val="005E0754"/>
    <w:rsid w:val="005E12F4"/>
    <w:rsid w:val="005E4912"/>
    <w:rsid w:val="005E5A26"/>
    <w:rsid w:val="005E5BF3"/>
    <w:rsid w:val="005F109C"/>
    <w:rsid w:val="005F702A"/>
    <w:rsid w:val="0060053D"/>
    <w:rsid w:val="00601408"/>
    <w:rsid w:val="00606C8F"/>
    <w:rsid w:val="00610D3F"/>
    <w:rsid w:val="006153F8"/>
    <w:rsid w:val="00617B84"/>
    <w:rsid w:val="00620728"/>
    <w:rsid w:val="00626BD6"/>
    <w:rsid w:val="0063198C"/>
    <w:rsid w:val="0063202E"/>
    <w:rsid w:val="006334E7"/>
    <w:rsid w:val="00635205"/>
    <w:rsid w:val="006355C2"/>
    <w:rsid w:val="00637149"/>
    <w:rsid w:val="00640245"/>
    <w:rsid w:val="006474D2"/>
    <w:rsid w:val="006526B7"/>
    <w:rsid w:val="006528E7"/>
    <w:rsid w:val="0066512C"/>
    <w:rsid w:val="0066533C"/>
    <w:rsid w:val="006726C0"/>
    <w:rsid w:val="00677E52"/>
    <w:rsid w:val="0068590D"/>
    <w:rsid w:val="00685CC1"/>
    <w:rsid w:val="00687599"/>
    <w:rsid w:val="0069340F"/>
    <w:rsid w:val="00695DF0"/>
    <w:rsid w:val="006A1A90"/>
    <w:rsid w:val="006B14A2"/>
    <w:rsid w:val="006B6D32"/>
    <w:rsid w:val="006B7630"/>
    <w:rsid w:val="006C4007"/>
    <w:rsid w:val="006C4F4C"/>
    <w:rsid w:val="006C6718"/>
    <w:rsid w:val="006D0B17"/>
    <w:rsid w:val="006D102D"/>
    <w:rsid w:val="006D6EC8"/>
    <w:rsid w:val="006D7836"/>
    <w:rsid w:val="006E16C9"/>
    <w:rsid w:val="006E3BE1"/>
    <w:rsid w:val="006E6313"/>
    <w:rsid w:val="006E6AEF"/>
    <w:rsid w:val="006E7061"/>
    <w:rsid w:val="006F03CB"/>
    <w:rsid w:val="006F3E20"/>
    <w:rsid w:val="006F4C35"/>
    <w:rsid w:val="006F585B"/>
    <w:rsid w:val="00704022"/>
    <w:rsid w:val="00707385"/>
    <w:rsid w:val="007105B6"/>
    <w:rsid w:val="007118CE"/>
    <w:rsid w:val="0071448D"/>
    <w:rsid w:val="00717AF6"/>
    <w:rsid w:val="00725607"/>
    <w:rsid w:val="00726DC9"/>
    <w:rsid w:val="00730116"/>
    <w:rsid w:val="00731011"/>
    <w:rsid w:val="00732D83"/>
    <w:rsid w:val="00734070"/>
    <w:rsid w:val="0073497B"/>
    <w:rsid w:val="00735F2F"/>
    <w:rsid w:val="00743F08"/>
    <w:rsid w:val="00747C52"/>
    <w:rsid w:val="007511E3"/>
    <w:rsid w:val="0076471E"/>
    <w:rsid w:val="007762CE"/>
    <w:rsid w:val="00780B07"/>
    <w:rsid w:val="0078765B"/>
    <w:rsid w:val="00795A90"/>
    <w:rsid w:val="007A3B28"/>
    <w:rsid w:val="007A4F6D"/>
    <w:rsid w:val="007A6F84"/>
    <w:rsid w:val="007B3C17"/>
    <w:rsid w:val="007B7DF5"/>
    <w:rsid w:val="007B7E86"/>
    <w:rsid w:val="007C28A6"/>
    <w:rsid w:val="007C4661"/>
    <w:rsid w:val="007D2F68"/>
    <w:rsid w:val="007D3D44"/>
    <w:rsid w:val="007D560A"/>
    <w:rsid w:val="007D5CC0"/>
    <w:rsid w:val="007D6665"/>
    <w:rsid w:val="007D6692"/>
    <w:rsid w:val="007E2B66"/>
    <w:rsid w:val="007F0132"/>
    <w:rsid w:val="007F02D1"/>
    <w:rsid w:val="007F08E0"/>
    <w:rsid w:val="00803AB6"/>
    <w:rsid w:val="0080468A"/>
    <w:rsid w:val="00806336"/>
    <w:rsid w:val="0081237C"/>
    <w:rsid w:val="0081741F"/>
    <w:rsid w:val="008218D6"/>
    <w:rsid w:val="008252BD"/>
    <w:rsid w:val="008270C5"/>
    <w:rsid w:val="00827186"/>
    <w:rsid w:val="00827902"/>
    <w:rsid w:val="008317D2"/>
    <w:rsid w:val="00831E38"/>
    <w:rsid w:val="00833C82"/>
    <w:rsid w:val="00837564"/>
    <w:rsid w:val="0084040A"/>
    <w:rsid w:val="008418C4"/>
    <w:rsid w:val="0084365C"/>
    <w:rsid w:val="0084490C"/>
    <w:rsid w:val="00845C99"/>
    <w:rsid w:val="0084691A"/>
    <w:rsid w:val="00847274"/>
    <w:rsid w:val="008576D9"/>
    <w:rsid w:val="008626C1"/>
    <w:rsid w:val="00863446"/>
    <w:rsid w:val="00870DE1"/>
    <w:rsid w:val="00882D5B"/>
    <w:rsid w:val="00884402"/>
    <w:rsid w:val="00886A98"/>
    <w:rsid w:val="00890C6C"/>
    <w:rsid w:val="008A1ABB"/>
    <w:rsid w:val="008A2EDD"/>
    <w:rsid w:val="008A5256"/>
    <w:rsid w:val="008B11CB"/>
    <w:rsid w:val="008B2164"/>
    <w:rsid w:val="008B31E9"/>
    <w:rsid w:val="008B43F7"/>
    <w:rsid w:val="008B693D"/>
    <w:rsid w:val="008B6CC8"/>
    <w:rsid w:val="008B7945"/>
    <w:rsid w:val="008B7EA3"/>
    <w:rsid w:val="008C34DF"/>
    <w:rsid w:val="008C4E78"/>
    <w:rsid w:val="008C6BD0"/>
    <w:rsid w:val="008C71D6"/>
    <w:rsid w:val="008D2C8F"/>
    <w:rsid w:val="008D41B3"/>
    <w:rsid w:val="008D70D4"/>
    <w:rsid w:val="008D743B"/>
    <w:rsid w:val="008E0755"/>
    <w:rsid w:val="008F1A99"/>
    <w:rsid w:val="008F1BDB"/>
    <w:rsid w:val="008F2F12"/>
    <w:rsid w:val="00900305"/>
    <w:rsid w:val="0090326A"/>
    <w:rsid w:val="00904477"/>
    <w:rsid w:val="00904A01"/>
    <w:rsid w:val="00912D2E"/>
    <w:rsid w:val="00913359"/>
    <w:rsid w:val="00917252"/>
    <w:rsid w:val="00924661"/>
    <w:rsid w:val="00924F2A"/>
    <w:rsid w:val="00924F8C"/>
    <w:rsid w:val="009250C7"/>
    <w:rsid w:val="0092512C"/>
    <w:rsid w:val="009258A4"/>
    <w:rsid w:val="0093087E"/>
    <w:rsid w:val="00935039"/>
    <w:rsid w:val="00936FCD"/>
    <w:rsid w:val="009444BB"/>
    <w:rsid w:val="0094494F"/>
    <w:rsid w:val="009474C6"/>
    <w:rsid w:val="0095178C"/>
    <w:rsid w:val="00955E76"/>
    <w:rsid w:val="00955FD6"/>
    <w:rsid w:val="009737D8"/>
    <w:rsid w:val="00973C01"/>
    <w:rsid w:val="00977FBC"/>
    <w:rsid w:val="00980669"/>
    <w:rsid w:val="00984C16"/>
    <w:rsid w:val="00984CCE"/>
    <w:rsid w:val="00991A94"/>
    <w:rsid w:val="009944B4"/>
    <w:rsid w:val="0099465A"/>
    <w:rsid w:val="009959AC"/>
    <w:rsid w:val="009A0DF7"/>
    <w:rsid w:val="009A1232"/>
    <w:rsid w:val="009A3761"/>
    <w:rsid w:val="009B33B3"/>
    <w:rsid w:val="009B4723"/>
    <w:rsid w:val="009B53B3"/>
    <w:rsid w:val="009B61CB"/>
    <w:rsid w:val="009D06CE"/>
    <w:rsid w:val="009D4F29"/>
    <w:rsid w:val="009D5BA9"/>
    <w:rsid w:val="009E3A54"/>
    <w:rsid w:val="009E4C36"/>
    <w:rsid w:val="009E74B1"/>
    <w:rsid w:val="009F26D4"/>
    <w:rsid w:val="009F69B1"/>
    <w:rsid w:val="009F69D8"/>
    <w:rsid w:val="00A02D53"/>
    <w:rsid w:val="00A031AB"/>
    <w:rsid w:val="00A03725"/>
    <w:rsid w:val="00A05142"/>
    <w:rsid w:val="00A1354F"/>
    <w:rsid w:val="00A13D82"/>
    <w:rsid w:val="00A15FE0"/>
    <w:rsid w:val="00A216ED"/>
    <w:rsid w:val="00A315AC"/>
    <w:rsid w:val="00A35407"/>
    <w:rsid w:val="00A370C2"/>
    <w:rsid w:val="00A4018F"/>
    <w:rsid w:val="00A436E7"/>
    <w:rsid w:val="00A4517C"/>
    <w:rsid w:val="00A51D4D"/>
    <w:rsid w:val="00A522AD"/>
    <w:rsid w:val="00A54887"/>
    <w:rsid w:val="00A578EB"/>
    <w:rsid w:val="00A57DDD"/>
    <w:rsid w:val="00A6170A"/>
    <w:rsid w:val="00A64359"/>
    <w:rsid w:val="00A67DE5"/>
    <w:rsid w:val="00A72467"/>
    <w:rsid w:val="00A736A2"/>
    <w:rsid w:val="00A77D60"/>
    <w:rsid w:val="00A80257"/>
    <w:rsid w:val="00A820FC"/>
    <w:rsid w:val="00A85BE0"/>
    <w:rsid w:val="00A90F4C"/>
    <w:rsid w:val="00A92B31"/>
    <w:rsid w:val="00A938F4"/>
    <w:rsid w:val="00A94484"/>
    <w:rsid w:val="00A977FD"/>
    <w:rsid w:val="00AA06F9"/>
    <w:rsid w:val="00AA2C06"/>
    <w:rsid w:val="00AA7C05"/>
    <w:rsid w:val="00AB0F07"/>
    <w:rsid w:val="00AC4D96"/>
    <w:rsid w:val="00AC52FA"/>
    <w:rsid w:val="00AD0798"/>
    <w:rsid w:val="00AD50B9"/>
    <w:rsid w:val="00AD6B17"/>
    <w:rsid w:val="00AD7D2F"/>
    <w:rsid w:val="00AE31CD"/>
    <w:rsid w:val="00AE3FED"/>
    <w:rsid w:val="00AE45E0"/>
    <w:rsid w:val="00AE4933"/>
    <w:rsid w:val="00AE6FB4"/>
    <w:rsid w:val="00AF025F"/>
    <w:rsid w:val="00AF7605"/>
    <w:rsid w:val="00B0350D"/>
    <w:rsid w:val="00B06FC2"/>
    <w:rsid w:val="00B175CE"/>
    <w:rsid w:val="00B1766A"/>
    <w:rsid w:val="00B20AC8"/>
    <w:rsid w:val="00B22073"/>
    <w:rsid w:val="00B24854"/>
    <w:rsid w:val="00B27D5F"/>
    <w:rsid w:val="00B357D9"/>
    <w:rsid w:val="00B41697"/>
    <w:rsid w:val="00B452F9"/>
    <w:rsid w:val="00B45D04"/>
    <w:rsid w:val="00B46AAD"/>
    <w:rsid w:val="00B561A3"/>
    <w:rsid w:val="00B60B6A"/>
    <w:rsid w:val="00B6723C"/>
    <w:rsid w:val="00B716AD"/>
    <w:rsid w:val="00B72444"/>
    <w:rsid w:val="00B760E5"/>
    <w:rsid w:val="00B80C9E"/>
    <w:rsid w:val="00B959F2"/>
    <w:rsid w:val="00B95AAB"/>
    <w:rsid w:val="00B96034"/>
    <w:rsid w:val="00B97746"/>
    <w:rsid w:val="00BA1E35"/>
    <w:rsid w:val="00BA356D"/>
    <w:rsid w:val="00BA4A20"/>
    <w:rsid w:val="00BB54BD"/>
    <w:rsid w:val="00BB63F9"/>
    <w:rsid w:val="00BB7272"/>
    <w:rsid w:val="00BC3E03"/>
    <w:rsid w:val="00BC6158"/>
    <w:rsid w:val="00BD2307"/>
    <w:rsid w:val="00BD2901"/>
    <w:rsid w:val="00BD5644"/>
    <w:rsid w:val="00BD589B"/>
    <w:rsid w:val="00BD62CC"/>
    <w:rsid w:val="00BE4093"/>
    <w:rsid w:val="00BE73F7"/>
    <w:rsid w:val="00BF0521"/>
    <w:rsid w:val="00BF6113"/>
    <w:rsid w:val="00C021CE"/>
    <w:rsid w:val="00C05D86"/>
    <w:rsid w:val="00C071B2"/>
    <w:rsid w:val="00C10F97"/>
    <w:rsid w:val="00C1251F"/>
    <w:rsid w:val="00C15E6D"/>
    <w:rsid w:val="00C2633C"/>
    <w:rsid w:val="00C30185"/>
    <w:rsid w:val="00C337E4"/>
    <w:rsid w:val="00C35279"/>
    <w:rsid w:val="00C37115"/>
    <w:rsid w:val="00C37717"/>
    <w:rsid w:val="00C37A13"/>
    <w:rsid w:val="00C402B1"/>
    <w:rsid w:val="00C41B37"/>
    <w:rsid w:val="00C53438"/>
    <w:rsid w:val="00C631CD"/>
    <w:rsid w:val="00C64E13"/>
    <w:rsid w:val="00C657E6"/>
    <w:rsid w:val="00C66572"/>
    <w:rsid w:val="00C6722E"/>
    <w:rsid w:val="00C67735"/>
    <w:rsid w:val="00C76BC8"/>
    <w:rsid w:val="00C808CD"/>
    <w:rsid w:val="00C81737"/>
    <w:rsid w:val="00C847CF"/>
    <w:rsid w:val="00C93435"/>
    <w:rsid w:val="00CA0FF6"/>
    <w:rsid w:val="00CA1456"/>
    <w:rsid w:val="00CA7BF4"/>
    <w:rsid w:val="00CC1421"/>
    <w:rsid w:val="00CC43C2"/>
    <w:rsid w:val="00CC75FA"/>
    <w:rsid w:val="00CD0298"/>
    <w:rsid w:val="00CD18CC"/>
    <w:rsid w:val="00CD2449"/>
    <w:rsid w:val="00CE0C7E"/>
    <w:rsid w:val="00CE1D6A"/>
    <w:rsid w:val="00CE1D8F"/>
    <w:rsid w:val="00CE6077"/>
    <w:rsid w:val="00CE6446"/>
    <w:rsid w:val="00CF0C84"/>
    <w:rsid w:val="00CF45BE"/>
    <w:rsid w:val="00CF5E7C"/>
    <w:rsid w:val="00CF6BF4"/>
    <w:rsid w:val="00D007B7"/>
    <w:rsid w:val="00D04C6B"/>
    <w:rsid w:val="00D13256"/>
    <w:rsid w:val="00D13829"/>
    <w:rsid w:val="00D153CF"/>
    <w:rsid w:val="00D2643F"/>
    <w:rsid w:val="00D27BC5"/>
    <w:rsid w:val="00D34CDD"/>
    <w:rsid w:val="00D36AB4"/>
    <w:rsid w:val="00D36AC2"/>
    <w:rsid w:val="00D45DE3"/>
    <w:rsid w:val="00D46895"/>
    <w:rsid w:val="00D47F71"/>
    <w:rsid w:val="00D53364"/>
    <w:rsid w:val="00D605E4"/>
    <w:rsid w:val="00D615EB"/>
    <w:rsid w:val="00D7205C"/>
    <w:rsid w:val="00D72934"/>
    <w:rsid w:val="00D748CA"/>
    <w:rsid w:val="00D75DE5"/>
    <w:rsid w:val="00D83950"/>
    <w:rsid w:val="00D84226"/>
    <w:rsid w:val="00D862E1"/>
    <w:rsid w:val="00D87E6D"/>
    <w:rsid w:val="00DA4E61"/>
    <w:rsid w:val="00DA5DB0"/>
    <w:rsid w:val="00DA691D"/>
    <w:rsid w:val="00DB0327"/>
    <w:rsid w:val="00DB03B8"/>
    <w:rsid w:val="00DB7DA1"/>
    <w:rsid w:val="00DC07A9"/>
    <w:rsid w:val="00DC2EEA"/>
    <w:rsid w:val="00DC3A4A"/>
    <w:rsid w:val="00DD3585"/>
    <w:rsid w:val="00DE602A"/>
    <w:rsid w:val="00DF3C90"/>
    <w:rsid w:val="00DF44F9"/>
    <w:rsid w:val="00DF5954"/>
    <w:rsid w:val="00DF69EE"/>
    <w:rsid w:val="00E023F5"/>
    <w:rsid w:val="00E06F2F"/>
    <w:rsid w:val="00E07928"/>
    <w:rsid w:val="00E1602F"/>
    <w:rsid w:val="00E1654D"/>
    <w:rsid w:val="00E2611B"/>
    <w:rsid w:val="00E26F1D"/>
    <w:rsid w:val="00E3404B"/>
    <w:rsid w:val="00E36DDE"/>
    <w:rsid w:val="00E40DE1"/>
    <w:rsid w:val="00E4162B"/>
    <w:rsid w:val="00E47B9D"/>
    <w:rsid w:val="00E47D72"/>
    <w:rsid w:val="00E5073B"/>
    <w:rsid w:val="00E5496C"/>
    <w:rsid w:val="00E54A5A"/>
    <w:rsid w:val="00E55442"/>
    <w:rsid w:val="00E55C12"/>
    <w:rsid w:val="00E56181"/>
    <w:rsid w:val="00E67C8B"/>
    <w:rsid w:val="00E74616"/>
    <w:rsid w:val="00E74D9A"/>
    <w:rsid w:val="00E818EA"/>
    <w:rsid w:val="00E87C9B"/>
    <w:rsid w:val="00E87CFA"/>
    <w:rsid w:val="00E93944"/>
    <w:rsid w:val="00E945E6"/>
    <w:rsid w:val="00E9664D"/>
    <w:rsid w:val="00E9720D"/>
    <w:rsid w:val="00EA5CFA"/>
    <w:rsid w:val="00EA76B4"/>
    <w:rsid w:val="00EA7D67"/>
    <w:rsid w:val="00EB1B57"/>
    <w:rsid w:val="00EB38C6"/>
    <w:rsid w:val="00EC5A80"/>
    <w:rsid w:val="00EC62E6"/>
    <w:rsid w:val="00EE706B"/>
    <w:rsid w:val="00EE7F0D"/>
    <w:rsid w:val="00EF1460"/>
    <w:rsid w:val="00EF45F7"/>
    <w:rsid w:val="00EF4D51"/>
    <w:rsid w:val="00F0129C"/>
    <w:rsid w:val="00F01563"/>
    <w:rsid w:val="00F0254F"/>
    <w:rsid w:val="00F04BFE"/>
    <w:rsid w:val="00F071CB"/>
    <w:rsid w:val="00F1167E"/>
    <w:rsid w:val="00F1229F"/>
    <w:rsid w:val="00F124AE"/>
    <w:rsid w:val="00F153DC"/>
    <w:rsid w:val="00F20147"/>
    <w:rsid w:val="00F209EB"/>
    <w:rsid w:val="00F21DBA"/>
    <w:rsid w:val="00F264EF"/>
    <w:rsid w:val="00F27F87"/>
    <w:rsid w:val="00F3212D"/>
    <w:rsid w:val="00F32DC2"/>
    <w:rsid w:val="00F40C25"/>
    <w:rsid w:val="00F43FF0"/>
    <w:rsid w:val="00F44735"/>
    <w:rsid w:val="00F44ADC"/>
    <w:rsid w:val="00F44C8B"/>
    <w:rsid w:val="00F46576"/>
    <w:rsid w:val="00F47A21"/>
    <w:rsid w:val="00F50B74"/>
    <w:rsid w:val="00F525F8"/>
    <w:rsid w:val="00F57BBB"/>
    <w:rsid w:val="00F64C8B"/>
    <w:rsid w:val="00F70989"/>
    <w:rsid w:val="00F747CC"/>
    <w:rsid w:val="00F81AD0"/>
    <w:rsid w:val="00F82BBB"/>
    <w:rsid w:val="00F83AF9"/>
    <w:rsid w:val="00F8434F"/>
    <w:rsid w:val="00F850F0"/>
    <w:rsid w:val="00F855FE"/>
    <w:rsid w:val="00F865F4"/>
    <w:rsid w:val="00F86B76"/>
    <w:rsid w:val="00F92C03"/>
    <w:rsid w:val="00F930C3"/>
    <w:rsid w:val="00F95F3C"/>
    <w:rsid w:val="00F96CD1"/>
    <w:rsid w:val="00FA1D9A"/>
    <w:rsid w:val="00FA275B"/>
    <w:rsid w:val="00FB15C4"/>
    <w:rsid w:val="00FC1747"/>
    <w:rsid w:val="00FC2FCA"/>
    <w:rsid w:val="00FC5532"/>
    <w:rsid w:val="00FC6631"/>
    <w:rsid w:val="00FC7E65"/>
    <w:rsid w:val="00FD3E76"/>
    <w:rsid w:val="00FD6E29"/>
    <w:rsid w:val="00FD6FEF"/>
    <w:rsid w:val="00FE13D4"/>
    <w:rsid w:val="00FE2CF2"/>
    <w:rsid w:val="00FE3BCB"/>
    <w:rsid w:val="00FE7C05"/>
    <w:rsid w:val="00FF14BA"/>
    <w:rsid w:val="00FF253C"/>
    <w:rsid w:val="00FF4832"/>
    <w:rsid w:val="00FF6D34"/>
    <w:rsid w:val="00FF726D"/>
    <w:rsid w:val="01441BB9"/>
    <w:rsid w:val="04141B96"/>
    <w:rsid w:val="098E39B9"/>
    <w:rsid w:val="09E57B97"/>
    <w:rsid w:val="0ADA152D"/>
    <w:rsid w:val="0D9E1C0C"/>
    <w:rsid w:val="0E4B143D"/>
    <w:rsid w:val="0E922F14"/>
    <w:rsid w:val="0EF02E72"/>
    <w:rsid w:val="10814158"/>
    <w:rsid w:val="11A67590"/>
    <w:rsid w:val="12844DC1"/>
    <w:rsid w:val="1823357E"/>
    <w:rsid w:val="187036B2"/>
    <w:rsid w:val="1B1A3889"/>
    <w:rsid w:val="1F94354A"/>
    <w:rsid w:val="21460153"/>
    <w:rsid w:val="21DA3F9D"/>
    <w:rsid w:val="223D0F22"/>
    <w:rsid w:val="23EA0F34"/>
    <w:rsid w:val="24743B37"/>
    <w:rsid w:val="25470B20"/>
    <w:rsid w:val="29483C47"/>
    <w:rsid w:val="2A8F3BCE"/>
    <w:rsid w:val="2CAF4831"/>
    <w:rsid w:val="2E2738D5"/>
    <w:rsid w:val="2F1D0509"/>
    <w:rsid w:val="313C09F0"/>
    <w:rsid w:val="318B79C7"/>
    <w:rsid w:val="31AA78D1"/>
    <w:rsid w:val="38462DF4"/>
    <w:rsid w:val="3C4F63A4"/>
    <w:rsid w:val="3C8F4B09"/>
    <w:rsid w:val="3E792B8A"/>
    <w:rsid w:val="436D3360"/>
    <w:rsid w:val="45361007"/>
    <w:rsid w:val="47D86F14"/>
    <w:rsid w:val="494A68AB"/>
    <w:rsid w:val="4AF73C7C"/>
    <w:rsid w:val="4C80334E"/>
    <w:rsid w:val="4D03459A"/>
    <w:rsid w:val="4E2540DD"/>
    <w:rsid w:val="4F0928DF"/>
    <w:rsid w:val="53387659"/>
    <w:rsid w:val="54471AEA"/>
    <w:rsid w:val="55104550"/>
    <w:rsid w:val="57F3068C"/>
    <w:rsid w:val="58D20590"/>
    <w:rsid w:val="5D410D65"/>
    <w:rsid w:val="5E660CC1"/>
    <w:rsid w:val="5F31621A"/>
    <w:rsid w:val="61765207"/>
    <w:rsid w:val="661D5A78"/>
    <w:rsid w:val="663B1AE6"/>
    <w:rsid w:val="6B300AA0"/>
    <w:rsid w:val="6E3D39F9"/>
    <w:rsid w:val="6FA81A09"/>
    <w:rsid w:val="70350492"/>
    <w:rsid w:val="71D44901"/>
    <w:rsid w:val="720924FA"/>
    <w:rsid w:val="73007C27"/>
    <w:rsid w:val="74B13A97"/>
    <w:rsid w:val="74DE6D70"/>
    <w:rsid w:val="75435570"/>
    <w:rsid w:val="76171091"/>
    <w:rsid w:val="79C103A5"/>
    <w:rsid w:val="7AFE135D"/>
    <w:rsid w:val="7C683D87"/>
    <w:rsid w:val="7CEF1D89"/>
    <w:rsid w:val="7E494DA3"/>
    <w:rsid w:val="7ED97587"/>
    <w:rsid w:val="7FC43BB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iPriority="39" w:semiHidden="0" w:name="toc 1"/>
    <w:lsdException w:qFormat="1" w:uiPriority="39" w:semiHidden="0" w:name="toc 2"/>
    <w:lsdException w:qFormat="1" w:uiPriority="39"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iPriority="1"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3">
    <w:name w:val="heading 1"/>
    <w:basedOn w:val="1"/>
    <w:next w:val="1"/>
    <w:qFormat/>
    <w:uiPriority w:val="0"/>
    <w:pPr>
      <w:spacing w:beforeAutospacing="1" w:afterAutospacing="1"/>
      <w:jc w:val="left"/>
      <w:outlineLvl w:val="0"/>
    </w:pPr>
    <w:rPr>
      <w:rFonts w:hint="eastAsia" w:ascii="宋体" w:hAnsi="宋体"/>
      <w:b/>
      <w:kern w:val="44"/>
      <w:sz w:val="48"/>
      <w:szCs w:val="48"/>
    </w:rPr>
  </w:style>
  <w:style w:type="paragraph" w:styleId="4">
    <w:name w:val="heading 2"/>
    <w:basedOn w:val="1"/>
    <w:next w:val="1"/>
    <w:qFormat/>
    <w:uiPriority w:val="0"/>
    <w:pPr>
      <w:keepNext/>
      <w:keepLines/>
      <w:spacing w:before="260" w:after="260" w:line="416" w:lineRule="auto"/>
      <w:outlineLvl w:val="1"/>
    </w:pPr>
    <w:rPr>
      <w:rFonts w:ascii="Cambria" w:hAnsi="Cambria"/>
      <w:b/>
      <w:bCs/>
      <w:sz w:val="32"/>
      <w:szCs w:val="32"/>
    </w:rPr>
  </w:style>
  <w:style w:type="character" w:default="1" w:styleId="18">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2">
    <w:name w:val="toc 2"/>
    <w:basedOn w:val="1"/>
    <w:next w:val="1"/>
    <w:unhideWhenUsed/>
    <w:qFormat/>
    <w:uiPriority w:val="39"/>
    <w:pPr>
      <w:widowControl/>
      <w:spacing w:after="100" w:line="276" w:lineRule="auto"/>
      <w:ind w:left="220"/>
      <w:jc w:val="left"/>
    </w:pPr>
    <w:rPr>
      <w:rFonts w:ascii="Calibri" w:hAnsi="Calibri"/>
      <w:kern w:val="0"/>
      <w:sz w:val="22"/>
    </w:rPr>
  </w:style>
  <w:style w:type="paragraph" w:styleId="5">
    <w:name w:val="Body Text"/>
    <w:basedOn w:val="1"/>
    <w:unhideWhenUsed/>
    <w:qFormat/>
    <w:uiPriority w:val="1"/>
    <w:pPr>
      <w:spacing w:before="41"/>
      <w:ind w:left="121"/>
      <w:jc w:val="left"/>
    </w:pPr>
    <w:rPr>
      <w:rFonts w:ascii="仿宋" w:hAnsi="仿宋" w:eastAsia="仿宋"/>
      <w:kern w:val="0"/>
      <w:sz w:val="28"/>
      <w:szCs w:val="28"/>
      <w:lang w:eastAsia="en-US"/>
    </w:rPr>
  </w:style>
  <w:style w:type="paragraph" w:styleId="6">
    <w:name w:val="Body Text Indent"/>
    <w:basedOn w:val="1"/>
    <w:qFormat/>
    <w:uiPriority w:val="0"/>
    <w:pPr>
      <w:spacing w:line="380" w:lineRule="exact"/>
      <w:ind w:firstLine="480" w:firstLineChars="200"/>
    </w:pPr>
    <w:rPr>
      <w:rFonts w:ascii="宋体" w:hAnsi="宋体"/>
      <w:sz w:val="24"/>
    </w:rPr>
  </w:style>
  <w:style w:type="paragraph" w:styleId="7">
    <w:name w:val="toc 3"/>
    <w:basedOn w:val="1"/>
    <w:next w:val="1"/>
    <w:unhideWhenUsed/>
    <w:qFormat/>
    <w:uiPriority w:val="39"/>
    <w:pPr>
      <w:widowControl/>
      <w:spacing w:after="100" w:line="276" w:lineRule="auto"/>
      <w:ind w:left="440"/>
      <w:jc w:val="left"/>
    </w:pPr>
    <w:rPr>
      <w:rFonts w:asciiTheme="minorHAnsi" w:hAnsiTheme="minorHAnsi" w:eastAsiaTheme="minorEastAsia" w:cstheme="minorBidi"/>
      <w:kern w:val="0"/>
      <w:sz w:val="22"/>
      <w:szCs w:val="22"/>
    </w:rPr>
  </w:style>
  <w:style w:type="paragraph" w:styleId="8">
    <w:name w:val="Plain Text"/>
    <w:basedOn w:val="1"/>
    <w:qFormat/>
    <w:uiPriority w:val="0"/>
    <w:rPr>
      <w:rFonts w:ascii="宋体" w:hAnsi="Courier New" w:cs="Courier New"/>
      <w:szCs w:val="21"/>
    </w:rPr>
  </w:style>
  <w:style w:type="paragraph" w:styleId="9">
    <w:name w:val="Date"/>
    <w:basedOn w:val="1"/>
    <w:next w:val="1"/>
    <w:qFormat/>
    <w:uiPriority w:val="0"/>
    <w:pPr>
      <w:ind w:left="100" w:leftChars="2500"/>
    </w:pPr>
    <w:rPr>
      <w:rFonts w:ascii="宋体" w:hAnsi="宋体"/>
      <w:sz w:val="24"/>
    </w:rPr>
  </w:style>
  <w:style w:type="paragraph" w:styleId="10">
    <w:name w:val="Balloon Text"/>
    <w:basedOn w:val="1"/>
    <w:link w:val="25"/>
    <w:qFormat/>
    <w:uiPriority w:val="0"/>
    <w:rPr>
      <w:sz w:val="18"/>
      <w:szCs w:val="18"/>
    </w:rPr>
  </w:style>
  <w:style w:type="paragraph" w:styleId="11">
    <w:name w:val="footer"/>
    <w:basedOn w:val="1"/>
    <w:link w:val="24"/>
    <w:qFormat/>
    <w:uiPriority w:val="99"/>
    <w:pPr>
      <w:tabs>
        <w:tab w:val="center" w:pos="4153"/>
        <w:tab w:val="right" w:pos="8306"/>
      </w:tabs>
      <w:snapToGrid w:val="0"/>
      <w:jc w:val="left"/>
    </w:pPr>
    <w:rPr>
      <w:sz w:val="18"/>
      <w:szCs w:val="18"/>
    </w:rPr>
  </w:style>
  <w:style w:type="paragraph" w:styleId="12">
    <w:name w:val="header"/>
    <w:basedOn w:val="1"/>
    <w:link w:val="26"/>
    <w:qFormat/>
    <w:uiPriority w:val="99"/>
    <w:pPr>
      <w:pBdr>
        <w:bottom w:val="single" w:color="auto" w:sz="6" w:space="1"/>
      </w:pBdr>
      <w:tabs>
        <w:tab w:val="center" w:pos="4153"/>
        <w:tab w:val="right" w:pos="8306"/>
      </w:tabs>
      <w:snapToGrid w:val="0"/>
      <w:jc w:val="center"/>
    </w:pPr>
    <w:rPr>
      <w:sz w:val="18"/>
      <w:szCs w:val="18"/>
    </w:rPr>
  </w:style>
  <w:style w:type="paragraph" w:styleId="13">
    <w:name w:val="toc 1"/>
    <w:basedOn w:val="1"/>
    <w:next w:val="1"/>
    <w:unhideWhenUsed/>
    <w:qFormat/>
    <w:uiPriority w:val="39"/>
  </w:style>
  <w:style w:type="paragraph" w:styleId="14">
    <w:name w:val="footnote text"/>
    <w:basedOn w:val="1"/>
    <w:link w:val="27"/>
    <w:qFormat/>
    <w:uiPriority w:val="0"/>
    <w:pPr>
      <w:snapToGrid w:val="0"/>
      <w:jc w:val="left"/>
    </w:pPr>
    <w:rPr>
      <w:sz w:val="18"/>
      <w:szCs w:val="18"/>
    </w:rPr>
  </w:style>
  <w:style w:type="paragraph" w:styleId="15">
    <w:name w:val="Normal (Web)"/>
    <w:basedOn w:val="1"/>
    <w:qFormat/>
    <w:uiPriority w:val="0"/>
    <w:pPr>
      <w:spacing w:beforeAutospacing="1" w:afterAutospacing="1"/>
      <w:jc w:val="left"/>
    </w:pPr>
    <w:rPr>
      <w:kern w:val="0"/>
      <w:sz w:val="24"/>
    </w:rPr>
  </w:style>
  <w:style w:type="table" w:styleId="17">
    <w:name w:val="Table Grid"/>
    <w:basedOn w:val="1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9">
    <w:name w:val="page number"/>
    <w:basedOn w:val="18"/>
    <w:qFormat/>
    <w:uiPriority w:val="0"/>
  </w:style>
  <w:style w:type="character" w:styleId="20">
    <w:name w:val="Hyperlink"/>
    <w:basedOn w:val="18"/>
    <w:unhideWhenUsed/>
    <w:qFormat/>
    <w:uiPriority w:val="99"/>
    <w:rPr>
      <w:color w:val="0000FF" w:themeColor="hyperlink"/>
      <w:u w:val="single"/>
    </w:rPr>
  </w:style>
  <w:style w:type="character" w:styleId="21">
    <w:name w:val="footnote reference"/>
    <w:basedOn w:val="18"/>
    <w:qFormat/>
    <w:uiPriority w:val="0"/>
    <w:rPr>
      <w:vertAlign w:val="superscript"/>
    </w:rPr>
  </w:style>
  <w:style w:type="character" w:customStyle="1" w:styleId="22">
    <w:name w:val="无间隔 Char"/>
    <w:basedOn w:val="18"/>
    <w:link w:val="23"/>
    <w:qFormat/>
    <w:uiPriority w:val="1"/>
    <w:rPr>
      <w:rFonts w:ascii="Calibri" w:hAnsi="Calibri"/>
      <w:sz w:val="22"/>
      <w:szCs w:val="22"/>
      <w:lang w:val="en-US" w:eastAsia="zh-CN" w:bidi="ar-SA"/>
    </w:rPr>
  </w:style>
  <w:style w:type="paragraph" w:styleId="23">
    <w:name w:val="No Spacing"/>
    <w:link w:val="22"/>
    <w:qFormat/>
    <w:uiPriority w:val="1"/>
    <w:rPr>
      <w:rFonts w:ascii="Calibri" w:hAnsi="Calibri" w:eastAsia="宋体" w:cs="Times New Roman"/>
      <w:sz w:val="22"/>
      <w:szCs w:val="22"/>
      <w:lang w:val="en-US" w:eastAsia="zh-CN" w:bidi="ar-SA"/>
    </w:rPr>
  </w:style>
  <w:style w:type="character" w:customStyle="1" w:styleId="24">
    <w:name w:val="页脚 Char"/>
    <w:basedOn w:val="18"/>
    <w:link w:val="11"/>
    <w:qFormat/>
    <w:uiPriority w:val="99"/>
    <w:rPr>
      <w:kern w:val="2"/>
      <w:sz w:val="18"/>
      <w:szCs w:val="18"/>
    </w:rPr>
  </w:style>
  <w:style w:type="character" w:customStyle="1" w:styleId="25">
    <w:name w:val="批注框文本 Char"/>
    <w:basedOn w:val="18"/>
    <w:link w:val="10"/>
    <w:qFormat/>
    <w:uiPriority w:val="0"/>
    <w:rPr>
      <w:kern w:val="2"/>
      <w:sz w:val="18"/>
      <w:szCs w:val="18"/>
    </w:rPr>
  </w:style>
  <w:style w:type="character" w:customStyle="1" w:styleId="26">
    <w:name w:val="页眉 Char"/>
    <w:basedOn w:val="18"/>
    <w:link w:val="12"/>
    <w:qFormat/>
    <w:uiPriority w:val="99"/>
    <w:rPr>
      <w:kern w:val="2"/>
      <w:sz w:val="18"/>
      <w:szCs w:val="18"/>
    </w:rPr>
  </w:style>
  <w:style w:type="character" w:customStyle="1" w:styleId="27">
    <w:name w:val="脚注文本 Char"/>
    <w:basedOn w:val="18"/>
    <w:link w:val="14"/>
    <w:qFormat/>
    <w:uiPriority w:val="0"/>
    <w:rPr>
      <w:kern w:val="2"/>
      <w:sz w:val="18"/>
      <w:szCs w:val="18"/>
    </w:rPr>
  </w:style>
  <w:style w:type="paragraph" w:customStyle="1" w:styleId="28">
    <w:name w:val="Other|2"/>
    <w:basedOn w:val="1"/>
    <w:qFormat/>
    <w:uiPriority w:val="0"/>
    <w:pPr>
      <w:jc w:val="center"/>
    </w:pPr>
    <w:rPr>
      <w:rFonts w:ascii="宋体" w:hAnsi="宋体" w:cs="宋体"/>
      <w:sz w:val="20"/>
      <w:lang w:val="zh-TW" w:eastAsia="zh-TW" w:bidi="zh-TW"/>
    </w:rPr>
  </w:style>
  <w:style w:type="paragraph" w:customStyle="1" w:styleId="29">
    <w:name w:val="Other|1"/>
    <w:basedOn w:val="1"/>
    <w:qFormat/>
    <w:uiPriority w:val="0"/>
    <w:pPr>
      <w:spacing w:line="401" w:lineRule="auto"/>
      <w:ind w:firstLine="400"/>
    </w:pPr>
    <w:rPr>
      <w:rFonts w:ascii="宋体" w:hAnsi="宋体" w:cs="宋体"/>
      <w:sz w:val="30"/>
      <w:szCs w:val="30"/>
      <w:lang w:val="zh-TW" w:eastAsia="zh-TW" w:bidi="zh-TW"/>
    </w:rPr>
  </w:style>
  <w:style w:type="paragraph" w:customStyle="1" w:styleId="30">
    <w:name w:val="Header or footer|2"/>
    <w:basedOn w:val="1"/>
    <w:qFormat/>
    <w:uiPriority w:val="0"/>
    <w:rPr>
      <w:sz w:val="20"/>
      <w:lang w:val="zh-TW" w:eastAsia="zh-TW" w:bidi="zh-TW"/>
    </w:rPr>
  </w:style>
  <w:style w:type="paragraph" w:customStyle="1" w:styleId="31">
    <w:name w:val="TOC Heading"/>
    <w:basedOn w:val="3"/>
    <w:next w:val="1"/>
    <w:semiHidden/>
    <w:unhideWhenUsed/>
    <w:qFormat/>
    <w:uiPriority w:val="39"/>
    <w:pPr>
      <w:keepNext/>
      <w:keepLines/>
      <w:widowControl/>
      <w:spacing w:before="480" w:beforeAutospacing="0" w:afterAutospacing="0" w:line="276" w:lineRule="auto"/>
      <w:outlineLvl w:val="9"/>
    </w:pPr>
    <w:rPr>
      <w:rFonts w:hint="default" w:asciiTheme="majorHAnsi" w:hAnsiTheme="majorHAnsi" w:eastAsiaTheme="majorEastAsia" w:cstheme="majorBidi"/>
      <w:bCs/>
      <w:color w:val="366091" w:themeColor="accent1" w:themeShade="BF"/>
      <w:kern w:val="0"/>
      <w:sz w:val="28"/>
      <w:szCs w:val="28"/>
    </w:rPr>
  </w:style>
  <w:style w:type="paragraph" w:customStyle="1" w:styleId="32">
    <w:name w:val="WPSOffice手动目录 1"/>
    <w:qFormat/>
    <w:uiPriority w:val="0"/>
    <w:pPr>
      <w:ind w:leftChars="0"/>
    </w:pPr>
    <w:rPr>
      <w:rFonts w:asciiTheme="minorHAnsi" w:hAnsiTheme="minorHAnsi" w:eastAsiaTheme="minorEastAsia" w:cstheme="minorBidi"/>
      <w:sz w:val="20"/>
      <w:szCs w:val="20"/>
    </w:rPr>
  </w:style>
</w:styles>
</file>

<file path=word/_rels/document.xml.rels><?xml version="1.0" encoding="UTF-8" standalone="yes"?>
<Relationships xmlns="http://schemas.openxmlformats.org/package/2006/relationships"><Relationship Id="rId9" Type="http://schemas.openxmlformats.org/officeDocument/2006/relationships/footer" Target="footer5.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2.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4108" textRotate="1"/>
    <customShpInfo spid="_x0000_s4109" textRotate="1"/>
    <customShpInfo spid="_x0000_s4106"/>
    <customShpInfo spid="_x0000_s4110" textRotate="1"/>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D73DF80-32D0-48B6-BDC2-042DA4015297}">
  <ds:schemaRefs/>
</ds:datastoreItem>
</file>

<file path=docProps/app.xml><?xml version="1.0" encoding="utf-8"?>
<Properties xmlns="http://schemas.openxmlformats.org/officeDocument/2006/extended-properties" xmlns:vt="http://schemas.openxmlformats.org/officeDocument/2006/docPropsVTypes">
  <Template>Normal</Template>
  <Company>HP</Company>
  <Pages>15</Pages>
  <Words>5864</Words>
  <Characters>6181</Characters>
  <Lines>90</Lines>
  <Paragraphs>25</Paragraphs>
  <TotalTime>9</TotalTime>
  <ScaleCrop>false</ScaleCrop>
  <LinksUpToDate>false</LinksUpToDate>
  <CharactersWithSpaces>6398</CharactersWithSpaces>
  <Application>WPS Office_11.8.2.10972_F1E327BC-269C-435d-A152-05C5408002CA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2014-04-21T00:28:00Z</dcterms:created>
  <dc:creator>中兴科技</dc:creator>
  <cp:lastModifiedBy>Administrator</cp:lastModifiedBy>
  <cp:lastPrinted>2021-11-03T03:13:00Z</cp:lastPrinted>
  <dcterms:modified xsi:type="dcterms:W3CDTF">2022-11-07T03:08:25Z</dcterms:modified>
  <dc:title>审 计 报 告</dc:title>
  <cp:revision>52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2052-11.8.2.10972</vt:lpwstr>
  </property>
  <property fmtid="{D5CDD505-2E9C-101B-9397-08002B2CF9AE}" pid="3" name="ICV">
    <vt:lpwstr>4A2DA667480C4F48BEB562C0F7E0314E</vt:lpwstr>
  </property>
</Properties>
</file>