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宋体" w:hAnsi="宋体"/>
          <w:sz w:val="24"/>
          <w:szCs w:val="24"/>
        </w:rPr>
      </w:pPr>
    </w:p>
    <w:p>
      <w:pPr>
        <w:jc w:val="center"/>
        <w:rPr>
          <w:rFonts w:ascii="宋体" w:hAnsi="宋体"/>
          <w:sz w:val="24"/>
          <w:szCs w:val="24"/>
        </w:rPr>
      </w:pPr>
    </w:p>
    <w:p>
      <w:pPr>
        <w:rPr>
          <w:rFonts w:ascii="宋体" w:hAnsi="宋体"/>
          <w:sz w:val="36"/>
          <w:szCs w:val="36"/>
        </w:rPr>
      </w:pPr>
    </w:p>
    <w:p>
      <w:pPr>
        <w:jc w:val="center"/>
        <w:rPr>
          <w:rFonts w:ascii="宋体" w:hAnsi="宋体"/>
          <w:szCs w:val="21"/>
        </w:rPr>
      </w:pPr>
    </w:p>
    <w:p>
      <w:pPr>
        <w:spacing w:line="900" w:lineRule="exact"/>
        <w:jc w:val="center"/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  <w:t>2021年城区环卫市场化项目</w:t>
      </w:r>
    </w:p>
    <w:p>
      <w:pPr>
        <w:spacing w:line="900" w:lineRule="exact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绩效评价报告</w:t>
      </w:r>
    </w:p>
    <w:p>
      <w:pPr>
        <w:spacing w:line="900" w:lineRule="exact"/>
        <w:jc w:val="center"/>
        <w:rPr>
          <w:rFonts w:ascii="方正小标宋_GBK" w:eastAsia="方正小标宋_GBK"/>
          <w:sz w:val="52"/>
          <w:szCs w:val="52"/>
        </w:rPr>
      </w:pPr>
    </w:p>
    <w:p>
      <w:pPr>
        <w:spacing w:line="900" w:lineRule="exact"/>
        <w:rPr>
          <w:rFonts w:ascii="宋体" w:hAnsi="宋体"/>
          <w:sz w:val="30"/>
          <w:szCs w:val="30"/>
        </w:rPr>
      </w:pPr>
    </w:p>
    <w:p>
      <w:pPr>
        <w:pStyle w:val="2"/>
      </w:pPr>
    </w:p>
    <w:p/>
    <w:p>
      <w:pPr>
        <w:pStyle w:val="2"/>
      </w:pPr>
    </w:p>
    <w:p>
      <w:pPr>
        <w:spacing w:line="900" w:lineRule="exact"/>
        <w:ind w:firstLine="1120" w:firstLineChars="3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评价机构：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曲阳县财政局、</w:t>
      </w:r>
      <w:r>
        <w:rPr>
          <w:rFonts w:hint="eastAsia" w:ascii="仿宋" w:hAnsi="仿宋" w:eastAsia="仿宋" w:cs="仿宋"/>
          <w:sz w:val="32"/>
          <w:szCs w:val="32"/>
        </w:rPr>
        <w:t>河北中盛信达会计师事务所有限公司</w:t>
      </w:r>
    </w:p>
    <w:p>
      <w:pPr>
        <w:spacing w:line="900" w:lineRule="exact"/>
        <w:ind w:firstLine="1120" w:firstLineChars="3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项目名称：2021年城区环卫市场化项目</w:t>
      </w:r>
    </w:p>
    <w:p>
      <w:pPr>
        <w:spacing w:line="900" w:lineRule="exact"/>
        <w:ind w:firstLine="1120" w:firstLineChars="35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项目承担单位：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曲阳县执法局</w:t>
      </w:r>
    </w:p>
    <w:p>
      <w:pPr>
        <w:spacing w:line="900" w:lineRule="exact"/>
        <w:ind w:firstLine="1120" w:firstLineChars="3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报 告 日 期：202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900" w:lineRule="exact"/>
        <w:ind w:firstLine="1120" w:firstLineChars="350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3"/>
        <w:spacing w:line="360" w:lineRule="exact"/>
        <w:ind w:firstLine="3240" w:firstLineChars="900"/>
        <w:rPr>
          <w:rFonts w:ascii="黑体" w:hAnsi="黑体" w:eastAsia="黑体" w:cs="黑体"/>
          <w:sz w:val="36"/>
          <w:szCs w:val="36"/>
        </w:rPr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  <w:sectPr>
          <w:footerReference r:id="rId5" w:type="first"/>
          <w:headerReference r:id="rId3" w:type="default"/>
          <w:footerReference r:id="rId4" w:type="default"/>
          <w:pgSz w:w="11906" w:h="16838"/>
          <w:pgMar w:top="1077" w:right="1304" w:bottom="1077" w:left="1304" w:header="1134" w:footer="68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type="lines" w:linePitch="312" w:charSpace="0"/>
        </w:sectPr>
      </w:pPr>
    </w:p>
    <w:p/>
    <w:p/>
    <w:sdt>
      <w:sdtPr>
        <w:rPr>
          <w:rFonts w:ascii="宋体" w:hAnsi="宋体" w:eastAsia="宋体" w:cs="Times New Roman"/>
          <w:kern w:val="2"/>
          <w:sz w:val="21"/>
          <w:lang w:val="en-US" w:eastAsia="zh-CN" w:bidi="ar-SA"/>
        </w:rPr>
        <w:id w:val="147465289"/>
        <w15:color w:val="DBDBDB"/>
        <w:docPartObj>
          <w:docPartGallery w:val="Table of Contents"/>
          <w:docPartUnique/>
        </w:docPartObj>
      </w:sdtPr>
      <w:sdtEndP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b/>
              <w:bCs/>
              <w:sz w:val="30"/>
              <w:szCs w:val="30"/>
            </w:rPr>
          </w:pPr>
          <w:r>
            <w:rPr>
              <w:rFonts w:ascii="宋体" w:hAnsi="宋体" w:eastAsia="宋体"/>
              <w:b/>
              <w:bCs/>
              <w:sz w:val="30"/>
              <w:szCs w:val="30"/>
            </w:rPr>
            <w:t>目录</w:t>
          </w: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TOC \o "1-1" \h \u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_Toc8967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30"/>
              <w:szCs w:val="30"/>
              <w:lang w:val="en-US" w:eastAsia="zh-CN"/>
            </w:rPr>
            <w:t>一、</w:t>
          </w:r>
          <w:r>
            <w:rPr>
              <w:rFonts w:hint="eastAsia" w:ascii="仿宋" w:hAnsi="仿宋" w:eastAsia="仿宋" w:cs="仿宋"/>
              <w:bCs/>
              <w:sz w:val="30"/>
              <w:szCs w:val="30"/>
            </w:rPr>
            <w:t>项目概况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_Toc8967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1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_Toc19822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30"/>
              <w:szCs w:val="30"/>
              <w:lang w:val="en-US" w:eastAsia="zh-CN"/>
            </w:rPr>
            <w:t>二、</w:t>
          </w:r>
          <w:r>
            <w:rPr>
              <w:rFonts w:hint="eastAsia" w:ascii="仿宋" w:hAnsi="仿宋" w:eastAsia="仿宋" w:cs="仿宋"/>
              <w:bCs/>
              <w:sz w:val="30"/>
              <w:szCs w:val="30"/>
            </w:rPr>
            <w:t>项目实施内容和范围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_Toc19822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1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_Toc1525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30"/>
              <w:szCs w:val="30"/>
              <w:lang w:val="en-US" w:eastAsia="zh-CN"/>
            </w:rPr>
            <w:t>三、</w:t>
          </w:r>
          <w:r>
            <w:rPr>
              <w:rFonts w:hint="eastAsia" w:ascii="仿宋" w:hAnsi="仿宋" w:eastAsia="仿宋" w:cs="仿宋"/>
              <w:bCs/>
              <w:sz w:val="30"/>
              <w:szCs w:val="30"/>
            </w:rPr>
            <w:t>项目资金使用情况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_Toc1525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_Toc21592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30"/>
              <w:szCs w:val="30"/>
              <w:lang w:val="en-US" w:eastAsia="zh-CN"/>
            </w:rPr>
            <w:t>四、</w:t>
          </w:r>
          <w:r>
            <w:rPr>
              <w:rFonts w:hint="eastAsia" w:ascii="仿宋" w:hAnsi="仿宋" w:eastAsia="仿宋" w:cs="仿宋"/>
              <w:bCs/>
              <w:sz w:val="30"/>
              <w:szCs w:val="30"/>
            </w:rPr>
            <w:t>项目</w:t>
          </w:r>
          <w:r>
            <w:rPr>
              <w:rFonts w:hint="eastAsia" w:ascii="仿宋" w:hAnsi="仿宋" w:eastAsia="仿宋" w:cs="仿宋"/>
              <w:bCs/>
              <w:sz w:val="30"/>
              <w:szCs w:val="30"/>
              <w:lang w:val="en-US" w:eastAsia="zh-CN"/>
            </w:rPr>
            <w:t>管理</w:t>
          </w:r>
          <w:r>
            <w:rPr>
              <w:rFonts w:hint="eastAsia" w:ascii="仿宋" w:hAnsi="仿宋" w:eastAsia="仿宋" w:cs="仿宋"/>
              <w:bCs/>
              <w:sz w:val="30"/>
              <w:szCs w:val="30"/>
            </w:rPr>
            <w:t>绩效</w:t>
          </w:r>
          <w:r>
            <w:rPr>
              <w:rFonts w:hint="eastAsia" w:ascii="仿宋" w:hAnsi="仿宋" w:eastAsia="仿宋" w:cs="仿宋"/>
              <w:bCs/>
              <w:sz w:val="30"/>
              <w:szCs w:val="30"/>
              <w:lang w:val="en-US" w:eastAsia="zh-CN"/>
            </w:rPr>
            <w:t>情况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_Toc21592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2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_Toc10581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30"/>
              <w:szCs w:val="30"/>
              <w:lang w:val="en-US" w:eastAsia="zh-CN"/>
            </w:rPr>
            <w:t>五、</w:t>
          </w:r>
          <w:r>
            <w:rPr>
              <w:rFonts w:hint="eastAsia" w:ascii="仿宋" w:hAnsi="仿宋" w:eastAsia="仿宋" w:cs="仿宋"/>
              <w:bCs/>
              <w:sz w:val="30"/>
              <w:szCs w:val="30"/>
            </w:rPr>
            <w:t>绩效评价依据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_Toc10581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9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_Toc2211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  <w:lang w:val="en-US" w:eastAsia="zh-CN"/>
            </w:rPr>
            <w:t>六</w:t>
          </w:r>
          <w:r>
            <w:rPr>
              <w:rFonts w:hint="eastAsia" w:ascii="仿宋" w:hAnsi="仿宋" w:eastAsia="仿宋" w:cs="仿宋"/>
              <w:sz w:val="30"/>
              <w:szCs w:val="30"/>
            </w:rPr>
            <w:t>、项目综合评价结论和评价等级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_Toc2211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9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_Toc30518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30"/>
              <w:szCs w:val="30"/>
              <w:lang w:val="en-US" w:eastAsia="zh-CN"/>
            </w:rPr>
            <w:t>七</w:t>
          </w:r>
          <w:r>
            <w:rPr>
              <w:rFonts w:hint="eastAsia" w:ascii="仿宋" w:hAnsi="仿宋" w:eastAsia="仿宋" w:cs="仿宋"/>
              <w:bCs/>
              <w:sz w:val="30"/>
              <w:szCs w:val="30"/>
            </w:rPr>
            <w:t>、存在的问题及改进措施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_Toc30518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9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</w:p>
        <w:p>
          <w:pPr>
            <w:pStyle w:val="32"/>
            <w:tabs>
              <w:tab w:val="right" w:leader="dot" w:pos="9298"/>
            </w:tabs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HYPERLINK \l _Toc23781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kern w:val="2"/>
              <w:sz w:val="30"/>
              <w:szCs w:val="30"/>
            </w:rPr>
            <w:t>附件：绩效评价指标体系及评分情况表</w:t>
          </w:r>
          <w:r>
            <w:rPr>
              <w:rFonts w:hint="eastAsia" w:ascii="仿宋" w:hAnsi="仿宋" w:eastAsia="仿宋" w:cs="仿宋"/>
              <w:sz w:val="30"/>
              <w:szCs w:val="30"/>
            </w:rPr>
            <w:tab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begin"/>
          </w:r>
          <w:r>
            <w:rPr>
              <w:rFonts w:hint="eastAsia" w:ascii="仿宋" w:hAnsi="仿宋" w:eastAsia="仿宋" w:cs="仿宋"/>
              <w:sz w:val="30"/>
              <w:szCs w:val="30"/>
            </w:rPr>
            <w:instrText xml:space="preserve"> PAGEREF _Toc23781 \h </w:instrTex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separate"/>
          </w:r>
          <w:r>
            <w:rPr>
              <w:rFonts w:hint="eastAsia" w:ascii="仿宋" w:hAnsi="仿宋" w:eastAsia="仿宋" w:cs="仿宋"/>
              <w:sz w:val="30"/>
              <w:szCs w:val="30"/>
            </w:rPr>
            <w:t>10</w:t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  <w:p>
          <w:pPr>
            <w:rPr>
              <w:rFonts w:hint="eastAsia" w:ascii="仿宋" w:hAnsi="仿宋" w:eastAsia="仿宋" w:cs="仿宋"/>
              <w:sz w:val="30"/>
              <w:szCs w:val="30"/>
            </w:rPr>
          </w:pPr>
          <w:r>
            <w:rPr>
              <w:rFonts w:hint="eastAsia" w:ascii="仿宋" w:hAnsi="仿宋" w:eastAsia="仿宋" w:cs="仿宋"/>
              <w:sz w:val="30"/>
              <w:szCs w:val="30"/>
            </w:rPr>
            <w:fldChar w:fldCharType="end"/>
          </w:r>
        </w:p>
      </w:sdtContent>
    </w:sdt>
    <w:p>
      <w:pPr>
        <w:pStyle w:val="2"/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pStyle w:val="2"/>
        <w:rPr>
          <w:rFonts w:hint="eastAsia" w:ascii="仿宋" w:hAnsi="仿宋" w:eastAsia="仿宋" w:cs="仿宋"/>
          <w:sz w:val="30"/>
          <w:szCs w:val="30"/>
        </w:rPr>
      </w:pPr>
    </w:p>
    <w:p>
      <w:pPr>
        <w:sectPr>
          <w:footerReference r:id="rId6" w:type="default"/>
          <w:pgSz w:w="11906" w:h="16838"/>
          <w:pgMar w:top="1077" w:right="1304" w:bottom="1077" w:left="1304" w:header="1134" w:footer="68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type="lines" w:linePitch="312" w:charSpace="0"/>
        </w:sectPr>
      </w:pPr>
    </w:p>
    <w:p>
      <w:pPr>
        <w:pStyle w:val="2"/>
      </w:pPr>
    </w:p>
    <w:p>
      <w:pPr>
        <w:spacing w:line="560" w:lineRule="exact"/>
        <w:jc w:val="center"/>
        <w:outlineLvl w:val="0"/>
        <w:rPr>
          <w:rFonts w:hint="eastAsia" w:ascii="仿宋" w:hAnsi="仿宋" w:eastAsia="仿宋" w:cs="仿宋"/>
          <w:b/>
          <w:bCs w:val="0"/>
          <w:sz w:val="36"/>
          <w:szCs w:val="36"/>
        </w:rPr>
      </w:pPr>
      <w:r>
        <w:rPr>
          <w:rFonts w:hint="eastAsia" w:ascii="仿宋" w:hAnsi="仿宋" w:eastAsia="仿宋" w:cs="仿宋"/>
          <w:b/>
          <w:bCs w:val="0"/>
          <w:sz w:val="36"/>
          <w:szCs w:val="36"/>
        </w:rPr>
        <w:t>2021年城区环卫市场化项目经费</w:t>
      </w:r>
    </w:p>
    <w:p>
      <w:pPr>
        <w:spacing w:after="156" w:line="560" w:lineRule="exact"/>
        <w:ind w:left="-359" w:leftChars="-171"/>
        <w:jc w:val="center"/>
        <w:outlineLvl w:val="0"/>
        <w:rPr>
          <w:rFonts w:hint="eastAsia" w:ascii="仿宋" w:hAnsi="仿宋" w:eastAsia="仿宋" w:cs="仿宋"/>
          <w:b/>
          <w:bCs w:val="0"/>
          <w:sz w:val="36"/>
          <w:szCs w:val="36"/>
        </w:rPr>
      </w:pPr>
      <w:bookmarkStart w:id="0" w:name="_Toc2651"/>
      <w:bookmarkStart w:id="1" w:name="_Toc12514"/>
      <w:r>
        <w:rPr>
          <w:rFonts w:hint="eastAsia" w:ascii="仿宋" w:hAnsi="仿宋" w:eastAsia="仿宋" w:cs="仿宋"/>
          <w:b/>
          <w:bCs w:val="0"/>
          <w:sz w:val="36"/>
          <w:szCs w:val="36"/>
        </w:rPr>
        <w:t>绩效评价报告</w:t>
      </w:r>
      <w:bookmarkEnd w:id="0"/>
      <w:bookmarkEnd w:id="1"/>
    </w:p>
    <w:p>
      <w:pPr>
        <w:spacing w:afterLines="50" w:line="560" w:lineRule="exact"/>
        <w:ind w:firstLine="1239" w:firstLineChars="590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根据《曲阳县财政局关于印发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2022年县级财政重点绩效评价计划的通知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》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曲财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[2022] 54号),</w:t>
      </w:r>
      <w:r>
        <w:rPr>
          <w:rFonts w:hint="eastAsia" w:ascii="仿宋" w:hAnsi="仿宋" w:eastAsia="仿宋" w:cs="仿宋"/>
          <w:sz w:val="30"/>
          <w:szCs w:val="30"/>
        </w:rPr>
        <w:t>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曲阳县执法局</w:t>
      </w:r>
      <w:r>
        <w:rPr>
          <w:rFonts w:hint="eastAsia" w:ascii="仿宋" w:hAnsi="仿宋" w:eastAsia="仿宋" w:cs="仿宋"/>
          <w:sz w:val="30"/>
          <w:szCs w:val="30"/>
        </w:rPr>
        <w:t>承担的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曲阳县</w:t>
      </w:r>
      <w:r>
        <w:rPr>
          <w:rFonts w:hint="eastAsia" w:ascii="仿宋" w:hAnsi="仿宋" w:eastAsia="仿宋" w:cs="仿宋"/>
          <w:sz w:val="30"/>
          <w:szCs w:val="30"/>
        </w:rPr>
        <w:t>2021年城区环卫市场化项目（以下简称“该项目”）的具体实施情况进行了绩效评价。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曲阳县执法局</w:t>
      </w:r>
      <w:r>
        <w:rPr>
          <w:rFonts w:hint="eastAsia" w:ascii="仿宋" w:hAnsi="仿宋" w:eastAsia="仿宋" w:cs="仿宋"/>
          <w:sz w:val="30"/>
          <w:szCs w:val="30"/>
        </w:rPr>
        <w:t>和相关单位提供与绩效评价有关的项目资料，并对其真实性、完整性、合法性负责，我们的责任是根据项目相关资料，对该项目的项目投入、项目过程管理、项目产出、项目效益四个方面和执行国家法律、法规的情况发表评价意见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在评价工作中，我们结合该项目的实际情况制定了绩效评价指标体系，实施了包括资料查看、现场检查、问卷调查等我们认为必要的评价手段。绩效评价工作现已完成，具体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评价情况汇总如下：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2" w:name="_Toc8967"/>
      <w:bookmarkStart w:id="3" w:name="_Toc30480"/>
      <w:bookmarkStart w:id="4" w:name="_Toc83630317"/>
      <w:bookmarkStart w:id="5" w:name="_Toc83631027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项目概况</w:t>
      </w:r>
      <w:bookmarkEnd w:id="2"/>
      <w:bookmarkEnd w:id="3"/>
      <w:bookmarkEnd w:id="4"/>
      <w:bookmarkEnd w:id="5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按照全县清扫保洁任务一体化承担、环卫作业一体化运行、机关单位一体化服务、城乡环卫一体化衔接总体思路，将城区主次干道、城中村和城郊村、穿城公路的清扫保洁，实行统一购买服务；将清扫、保洁、收集、运输、处理各环节进行合理衔接，实行一家管理和一把扫帚扫到底；同时对行政机关、事业单位、居民小区（所有小区能进则进，不能进的双方协商决定），实施无偿服务，堵住生活垃圾源头。积极承接农村环卫作业和垃圾处理，有效杜绝源头污染，实现清扫、保洁、拾捡、喷洒、清洗、收运、处理各环节的一体化作业和设备资源合理化配置，优化环卫作业流程，提升环卫服务业质量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6" w:name="_Toc22022"/>
      <w:bookmarkStart w:id="7" w:name="_Toc19822"/>
      <w:bookmarkStart w:id="8" w:name="_Toc25381"/>
      <w:bookmarkStart w:id="9" w:name="_Toc83630318"/>
      <w:bookmarkStart w:id="10" w:name="_Toc22961"/>
      <w:bookmarkStart w:id="11" w:name="_Toc83631028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项目实施内容和范围</w:t>
      </w:r>
      <w:bookmarkEnd w:id="6"/>
      <w:bookmarkEnd w:id="7"/>
      <w:bookmarkEnd w:id="8"/>
      <w:bookmarkEnd w:id="9"/>
      <w:bookmarkEnd w:id="10"/>
      <w:bookmarkEnd w:id="11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bookmarkStart w:id="12" w:name="_Toc30654"/>
      <w:bookmarkStart w:id="13" w:name="_Toc1620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该</w:t>
      </w:r>
      <w:r>
        <w:rPr>
          <w:rFonts w:hint="eastAsia" w:ascii="仿宋" w:hAnsi="仿宋" w:eastAsia="仿宋" w:cs="仿宋"/>
          <w:sz w:val="30"/>
          <w:szCs w:val="30"/>
        </w:rPr>
        <w:t>项目的区域为县城建成区四环以内及曲承线、嘉禾山路42条道路241.79万平方米，清扫保洁、垃圾收集转运、护栏保洁、8座公厕保洁、除尘降霾、智慧环卫的建设与运营等工作和17个城中村的道路清扫保洁及垃圾收集转运工作。</w:t>
      </w:r>
    </w:p>
    <w:bookmarkEnd w:id="12"/>
    <w:bookmarkEnd w:id="13"/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14" w:name="_Toc8527"/>
      <w:bookmarkStart w:id="15" w:name="_Toc24391"/>
      <w:bookmarkStart w:id="16" w:name="_Toc1525"/>
      <w:bookmarkStart w:id="17" w:name="_Toc83630319"/>
      <w:bookmarkStart w:id="18" w:name="_Toc83631029"/>
      <w:bookmarkStart w:id="19" w:name="_Toc17013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项目资金使用情况</w:t>
      </w:r>
      <w:bookmarkEnd w:id="14"/>
      <w:bookmarkEnd w:id="15"/>
      <w:bookmarkEnd w:id="16"/>
      <w:bookmarkEnd w:id="17"/>
      <w:bookmarkEnd w:id="18"/>
      <w:bookmarkEnd w:id="19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8" w:firstLineChars="296"/>
        <w:outlineLvl w:val="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共安排该项目经费3002.68</w:t>
      </w:r>
      <w:r>
        <w:rPr>
          <w:rFonts w:hint="eastAsia" w:ascii="仿宋" w:hAnsi="仿宋" w:eastAsia="仿宋" w:cs="仿宋"/>
          <w:sz w:val="30"/>
          <w:szCs w:val="30"/>
        </w:rPr>
        <w:t>万元，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均为一般公共预算资金</w:t>
      </w:r>
      <w:r>
        <w:rPr>
          <w:rFonts w:hint="eastAsia" w:ascii="仿宋" w:hAnsi="仿宋" w:eastAsia="仿宋" w:cs="仿宋"/>
          <w:sz w:val="30"/>
          <w:szCs w:val="30"/>
        </w:rPr>
        <w:t>。202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共拨付该项目经费3002.68</w:t>
      </w:r>
      <w:r>
        <w:rPr>
          <w:rFonts w:hint="eastAsia" w:ascii="仿宋" w:hAnsi="仿宋" w:eastAsia="仿宋" w:cs="仿宋"/>
          <w:sz w:val="30"/>
          <w:szCs w:val="30"/>
        </w:rPr>
        <w:t>万元，结余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0.00</w:t>
      </w:r>
      <w:r>
        <w:rPr>
          <w:rFonts w:hint="eastAsia" w:ascii="仿宋" w:hAnsi="仿宋" w:eastAsia="仿宋" w:cs="仿宋"/>
          <w:sz w:val="30"/>
          <w:szCs w:val="30"/>
        </w:rPr>
        <w:t>万元。</w:t>
      </w:r>
      <w:bookmarkStart w:id="20" w:name="_Toc83630320"/>
      <w:bookmarkStart w:id="21" w:name="_Toc14351"/>
      <w:bookmarkStart w:id="22" w:name="_Toc83631030"/>
      <w:bookmarkStart w:id="23" w:name="_Toc21403"/>
      <w:bookmarkStart w:id="24" w:name="_Toc18734"/>
      <w:bookmarkStart w:id="25" w:name="_Toc21592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outlineLvl w:val="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项目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管理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绩效</w:t>
      </w:r>
      <w:bookmarkEnd w:id="20"/>
      <w:bookmarkEnd w:id="21"/>
      <w:bookmarkEnd w:id="22"/>
      <w:bookmarkEnd w:id="23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情况</w:t>
      </w:r>
      <w:bookmarkEnd w:id="24"/>
      <w:bookmarkEnd w:id="25"/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bookmarkStart w:id="26" w:name="_Toc12058"/>
      <w:bookmarkStart w:id="27" w:name="_Toc83631040"/>
      <w:bookmarkStart w:id="28" w:name="_Toc83630330"/>
      <w:bookmarkStart w:id="29" w:name="_Toc12908"/>
      <w:bookmarkStart w:id="30" w:name="_Toc32445"/>
      <w:bookmarkStart w:id="31" w:name="_Toc501368359"/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（一）项目立项（10分）</w:t>
      </w:r>
      <w:bookmarkEnd w:id="26"/>
      <w:bookmarkEnd w:id="27"/>
      <w:bookmarkEnd w:id="28"/>
      <w:bookmarkEnd w:id="29"/>
      <w:bookmarkEnd w:id="30"/>
      <w:bookmarkEnd w:id="31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一级指标主要反映项目立项是否符合国家法规、政策规定，符合社会经济发展战略规划，项目决策是否满足政府职能，用于调节经济、市场监管、提供公共产品和服务，绩效目标的制定是否合理，绩效指标的制定是否清晰、细化、量化、可衡量。</w:t>
      </w:r>
    </w:p>
    <w:tbl>
      <w:tblPr>
        <w:tblStyle w:val="16"/>
        <w:tblW w:w="4996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02"/>
        <w:gridCol w:w="2223"/>
        <w:gridCol w:w="2393"/>
        <w:gridCol w:w="1506"/>
        <w:gridCol w:w="133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exact"/>
          <w:jc w:val="center"/>
        </w:trPr>
        <w:tc>
          <w:tcPr>
            <w:tcW w:w="11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分数权重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exact"/>
          <w:jc w:val="center"/>
        </w:trPr>
        <w:tc>
          <w:tcPr>
            <w:tcW w:w="11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项目立项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(10分)</w:t>
            </w:r>
          </w:p>
        </w:tc>
        <w:tc>
          <w:tcPr>
            <w:tcW w:w="11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决策机制（5分）</w:t>
            </w: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项目设立的依据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1" w:hRule="exact"/>
          <w:jc w:val="center"/>
        </w:trPr>
        <w:tc>
          <w:tcPr>
            <w:tcW w:w="11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项目决策必要性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1" w:hRule="exact"/>
          <w:jc w:val="center"/>
        </w:trPr>
        <w:tc>
          <w:tcPr>
            <w:tcW w:w="11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绩效目标（5分）</w:t>
            </w: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合理性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exact"/>
          <w:jc w:val="center"/>
        </w:trPr>
        <w:tc>
          <w:tcPr>
            <w:tcW w:w="114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1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明确性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exact"/>
          <w:jc w:val="center"/>
        </w:trPr>
        <w:tc>
          <w:tcPr>
            <w:tcW w:w="352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合  计</w:t>
            </w:r>
          </w:p>
        </w:tc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10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1.决策机制（5分）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该指标包含2个三级指标，主要评价项目立项是否符合国家法规、政策规定，符合社会经济发展战略规划；项目决策是否满足政府职能，用于调节经济、市场监管、提供公共产品和服务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项目设立的依据（3分）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该指标主要评价该项目立项是否符合国家法规、政策规定，符合社会经济发展战略规划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" w:hAnsi="仿宋" w:eastAsia="仿宋" w:cs="仿宋"/>
          <w:sz w:val="30"/>
          <w:szCs w:val="30"/>
        </w:rPr>
      </w:pPr>
      <w:bookmarkStart w:id="32" w:name="_Toc83630331"/>
      <w:bookmarkStart w:id="33" w:name="_Toc83631041"/>
      <w:bookmarkStart w:id="34" w:name="_Toc25534"/>
      <w:bookmarkStart w:id="35" w:name="_Toc83630427"/>
      <w:bookmarkStart w:id="36" w:name="_Toc21059"/>
      <w:r>
        <w:rPr>
          <w:rFonts w:hint="eastAsia" w:ascii="仿宋" w:hAnsi="仿宋" w:eastAsia="仿宋" w:cs="仿宋"/>
          <w:sz w:val="30"/>
          <w:szCs w:val="30"/>
        </w:rPr>
        <w:t>经检查，该项目设立的主要依据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为</w:t>
      </w:r>
      <w:r>
        <w:rPr>
          <w:rFonts w:hint="eastAsia" w:ascii="仿宋" w:hAnsi="仿宋" w:eastAsia="仿宋" w:cs="仿宋"/>
          <w:sz w:val="30"/>
          <w:szCs w:val="30"/>
        </w:rPr>
        <w:t>《城市市容和环境卫生管理条例》（国务院令676号）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sz w:val="30"/>
          <w:szCs w:val="30"/>
        </w:rPr>
        <w:t>《河北省城市市容和环境卫生条例》</w:t>
      </w:r>
      <w:bookmarkEnd w:id="32"/>
      <w:bookmarkEnd w:id="33"/>
      <w:bookmarkEnd w:id="34"/>
      <w:bookmarkEnd w:id="35"/>
      <w:bookmarkEnd w:id="36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等。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我们认为该项目设定依据充分，目标设定明确、合理、科学、可行，符合国家法规、政策规定，符合社会经济发展战略规划。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该指标实际得3分。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（2）项目决策必要性（2分）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该指标主要评价项目内容设置与国家及地方政策、规划、社会需求等相关内容相符程度，决策过程是否规范，用以反映和考核项目决策的必要性。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196"/>
        <w:outlineLvl w:val="0"/>
        <w:rPr>
          <w:rFonts w:hint="eastAsia" w:ascii="仿宋" w:hAnsi="仿宋" w:eastAsia="仿宋" w:cs="仿宋"/>
          <w:sz w:val="30"/>
          <w:szCs w:val="30"/>
          <w:lang w:eastAsia="zh-CN"/>
        </w:rPr>
      </w:pPr>
      <w:bookmarkStart w:id="37" w:name="_Toc24207"/>
      <w:bookmarkStart w:id="38" w:name="_Toc83631042"/>
      <w:bookmarkStart w:id="39" w:name="_Toc83630332"/>
      <w:bookmarkStart w:id="40" w:name="_Toc83630428"/>
      <w:bookmarkStart w:id="41" w:name="_Toc32149"/>
      <w:r>
        <w:rPr>
          <w:rFonts w:hint="eastAsia" w:ascii="仿宋" w:hAnsi="仿宋" w:eastAsia="仿宋" w:cs="仿宋"/>
          <w:sz w:val="30"/>
          <w:szCs w:val="30"/>
        </w:rPr>
        <w:t>项目的实施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有利于</w:t>
      </w:r>
      <w:r>
        <w:rPr>
          <w:rFonts w:hint="eastAsia" w:ascii="仿宋" w:hAnsi="仿宋" w:eastAsia="仿宋" w:cs="仿宋"/>
          <w:sz w:val="30"/>
          <w:szCs w:val="30"/>
        </w:rPr>
        <w:t>加强城市市容和环境卫生管理，创造整洁、优美、文明、和谐的城市环境，提高居民生活质量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  <w:bookmarkEnd w:id="37"/>
      <w:bookmarkEnd w:id="38"/>
      <w:bookmarkEnd w:id="39"/>
      <w:bookmarkEnd w:id="40"/>
      <w:bookmarkEnd w:id="41"/>
      <w:bookmarkStart w:id="42" w:name="_Toc5914"/>
      <w:bookmarkStart w:id="43" w:name="_Toc83630333"/>
      <w:bookmarkStart w:id="44" w:name="_Toc26878"/>
      <w:bookmarkStart w:id="45" w:name="_Toc83631043"/>
      <w:bookmarkStart w:id="46" w:name="_Toc83630429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196"/>
        <w:outlineLvl w:val="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为此我们认为该项目决策的评价结论为必要。</w:t>
      </w:r>
      <w:bookmarkEnd w:id="42"/>
      <w:bookmarkEnd w:id="43"/>
      <w:bookmarkEnd w:id="44"/>
      <w:bookmarkEnd w:id="45"/>
      <w:bookmarkEnd w:id="46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该指标实际得2分。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2.绩效目标（5分）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该指标共包含2个三级指标，主要评价项目绩效目标依据是否充分，项目绩效指标是否清晰、细化、量化、可衡量。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（1）合理性（3分）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该指标主要评价项目绩效目标依据是否充分，与客观实际相符的情况。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经检查，该项目绩效目标是依据《城市市容和环境卫生管理条例》（国务院令676号）；《河北省城市市容和环境卫生条例》等制定的，绩效目标依据较充分。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该指标实际得3分。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（2）明确性（2分）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该指标主要评价项目绩效指标是否清晰、细化、量化、可衡量，及其与当年工作任务的匹配情况。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经检查，该项目根据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曲阳县</w:t>
      </w:r>
      <w:r>
        <w:rPr>
          <w:rFonts w:hint="eastAsia" w:ascii="仿宋" w:hAnsi="仿宋" w:eastAsia="仿宋" w:cs="仿宋"/>
          <w:sz w:val="30"/>
          <w:szCs w:val="30"/>
        </w:rPr>
        <w:t>财政局下发的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《关于开展202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年度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曲阳县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重点资金使用情况绩效评价工作的通知》</w:t>
      </w:r>
      <w:r>
        <w:rPr>
          <w:rFonts w:hint="eastAsia" w:ascii="仿宋" w:hAnsi="仿宋" w:eastAsia="仿宋" w:cs="仿宋"/>
          <w:sz w:val="30"/>
          <w:szCs w:val="30"/>
        </w:rPr>
        <w:t>，在项目绩效评价指标体系表中制定了项目产出指标和项目效益指标，绩效指标清晰、细化、量化、可衡量且与当年工作任务匹配。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该指标实际得2分。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bookmarkStart w:id="47" w:name="_Toc83630334"/>
      <w:bookmarkStart w:id="48" w:name="_Toc83631044"/>
      <w:bookmarkStart w:id="49" w:name="_Toc21302"/>
      <w:bookmarkStart w:id="50" w:name="_Toc8907"/>
      <w:bookmarkStart w:id="51" w:name="_Toc27328"/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（二）项目过程管理（40分）</w:t>
      </w:r>
      <w:bookmarkEnd w:id="47"/>
      <w:bookmarkEnd w:id="48"/>
      <w:bookmarkEnd w:id="49"/>
      <w:bookmarkEnd w:id="50"/>
      <w:bookmarkEnd w:id="51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一级指标包含项目财务管理和项目业务管理2个二级指标，主要反映该项目在实施过程中，财务管理是否规范、资金使用是否合规、项目业务管理是否按照相关规定执行，以保障财政资金的安全性和项目顺利实施。</w:t>
      </w:r>
    </w:p>
    <w:tbl>
      <w:tblPr>
        <w:tblStyle w:val="16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79"/>
        <w:gridCol w:w="1853"/>
        <w:gridCol w:w="2834"/>
        <w:gridCol w:w="1511"/>
        <w:gridCol w:w="1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7" w:hRule="exact"/>
          <w:jc w:val="center"/>
        </w:trPr>
        <w:tc>
          <w:tcPr>
            <w:tcW w:w="1076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959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466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782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分数权重</w:t>
            </w:r>
          </w:p>
        </w:tc>
        <w:tc>
          <w:tcPr>
            <w:tcW w:w="715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3" w:hRule="exact"/>
          <w:jc w:val="center"/>
        </w:trPr>
        <w:tc>
          <w:tcPr>
            <w:tcW w:w="1076" w:type="pct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项目过程管理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（40分）</w:t>
            </w:r>
          </w:p>
        </w:tc>
        <w:tc>
          <w:tcPr>
            <w:tcW w:w="959" w:type="pct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项目财务管理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（20分）</w:t>
            </w:r>
          </w:p>
        </w:tc>
        <w:tc>
          <w:tcPr>
            <w:tcW w:w="1466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专项资金实际使用率</w:t>
            </w:r>
          </w:p>
        </w:tc>
        <w:tc>
          <w:tcPr>
            <w:tcW w:w="782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15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exact"/>
          <w:jc w:val="center"/>
        </w:trPr>
        <w:tc>
          <w:tcPr>
            <w:tcW w:w="1076" w:type="pct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59" w:type="pct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会计核算</w:t>
            </w:r>
          </w:p>
        </w:tc>
        <w:tc>
          <w:tcPr>
            <w:tcW w:w="782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15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1" w:hRule="exact"/>
          <w:jc w:val="center"/>
        </w:trPr>
        <w:tc>
          <w:tcPr>
            <w:tcW w:w="1076" w:type="pct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59" w:type="pct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专项资金支出合规性</w:t>
            </w:r>
          </w:p>
        </w:tc>
        <w:tc>
          <w:tcPr>
            <w:tcW w:w="782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15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7" w:hRule="exact"/>
          <w:jc w:val="center"/>
        </w:trPr>
        <w:tc>
          <w:tcPr>
            <w:tcW w:w="1076" w:type="pct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59" w:type="pct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专项资金发放及时性</w:t>
            </w:r>
          </w:p>
        </w:tc>
        <w:tc>
          <w:tcPr>
            <w:tcW w:w="782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715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exact"/>
          <w:jc w:val="center"/>
        </w:trPr>
        <w:tc>
          <w:tcPr>
            <w:tcW w:w="1076" w:type="pct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59" w:type="pct"/>
            <w:vMerge w:val="restar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项目业务管理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（20分）</w:t>
            </w:r>
          </w:p>
        </w:tc>
        <w:tc>
          <w:tcPr>
            <w:tcW w:w="1466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管理制度是否健全</w:t>
            </w:r>
          </w:p>
        </w:tc>
        <w:tc>
          <w:tcPr>
            <w:tcW w:w="782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15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7" w:hRule="exact"/>
          <w:jc w:val="center"/>
        </w:trPr>
        <w:tc>
          <w:tcPr>
            <w:tcW w:w="1076" w:type="pct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59" w:type="pct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监督检查</w:t>
            </w:r>
          </w:p>
        </w:tc>
        <w:tc>
          <w:tcPr>
            <w:tcW w:w="782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15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1" w:hRule="exact"/>
          <w:jc w:val="center"/>
        </w:trPr>
        <w:tc>
          <w:tcPr>
            <w:tcW w:w="1076" w:type="pct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59" w:type="pct"/>
            <w:vMerge w:val="continue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项目档案资料完整性</w:t>
            </w:r>
          </w:p>
        </w:tc>
        <w:tc>
          <w:tcPr>
            <w:tcW w:w="782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15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exact"/>
          <w:jc w:val="center"/>
        </w:trPr>
        <w:tc>
          <w:tcPr>
            <w:tcW w:w="3502" w:type="pct"/>
            <w:gridSpan w:val="3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合  计</w:t>
            </w:r>
          </w:p>
        </w:tc>
        <w:tc>
          <w:tcPr>
            <w:tcW w:w="782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715" w:type="pct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40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1.项目财务管理（20分）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（1）专项资金实际使用率（5分）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该指标主要评价实际使用专项资金数额占专项资金实际拨付额比例。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经检查，202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该项目资金实际拨付3002.68万元</w:t>
      </w:r>
      <w:r>
        <w:rPr>
          <w:rFonts w:hint="eastAsia" w:ascii="仿宋" w:hAnsi="仿宋" w:eastAsia="仿宋" w:cs="仿宋"/>
          <w:sz w:val="30"/>
          <w:szCs w:val="30"/>
        </w:rPr>
        <w:t>，202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年度该项目专项资金已使用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3002.68</w:t>
      </w:r>
      <w:r>
        <w:rPr>
          <w:rFonts w:hint="eastAsia" w:ascii="仿宋" w:hAnsi="仿宋" w:eastAsia="仿宋" w:cs="仿宋"/>
          <w:sz w:val="30"/>
          <w:szCs w:val="30"/>
        </w:rPr>
        <w:t>万元，实际使用专项资金数额占专项资金拨付额的比例为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100</w:t>
      </w:r>
      <w:r>
        <w:rPr>
          <w:rFonts w:hint="eastAsia" w:ascii="仿宋" w:hAnsi="仿宋" w:eastAsia="仿宋" w:cs="仿宋"/>
          <w:sz w:val="30"/>
          <w:szCs w:val="30"/>
        </w:rPr>
        <w:t>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该项指标实际得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（2）会计核算（5分）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该指标主要评价会计核算是否严格遵守有关法规及制度规定，会计核算是否规范，专项资金支付申报、审批流程是否完善、支付依据是否合法。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该项目绩效专项资金为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3002.68</w:t>
      </w:r>
      <w:r>
        <w:rPr>
          <w:rFonts w:hint="eastAsia" w:ascii="仿宋" w:hAnsi="仿宋" w:eastAsia="仿宋" w:cs="仿宋"/>
          <w:sz w:val="30"/>
          <w:szCs w:val="30"/>
        </w:rPr>
        <w:t>万元，账面记载专项资金支出金额为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3002.68</w:t>
      </w:r>
      <w:r>
        <w:rPr>
          <w:rFonts w:hint="eastAsia" w:ascii="仿宋" w:hAnsi="仿宋" w:eastAsia="仿宋" w:cs="仿宋"/>
          <w:sz w:val="30"/>
          <w:szCs w:val="30"/>
        </w:rPr>
        <w:t>万元。 经检查，会计核算严格遵守《政府会计制度》的相关规定，科目使用正确，核算规范；各项补贴资金的支付申报、审批流程完善，支付依据充分合法。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该项指标实际得5分。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（3）专项资金支出合规性（5分）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该指标主要评价专项资金是否严格按照资金管理办法的用途支出，是否有截留、挤占、挪用等违规行为。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经检查，该项目资金严格按照《专项资金管理办法》的规定支出，专款专用，不存在截留、挤占、挪用等违规行为。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该指标实际得5分。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（4）专项资金发放及时性（5分）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该指标主要评价专项资金发放是否及时，准确。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经检查，该专项资金均按照申请金额予以拨付，支付及时、金额准确。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该项指标实际得5分。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2.项目业务管理（20分）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（1）管理制度是否健全（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该指标主要评价项目制定的管理制度和措施是否全面、明确、合理。能否保障项目顺利实施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经检查，单位制定了《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曲阳县城区环卫市场化监督考核管理办法</w:t>
      </w:r>
      <w:r>
        <w:rPr>
          <w:rFonts w:hint="eastAsia" w:ascii="仿宋" w:hAnsi="仿宋" w:eastAsia="仿宋" w:cs="仿宋"/>
          <w:sz w:val="30"/>
          <w:szCs w:val="30"/>
        </w:rPr>
        <w:t>》等相关制度，保障了该项目的顺利实施。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该指标实际得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（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）监督检查（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该指标主要评价该项目是否展开了监督检查工作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经检查，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曲阳县执法局</w:t>
      </w:r>
      <w:r>
        <w:rPr>
          <w:rFonts w:hint="eastAsia" w:ascii="仿宋" w:hAnsi="仿宋" w:eastAsia="仿宋" w:cs="仿宋"/>
          <w:sz w:val="30"/>
          <w:szCs w:val="30"/>
        </w:rPr>
        <w:t>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环卫公司的作业质量</w:t>
      </w:r>
      <w:r>
        <w:rPr>
          <w:rFonts w:hint="eastAsia" w:ascii="仿宋" w:hAnsi="仿宋" w:eastAsia="仿宋" w:cs="仿宋"/>
          <w:sz w:val="30"/>
          <w:szCs w:val="30"/>
        </w:rPr>
        <w:t>进行了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抽查、考核的</w:t>
      </w:r>
      <w:r>
        <w:rPr>
          <w:rFonts w:hint="eastAsia" w:ascii="仿宋" w:hAnsi="仿宋" w:eastAsia="仿宋" w:cs="仿宋"/>
          <w:sz w:val="30"/>
          <w:szCs w:val="30"/>
        </w:rPr>
        <w:t>工作。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该指标实际得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分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）项目档案资料完整性（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该指标主要评价项目项目档案资料是否齐全、完备，保存是否完整。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经检查，该项目档案资料比较齐全、完备，保存完整。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该指标实际得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bookmarkStart w:id="52" w:name="_Toc21112"/>
      <w:bookmarkStart w:id="53" w:name="_Toc30993"/>
      <w:bookmarkStart w:id="54" w:name="_Toc6507"/>
      <w:bookmarkStart w:id="55" w:name="_Toc83630335"/>
      <w:bookmarkStart w:id="56" w:name="_Toc83631045"/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（三）项目产出（30分）</w:t>
      </w:r>
      <w:bookmarkEnd w:id="52"/>
      <w:bookmarkEnd w:id="53"/>
      <w:bookmarkEnd w:id="54"/>
      <w:bookmarkEnd w:id="55"/>
      <w:bookmarkEnd w:id="56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     </w:t>
      </w:r>
      <w:r>
        <w:rPr>
          <w:rFonts w:hint="eastAsia" w:ascii="仿宋" w:hAnsi="仿宋" w:eastAsia="仿宋" w:cs="仿宋"/>
          <w:sz w:val="30"/>
          <w:szCs w:val="30"/>
        </w:rPr>
        <w:t>该一级指标包含2个二级指标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个三级指标，主要为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个数量指标：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清扫完成率、道路清扫单位成本；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个质量指标：垃圾清运完成率、清扫保洁达标率是</w:t>
      </w:r>
      <w:r>
        <w:rPr>
          <w:rFonts w:hint="eastAsia" w:ascii="仿宋" w:hAnsi="仿宋" w:eastAsia="仿宋" w:cs="仿宋"/>
          <w:sz w:val="30"/>
          <w:szCs w:val="30"/>
        </w:rPr>
        <w:t>否达到绩效目标的预期指标值。</w:t>
      </w:r>
    </w:p>
    <w:tbl>
      <w:tblPr>
        <w:tblStyle w:val="16"/>
        <w:tblW w:w="4993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67"/>
        <w:gridCol w:w="1448"/>
        <w:gridCol w:w="3992"/>
        <w:gridCol w:w="1462"/>
        <w:gridCol w:w="108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9" w:hRule="exact"/>
          <w:jc w:val="center"/>
        </w:trPr>
        <w:tc>
          <w:tcPr>
            <w:tcW w:w="8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7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分数权重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9" w:hRule="exact"/>
          <w:jc w:val="center"/>
        </w:trPr>
        <w:tc>
          <w:tcPr>
            <w:tcW w:w="86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项目产出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（30分）</w:t>
            </w:r>
          </w:p>
        </w:tc>
        <w:tc>
          <w:tcPr>
            <w:tcW w:w="75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清扫完成率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9" w:hRule="exact"/>
          <w:jc w:val="center"/>
        </w:trPr>
        <w:tc>
          <w:tcPr>
            <w:tcW w:w="86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道路清扫单位成本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3" w:hRule="exact"/>
          <w:jc w:val="center"/>
        </w:trPr>
        <w:tc>
          <w:tcPr>
            <w:tcW w:w="86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质量指标</w:t>
            </w:r>
          </w:p>
        </w:tc>
        <w:tc>
          <w:tcPr>
            <w:tcW w:w="2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垃圾清运完成率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5" w:hRule="exact"/>
          <w:jc w:val="center"/>
        </w:trPr>
        <w:tc>
          <w:tcPr>
            <w:tcW w:w="86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75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0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清扫保洁达标率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368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合  计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1、清扫完成率（5分）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环卫公司是否按照约定完成清扫保洁工作。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根据曲阳县执法局提供的相关资料显示，环卫公司每月均已按约定完成清扫保洁工作，清扫完成率100%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该项指标实际得5分。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、道路清扫单位成本（5分）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2021年度道路清扫单位成本高低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根据曲阳县执法局提供的相关资料显示，2021年道路清扫单位成本为6.8元/㎡·年，评价等级为“优”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/>
        </w:rPr>
      </w:pPr>
      <w:r>
        <w:rPr>
          <w:rFonts w:hint="eastAsia" w:ascii="仿宋" w:hAnsi="仿宋" w:eastAsia="仿宋" w:cs="仿宋"/>
          <w:sz w:val="30"/>
          <w:szCs w:val="30"/>
        </w:rPr>
        <w:t>该项指标实际得5分。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、垃圾清运完成率（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环卫公司是否完成约定的垃圾清运任务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根据曲阳县执法局提供的相关资料显示，环卫公司存在垃圾清运不及时的现象，完成率不能达到100%，扣2分。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该项指标实际得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4、清扫保洁达标率（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该指标主要评价项目是否达到预期目标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根据曲阳县执法局提供的相关资料显示，环卫公司存在道路清扫不到位的情况，2021年度清扫保洁达标率不能达到100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%，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扣2分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该项指标实际得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</w:rPr>
      </w:pPr>
      <w:bookmarkStart w:id="57" w:name="_Toc83630336"/>
      <w:bookmarkStart w:id="58" w:name="_Toc833"/>
      <w:bookmarkStart w:id="59" w:name="_Toc16415"/>
      <w:bookmarkStart w:id="60" w:name="_Toc83631046"/>
      <w:bookmarkStart w:id="61" w:name="_Toc1929"/>
      <w:r>
        <w:rPr>
          <w:rFonts w:hint="eastAsia" w:ascii="仿宋" w:hAnsi="仿宋" w:eastAsia="仿宋" w:cs="仿宋"/>
          <w:b w:val="0"/>
          <w:bCs w:val="0"/>
          <w:sz w:val="30"/>
          <w:szCs w:val="30"/>
        </w:rPr>
        <w:t>（四）项目效果（20分）</w:t>
      </w:r>
      <w:bookmarkEnd w:id="57"/>
      <w:bookmarkEnd w:id="58"/>
      <w:bookmarkEnd w:id="59"/>
      <w:bookmarkEnd w:id="60"/>
      <w:bookmarkEnd w:id="61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196"/>
        <w:outlineLvl w:val="0"/>
        <w:rPr>
          <w:rFonts w:hint="eastAsia" w:ascii="仿宋" w:hAnsi="仿宋" w:eastAsia="仿宋" w:cs="仿宋"/>
          <w:sz w:val="30"/>
          <w:szCs w:val="30"/>
        </w:rPr>
      </w:pPr>
      <w:bookmarkStart w:id="62" w:name="_Toc14139"/>
      <w:bookmarkStart w:id="63" w:name="_Toc27277"/>
      <w:bookmarkStart w:id="64" w:name="_Toc83630337"/>
      <w:bookmarkStart w:id="65" w:name="_Toc83630433"/>
      <w:bookmarkStart w:id="66" w:name="_Toc83631047"/>
      <w:r>
        <w:rPr>
          <w:rFonts w:hint="eastAsia" w:ascii="仿宋" w:hAnsi="仿宋" w:eastAsia="仿宋" w:cs="仿宋"/>
          <w:sz w:val="30"/>
          <w:szCs w:val="30"/>
        </w:rPr>
        <w:t>该一级指标包含项目效益1个二级指标和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社会效益、生态效益和服务对象</w:t>
      </w:r>
      <w:r>
        <w:rPr>
          <w:rFonts w:hint="eastAsia" w:ascii="仿宋" w:hAnsi="仿宋" w:eastAsia="仿宋" w:cs="仿宋"/>
          <w:sz w:val="30"/>
          <w:szCs w:val="30"/>
        </w:rPr>
        <w:t>满意度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个三级指标。主要评价项目实施后所产生的各种效益。</w:t>
      </w:r>
      <w:bookmarkEnd w:id="62"/>
      <w:bookmarkEnd w:id="63"/>
      <w:bookmarkEnd w:id="64"/>
      <w:bookmarkEnd w:id="65"/>
      <w:bookmarkEnd w:id="66"/>
    </w:p>
    <w:tbl>
      <w:tblPr>
        <w:tblStyle w:val="16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25"/>
        <w:gridCol w:w="1595"/>
        <w:gridCol w:w="2944"/>
        <w:gridCol w:w="1656"/>
        <w:gridCol w:w="1442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0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8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8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分数权重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4" w:hRule="exact"/>
          <w:jc w:val="center"/>
        </w:trPr>
        <w:tc>
          <w:tcPr>
            <w:tcW w:w="1048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项目效果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（20分）</w:t>
            </w:r>
          </w:p>
        </w:tc>
        <w:tc>
          <w:tcPr>
            <w:tcW w:w="82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1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8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4" w:hRule="exact"/>
          <w:jc w:val="center"/>
        </w:trPr>
        <w:tc>
          <w:tcPr>
            <w:tcW w:w="104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8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exact"/>
          <w:jc w:val="center"/>
        </w:trPr>
        <w:tc>
          <w:tcPr>
            <w:tcW w:w="1048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2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8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33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合  计</w:t>
            </w:r>
          </w:p>
        </w:tc>
        <w:tc>
          <w:tcPr>
            <w:tcW w:w="8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20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社会效益</w:t>
      </w: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该指标主要评价项目是否改善环境卫生质量，提升居民幸福感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该</w:t>
      </w:r>
      <w:r>
        <w:rPr>
          <w:rFonts w:hint="eastAsia" w:ascii="仿宋" w:hAnsi="仿宋" w:eastAsia="仿宋" w:cs="仿宋"/>
          <w:sz w:val="30"/>
          <w:szCs w:val="30"/>
        </w:rPr>
        <w:t>项目的实施,有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效</w:t>
      </w:r>
      <w:r>
        <w:rPr>
          <w:rFonts w:hint="eastAsia" w:ascii="仿宋" w:hAnsi="仿宋" w:eastAsia="仿宋" w:cs="仿宋"/>
          <w:sz w:val="30"/>
          <w:szCs w:val="30"/>
        </w:rPr>
        <w:t>改善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曲阳</w:t>
      </w:r>
      <w:r>
        <w:rPr>
          <w:rFonts w:hint="eastAsia" w:ascii="仿宋" w:hAnsi="仿宋" w:eastAsia="仿宋" w:cs="仿宋"/>
          <w:sz w:val="30"/>
          <w:szCs w:val="30"/>
        </w:rPr>
        <w:t>县城区居民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的</w:t>
      </w:r>
      <w:r>
        <w:rPr>
          <w:rFonts w:hint="eastAsia" w:ascii="仿宋" w:hAnsi="仿宋" w:eastAsia="仿宋" w:cs="仿宋"/>
          <w:sz w:val="30"/>
          <w:szCs w:val="30"/>
        </w:rPr>
        <w:t>生活环境质量,提高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城市环卫管理和运营能力,完善公众对城市基础设施建设和公共服务日益增长的需要,同时提升了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曲阳</w:t>
      </w:r>
      <w:r>
        <w:rPr>
          <w:rFonts w:hint="eastAsia" w:ascii="仿宋" w:hAnsi="仿宋" w:eastAsia="仿宋" w:cs="仿宋"/>
          <w:sz w:val="30"/>
          <w:szCs w:val="30"/>
        </w:rPr>
        <w:t>县城市形象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该项指标实际得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color w:val="FF0000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2.生态效益（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该指标主要评价项目是否有效提升道路扬尘治理成效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经查看，曲阳县道路扬尘治理效果明显，为“蓝天保卫战”提供了坚实的基础。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该项指标实际得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3、服务对象满意度（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分）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该指标主要评价社会公众或服务对象对项目实施效果的满意度。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针对该指标，我们随机选取了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</w:rPr>
        <w:t>0个调查对象进行了问卷调查，具体调查情况如下：</w:t>
      </w:r>
    </w:p>
    <w:p>
      <w:pPr>
        <w:pStyle w:val="2"/>
        <w:jc w:val="center"/>
        <w:rPr>
          <w:rFonts w:hint="eastAsia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highlight w:val="none"/>
          <w:u w:color="000000"/>
        </w:rPr>
        <w:t>服务对象满意度调查问卷汇总表</w:t>
      </w:r>
    </w:p>
    <w:tbl>
      <w:tblPr>
        <w:tblStyle w:val="16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8"/>
        <w:gridCol w:w="1334"/>
        <w:gridCol w:w="1334"/>
        <w:gridCol w:w="1334"/>
        <w:gridCol w:w="1334"/>
        <w:gridCol w:w="13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tblHeader/>
        </w:trPr>
        <w:tc>
          <w:tcPr>
            <w:tcW w:w="1613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调查项目</w:t>
            </w:r>
          </w:p>
        </w:tc>
        <w:tc>
          <w:tcPr>
            <w:tcW w:w="67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</w:t>
            </w:r>
          </w:p>
        </w:tc>
        <w:tc>
          <w:tcPr>
            <w:tcW w:w="67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一般</w:t>
            </w:r>
          </w:p>
        </w:tc>
        <w:tc>
          <w:tcPr>
            <w:tcW w:w="67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不满意</w:t>
            </w:r>
          </w:p>
        </w:tc>
        <w:tc>
          <w:tcPr>
            <w:tcW w:w="67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677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单项得分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61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对道路清扫保洁是否满意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61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对垃圾清理是否满意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61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对洒水降尘效果是否满意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613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对公厕保洁是否满意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</w:tbl>
    <w:p>
      <w:pPr>
        <w:spacing w:after="0" w:line="360" w:lineRule="auto"/>
        <w:ind w:firstLine="640" w:firstLineChars="200"/>
        <w:jc w:val="both"/>
        <w:textAlignment w:val="baseline"/>
        <w:rPr>
          <w:rFonts w:ascii="仿宋_GB2312" w:eastAsia="仿宋_GB2312" w:cs="Times New Roman" w:hAnsiTheme="minorEastAsia"/>
          <w:color w:val="auto"/>
          <w:sz w:val="32"/>
          <w:szCs w:val="32"/>
          <w:u w:color="000000"/>
        </w:rPr>
      </w:pPr>
      <w:r>
        <w:rPr>
          <w:rFonts w:hint="eastAsia" w:ascii="仿宋_GB2312" w:eastAsia="仿宋_GB2312" w:cs="Times New Roman" w:hAnsiTheme="minorEastAsia"/>
          <w:color w:val="auto"/>
          <w:sz w:val="32"/>
          <w:szCs w:val="32"/>
          <w:u w:color="000000"/>
        </w:rPr>
        <w:t>调查问卷共分为</w:t>
      </w:r>
      <w:r>
        <w:rPr>
          <w:rFonts w:hint="eastAsia" w:ascii="仿宋_GB2312" w:eastAsia="仿宋_GB2312" w:cs="Times New Roman" w:hAnsiTheme="minorEastAsia"/>
          <w:color w:val="auto"/>
          <w:sz w:val="32"/>
          <w:szCs w:val="32"/>
          <w:u w:color="000000"/>
          <w:lang w:val="en-US" w:eastAsia="zh-CN"/>
        </w:rPr>
        <w:t>4</w:t>
      </w:r>
      <w:r>
        <w:rPr>
          <w:rFonts w:hint="eastAsia" w:ascii="仿宋_GB2312" w:eastAsia="仿宋_GB2312" w:cs="Times New Roman" w:hAnsiTheme="minorEastAsia"/>
          <w:color w:val="auto"/>
          <w:sz w:val="32"/>
          <w:szCs w:val="32"/>
          <w:u w:color="000000"/>
        </w:rPr>
        <w:t>个单项，每个单项满分为100分。其中：每一单项满分为100分：满意为100分，一般为50分，不满意为0分。</w:t>
      </w:r>
    </w:p>
    <w:p>
      <w:pPr>
        <w:spacing w:after="0" w:line="360" w:lineRule="auto"/>
        <w:ind w:firstLine="640" w:firstLineChars="200"/>
        <w:jc w:val="both"/>
        <w:textAlignment w:val="baseline"/>
        <w:rPr>
          <w:rFonts w:ascii="仿宋_GB2312" w:eastAsia="仿宋_GB2312" w:cs="Times New Roman" w:hAnsiTheme="minorEastAsia"/>
          <w:color w:val="auto"/>
          <w:sz w:val="32"/>
          <w:szCs w:val="32"/>
          <w:u w:color="000000"/>
        </w:rPr>
      </w:pPr>
      <w:r>
        <w:rPr>
          <w:rFonts w:hint="eastAsia" w:ascii="仿宋_GB2312" w:eastAsia="仿宋_GB2312" w:cs="Times New Roman" w:hAnsiTheme="minorEastAsia"/>
          <w:color w:val="auto"/>
          <w:sz w:val="32"/>
          <w:szCs w:val="32"/>
          <w:u w:color="000000"/>
        </w:rPr>
        <w:t>单项满意度得分=总分数/总人数</w:t>
      </w:r>
    </w:p>
    <w:p>
      <w:pPr>
        <w:spacing w:after="0" w:line="360" w:lineRule="auto"/>
        <w:ind w:firstLine="640" w:firstLineChars="200"/>
        <w:jc w:val="both"/>
        <w:textAlignment w:val="baseline"/>
        <w:rPr>
          <w:rFonts w:ascii="仿宋_GB2312" w:eastAsia="仿宋_GB2312" w:cs="Times New Roman" w:hAnsiTheme="minorEastAsia"/>
          <w:color w:val="auto"/>
          <w:sz w:val="32"/>
          <w:szCs w:val="32"/>
          <w:u w:color="000000"/>
        </w:rPr>
      </w:pPr>
      <w:r>
        <w:rPr>
          <w:rFonts w:hint="eastAsia" w:ascii="仿宋_GB2312" w:eastAsia="仿宋_GB2312" w:cs="Times New Roman" w:hAnsiTheme="minorEastAsia"/>
          <w:color w:val="auto"/>
          <w:sz w:val="32"/>
          <w:szCs w:val="32"/>
          <w:u w:color="000000"/>
        </w:rPr>
        <w:t>总体满意度得分=∑1/</w:t>
      </w:r>
      <w:r>
        <w:rPr>
          <w:rFonts w:hint="eastAsia" w:ascii="仿宋_GB2312" w:eastAsia="仿宋_GB2312" w:cs="Times New Roman" w:hAnsiTheme="minorEastAsia"/>
          <w:color w:val="auto"/>
          <w:sz w:val="32"/>
          <w:szCs w:val="32"/>
          <w:u w:color="000000"/>
          <w:lang w:val="en-US" w:eastAsia="zh-CN"/>
        </w:rPr>
        <w:t>4</w:t>
      </w:r>
      <w:r>
        <w:rPr>
          <w:rFonts w:hint="eastAsia" w:ascii="仿宋_GB2312" w:eastAsia="仿宋_GB2312" w:cs="Times New Roman" w:hAnsiTheme="minorEastAsia"/>
          <w:color w:val="auto"/>
          <w:sz w:val="32"/>
          <w:szCs w:val="32"/>
          <w:u w:color="000000"/>
        </w:rPr>
        <w:t>各单项满意度得分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_GB2312" w:eastAsia="仿宋_GB2312" w:cs="Times New Roman" w:hAnsiTheme="minorEastAsia"/>
          <w:color w:val="auto"/>
          <w:sz w:val="32"/>
          <w:szCs w:val="32"/>
          <w:u w:color="000000"/>
        </w:rPr>
        <w:t>经计算，总体得分为</w:t>
      </w:r>
      <w:r>
        <w:rPr>
          <w:rFonts w:hint="eastAsia" w:ascii="仿宋_GB2312" w:eastAsia="仿宋_GB2312" w:cs="Times New Roman" w:hAnsiTheme="minorEastAsia"/>
          <w:color w:val="auto"/>
          <w:sz w:val="32"/>
          <w:szCs w:val="32"/>
          <w:u w:color="000000"/>
          <w:lang w:val="en-US" w:eastAsia="zh-CN"/>
        </w:rPr>
        <w:t>96.25分</w:t>
      </w:r>
      <w:r>
        <w:rPr>
          <w:rFonts w:hint="eastAsia" w:ascii="仿宋_GB2312" w:eastAsia="仿宋_GB2312" w:cs="Times New Roman" w:hAnsiTheme="minorEastAsia"/>
          <w:color w:val="auto"/>
          <w:sz w:val="32"/>
          <w:szCs w:val="32"/>
          <w:u w:color="000000"/>
        </w:rPr>
        <w:t>，评价等级为“</w:t>
      </w:r>
      <w:r>
        <w:rPr>
          <w:rFonts w:hint="eastAsia" w:ascii="仿宋_GB2312" w:eastAsia="仿宋_GB2312" w:cs="Times New Roman" w:hAnsiTheme="minorEastAsia"/>
          <w:color w:val="auto"/>
          <w:sz w:val="32"/>
          <w:szCs w:val="32"/>
          <w:u w:color="000000"/>
          <w:lang w:val="en-US" w:eastAsia="zh-CN"/>
        </w:rPr>
        <w:t>优</w:t>
      </w:r>
      <w:r>
        <w:rPr>
          <w:rFonts w:hint="eastAsia" w:ascii="仿宋_GB2312" w:eastAsia="仿宋_GB2312" w:cs="Times New Roman" w:hAnsiTheme="minorEastAsia"/>
          <w:color w:val="auto"/>
          <w:sz w:val="32"/>
          <w:szCs w:val="32"/>
          <w:u w:color="000000"/>
        </w:rPr>
        <w:t>”。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该项指标实际得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67" w:name="_Toc10581"/>
      <w:bookmarkStart w:id="68" w:name="_Toc30943"/>
      <w:bookmarkStart w:id="69" w:name="_Toc501368363"/>
      <w:bookmarkStart w:id="70" w:name="_Toc6602"/>
      <w:bookmarkStart w:id="71" w:name="_Toc10985"/>
      <w:bookmarkStart w:id="72" w:name="_Toc83630434"/>
      <w:bookmarkStart w:id="73" w:name="_Toc12802"/>
      <w:bookmarkStart w:id="74" w:name="_Toc83631048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绩效评价依据</w:t>
      </w:r>
      <w:bookmarkEnd w:id="67"/>
      <w:bookmarkEnd w:id="68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（1）《中华人民共和国预算法》(主席令第21号)；</w:t>
      </w:r>
      <w:r>
        <w:rPr>
          <w:rFonts w:hint="eastAsia" w:ascii="仿宋" w:hAnsi="仿宋" w:eastAsia="仿宋" w:cs="仿宋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sz w:val="30"/>
          <w:szCs w:val="30"/>
        </w:rPr>
        <w:t xml:space="preserve">    （2）《河北省财政支出绩效评价管理办法》（冀财预〔2011〕68号）；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（3）《关于印发〈财政支出绩效评价管理暂行办法〉的通知》（财预〔2011〕285号）；</w:t>
      </w:r>
      <w:r>
        <w:rPr>
          <w:rFonts w:hint="eastAsia" w:ascii="仿宋" w:hAnsi="仿宋" w:eastAsia="仿宋" w:cs="仿宋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sz w:val="30"/>
          <w:szCs w:val="30"/>
        </w:rPr>
        <w:t xml:space="preserve">    （4）《关于印发&lt;预算绩效评价共性指标体系框架&gt;的通知》（财预〔2013〕53号）；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（5）《河北省项目支出绩效指标框架体系》（冀财预[2016]92号）；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59" w:leftChars="266"/>
        <w:outlineLvl w:val="0"/>
        <w:rPr>
          <w:rFonts w:hint="eastAsia" w:ascii="仿宋" w:hAnsi="仿宋" w:eastAsia="仿宋" w:cs="仿宋"/>
          <w:sz w:val="30"/>
          <w:szCs w:val="30"/>
          <w:highlight w:val="yellow"/>
        </w:rPr>
      </w:pPr>
      <w:bookmarkStart w:id="75" w:name="_Toc83630326"/>
      <w:bookmarkStart w:id="76" w:name="_Toc83630422"/>
      <w:bookmarkStart w:id="77" w:name="_Toc83631036"/>
      <w:bookmarkStart w:id="78" w:name="_Toc3143"/>
      <w:bookmarkStart w:id="79" w:name="_Toc14814"/>
      <w:r>
        <w:rPr>
          <w:rFonts w:hint="eastAsia" w:ascii="仿宋" w:hAnsi="仿宋" w:eastAsia="仿宋" w:cs="仿宋"/>
          <w:sz w:val="30"/>
          <w:szCs w:val="30"/>
        </w:rPr>
        <w:t>（6）《中华人民共和国就业促进法》；</w:t>
      </w:r>
      <w:bookmarkEnd w:id="75"/>
      <w:bookmarkEnd w:id="76"/>
      <w:bookmarkEnd w:id="77"/>
      <w:bookmarkEnd w:id="78"/>
      <w:bookmarkEnd w:id="79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（7）《城市市容和环境卫生管理条例》（国务院令676号）；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（8）《河北省城市市容和环境卫生条例》；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）该项目其他相关资料。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bookmarkStart w:id="80" w:name="_Toc2211"/>
      <w:bookmarkStart w:id="81" w:name="_Toc24878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、项目综合评价</w:t>
      </w:r>
      <w:bookmarkEnd w:id="69"/>
      <w:bookmarkEnd w:id="70"/>
      <w:r>
        <w:rPr>
          <w:rFonts w:hint="eastAsia" w:ascii="仿宋" w:hAnsi="仿宋" w:eastAsia="仿宋" w:cs="仿宋"/>
          <w:sz w:val="32"/>
          <w:szCs w:val="32"/>
        </w:rPr>
        <w:t>结论和评价等级</w:t>
      </w:r>
      <w:bookmarkEnd w:id="71"/>
      <w:bookmarkEnd w:id="72"/>
      <w:bookmarkEnd w:id="73"/>
      <w:bookmarkEnd w:id="74"/>
      <w:bookmarkEnd w:id="80"/>
      <w:bookmarkEnd w:id="81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bookmarkStart w:id="82" w:name="_Toc501368364"/>
      <w:r>
        <w:rPr>
          <w:rFonts w:hint="eastAsia" w:ascii="仿宋" w:hAnsi="仿宋" w:eastAsia="仿宋" w:cs="仿宋"/>
          <w:sz w:val="30"/>
          <w:szCs w:val="30"/>
        </w:rPr>
        <w:t>1.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确定</w:t>
      </w:r>
      <w:r>
        <w:rPr>
          <w:rFonts w:hint="eastAsia" w:ascii="仿宋" w:hAnsi="仿宋" w:eastAsia="仿宋" w:cs="仿宋"/>
          <w:sz w:val="30"/>
          <w:szCs w:val="30"/>
        </w:rPr>
        <w:t>评</w:t>
      </w:r>
      <w:bookmarkEnd w:id="82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价分值：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96分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2.评价等级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优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3.项目综合评价结论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88" w:firstLineChars="196"/>
        <w:outlineLvl w:val="0"/>
        <w:rPr>
          <w:rFonts w:hint="eastAsia" w:ascii="仿宋" w:hAnsi="仿宋" w:eastAsia="仿宋" w:cs="仿宋"/>
          <w:sz w:val="30"/>
          <w:szCs w:val="30"/>
          <w:lang w:eastAsia="zh-CN"/>
        </w:rPr>
      </w:pPr>
      <w:bookmarkStart w:id="83" w:name="_Toc25027"/>
      <w:bookmarkStart w:id="84" w:name="_Toc28969"/>
      <w:bookmarkStart w:id="85" w:name="_Toc83631049"/>
      <w:bookmarkStart w:id="86" w:name="_Toc83630435"/>
      <w:r>
        <w:rPr>
          <w:rFonts w:hint="eastAsia" w:ascii="仿宋" w:hAnsi="仿宋" w:eastAsia="仿宋" w:cs="仿宋"/>
          <w:sz w:val="30"/>
          <w:szCs w:val="30"/>
        </w:rPr>
        <w:t>该项目严格资金使用管理，专款专用，项目受益对象明确，</w:t>
      </w:r>
      <w:bookmarkEnd w:id="83"/>
      <w:bookmarkEnd w:id="84"/>
      <w:bookmarkEnd w:id="85"/>
      <w:bookmarkEnd w:id="86"/>
      <w:r>
        <w:rPr>
          <w:rFonts w:hint="eastAsia" w:ascii="仿宋" w:hAnsi="仿宋" w:eastAsia="仿宋" w:cs="仿宋"/>
          <w:sz w:val="30"/>
          <w:szCs w:val="30"/>
        </w:rPr>
        <w:t>加强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城市市容和环境卫生管理，创造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整洁、优美、文明、和谐的城市环境，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有效</w:t>
      </w:r>
      <w:r>
        <w:rPr>
          <w:rFonts w:hint="eastAsia" w:ascii="仿宋" w:hAnsi="仿宋" w:eastAsia="仿宋" w:cs="仿宋"/>
          <w:sz w:val="30"/>
          <w:szCs w:val="30"/>
        </w:rPr>
        <w:t>提高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了</w:t>
      </w:r>
      <w:r>
        <w:rPr>
          <w:rFonts w:hint="eastAsia" w:ascii="仿宋" w:hAnsi="仿宋" w:eastAsia="仿宋" w:cs="仿宋"/>
          <w:sz w:val="30"/>
          <w:szCs w:val="30"/>
        </w:rPr>
        <w:t>居民生活质量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3" w:firstLineChars="200"/>
        <w:rPr>
          <w:rFonts w:hint="eastAsia" w:ascii="仿宋" w:hAnsi="仿宋" w:eastAsia="仿宋" w:cs="仿宋"/>
          <w:bCs/>
          <w:sz w:val="32"/>
          <w:szCs w:val="32"/>
        </w:rPr>
      </w:pPr>
      <w:bookmarkStart w:id="87" w:name="_Toc7207"/>
      <w:bookmarkStart w:id="88" w:name="_Toc27278"/>
      <w:bookmarkStart w:id="89" w:name="_Toc83631050"/>
      <w:bookmarkStart w:id="90" w:name="_Toc22941"/>
      <w:bookmarkStart w:id="91" w:name="_Toc30518"/>
      <w:bookmarkStart w:id="92" w:name="_Toc83630436"/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bCs/>
          <w:sz w:val="32"/>
          <w:szCs w:val="32"/>
        </w:rPr>
        <w:t>、存在的问题及改进措施</w:t>
      </w:r>
      <w:bookmarkEnd w:id="87"/>
      <w:bookmarkEnd w:id="88"/>
      <w:bookmarkEnd w:id="89"/>
      <w:bookmarkEnd w:id="90"/>
      <w:bookmarkEnd w:id="91"/>
      <w:bookmarkEnd w:id="92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215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（一）该项目取得的成绩是肯定的，但在实现绩效目标过程中也存在一些不足之处，具体归纳为：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、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存在垃圾清运不及时的现象</w:t>
      </w:r>
    </w:p>
    <w:p>
      <w:pPr>
        <w:pStyle w:val="2"/>
        <w:ind w:left="0" w:leftChars="0" w:firstLine="600" w:firstLineChars="200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根据曲阳县执法局提供的考评表及相关资料显示，部分街道存在垃圾清理不及时的现象，影响市容及居民生活环境；</w:t>
      </w:r>
    </w:p>
    <w:p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存在道路清扫保洁不到位的现象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根据曲阳县执法局提供的考评表及相关资料显示，部分街道存在细节普扫不到位，白色垃圾捡拾不到位的现象，一定程度上影响了市容及居民生活环境。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（二）意见和建议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 w:firstLineChars="215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通过本次的绩效评价工作，找出了项目管理过程中的亮点和缺陷，总结出项目绩效管理经验，对于以后相似项目的管理工作起到很好的借鉴作用。同时，本次绩效评价工作对于安排以后的资金预算，考核项目管理效果也将起到示范作用。同时，使国家财政资金得到安全保障，更好的发挥效应。通过评价工作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针对</w:t>
      </w:r>
      <w:r>
        <w:rPr>
          <w:rFonts w:hint="eastAsia" w:ascii="仿宋" w:hAnsi="仿宋" w:eastAsia="仿宋" w:cs="仿宋"/>
          <w:sz w:val="30"/>
          <w:szCs w:val="30"/>
        </w:rPr>
        <w:t>该项目存在的问题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我们</w:t>
      </w:r>
      <w:r>
        <w:rPr>
          <w:rFonts w:hint="eastAsia" w:ascii="仿宋" w:hAnsi="仿宋" w:eastAsia="仿宋" w:cs="仿宋"/>
          <w:sz w:val="30"/>
          <w:szCs w:val="30"/>
        </w:rPr>
        <w:t>建议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严格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按照项目管理考核办法对该项目进行管理，加强环卫公司基础作业人员的责任心，进一步改善作业质量，创造整洁、优美、文明、和谐的城市环境，提高居民生活质量</w:t>
      </w:r>
      <w:r>
        <w:rPr>
          <w:rFonts w:hint="eastAsia" w:ascii="仿宋" w:hAnsi="仿宋" w:eastAsia="仿宋" w:cs="仿宋"/>
          <w:sz w:val="30"/>
          <w:szCs w:val="30"/>
        </w:rPr>
        <w:t xml:space="preserve">。 </w:t>
      </w:r>
    </w:p>
    <w:p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/>
        <w:rPr>
          <w:rFonts w:hint="eastAsia" w:ascii="仿宋" w:hAnsi="仿宋" w:eastAsia="仿宋" w:cs="仿宋"/>
          <w:sz w:val="30"/>
          <w:szCs w:val="30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rPr>
          <w:rFonts w:hint="eastAsia" w:ascii="仿宋" w:hAnsi="仿宋" w:eastAsia="仿宋" w:cs="仿宋"/>
          <w:b w:val="0"/>
          <w:kern w:val="2"/>
          <w:sz w:val="30"/>
          <w:szCs w:val="30"/>
        </w:rPr>
      </w:pPr>
      <w:r>
        <w:rPr>
          <w:rFonts w:hint="eastAsia" w:ascii="仿宋" w:hAnsi="仿宋" w:eastAsia="仿宋" w:cs="仿宋"/>
          <w:b w:val="0"/>
          <w:kern w:val="2"/>
          <w:sz w:val="30"/>
          <w:szCs w:val="30"/>
        </w:rPr>
        <w:t xml:space="preserve"> </w:t>
      </w:r>
      <w:bookmarkStart w:id="93" w:name="_Toc83630437"/>
      <w:bookmarkStart w:id="94" w:name="_Toc83631051"/>
      <w:bookmarkStart w:id="95" w:name="_Toc23781"/>
      <w:bookmarkStart w:id="96" w:name="_Toc6530"/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00" w:firstLineChars="200"/>
        <w:rPr>
          <w:rFonts w:hint="eastAsia" w:ascii="仿宋" w:hAnsi="仿宋" w:eastAsia="仿宋" w:cs="仿宋"/>
          <w:b w:val="0"/>
          <w:kern w:val="2"/>
          <w:sz w:val="30"/>
          <w:szCs w:val="30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00" w:firstLineChars="200"/>
        <w:rPr>
          <w:rFonts w:hint="eastAsia" w:ascii="仿宋" w:hAnsi="仿宋" w:eastAsia="仿宋" w:cs="仿宋"/>
          <w:b w:val="0"/>
          <w:kern w:val="2"/>
          <w:sz w:val="30"/>
          <w:szCs w:val="30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00" w:firstLineChars="200"/>
        <w:rPr>
          <w:rFonts w:hint="eastAsia" w:ascii="仿宋" w:hAnsi="仿宋" w:eastAsia="仿宋" w:cs="仿宋"/>
          <w:b w:val="0"/>
          <w:kern w:val="2"/>
          <w:sz w:val="30"/>
          <w:szCs w:val="30"/>
        </w:rPr>
      </w:pPr>
      <w:r>
        <w:rPr>
          <w:rFonts w:hint="eastAsia" w:ascii="仿宋" w:hAnsi="仿宋" w:eastAsia="仿宋" w:cs="仿宋"/>
          <w:b w:val="0"/>
          <w:kern w:val="2"/>
          <w:sz w:val="30"/>
          <w:szCs w:val="30"/>
        </w:rPr>
        <w:t>附件：绩效评价指标体系及评分情况表</w:t>
      </w:r>
      <w:bookmarkEnd w:id="93"/>
      <w:bookmarkEnd w:id="94"/>
      <w:bookmarkEnd w:id="95"/>
      <w:bookmarkEnd w:id="96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" w:hAnsi="仿宋" w:eastAsia="仿宋" w:cs="仿宋"/>
          <w:sz w:val="30"/>
          <w:szCs w:val="30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0" w:firstLineChars="21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30</w:t>
      </w:r>
      <w:bookmarkStart w:id="97" w:name="_GoBack"/>
      <w:bookmarkEnd w:id="97"/>
      <w:r>
        <w:rPr>
          <w:rFonts w:hint="eastAsia" w:ascii="仿宋" w:hAnsi="仿宋" w:eastAsia="仿宋" w:cs="仿宋"/>
          <w:sz w:val="30"/>
          <w:szCs w:val="30"/>
        </w:rPr>
        <w:t>日</w:t>
      </w:r>
    </w:p>
    <w:sectPr>
      <w:footerReference r:id="rId7" w:type="default"/>
      <w:pgSz w:w="11906" w:h="16838"/>
      <w:pgMar w:top="964" w:right="1134" w:bottom="964" w:left="1134" w:header="1134" w:footer="68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widowControl w:val="0"/>
      <w:pBdr>
        <w:top w:val="none" w:color="622423" w:sz="0" w:space="1"/>
        <w:left w:val="none" w:color="auto" w:sz="0" w:space="4"/>
        <w:bottom w:val="none" w:color="auto" w:sz="0" w:space="1"/>
        <w:right w:val="none" w:color="auto" w:sz="0" w:space="4"/>
        <w:between w:val="none" w:color="auto" w:sz="0" w:space="0"/>
      </w:pBdr>
      <w:tabs>
        <w:tab w:val="right" w:pos="9070"/>
        <w:tab w:val="clear" w:pos="4153"/>
        <w:tab w:val="clear" w:pos="8306"/>
      </w:tabs>
      <w:snapToGrid w:val="0"/>
      <w:jc w:val="left"/>
    </w:pPr>
    <w:r>
      <w:rPr>
        <w:rFonts w:ascii="Cambria" w:hAnsi="Cambria"/>
        <w:vanish/>
      </w:rPr>
      <w:t>&lt;&gt;</w:t>
    </w:r>
    <w:r>
      <w:rPr>
        <w:rFonts w:ascii="Cambria" w:hAnsi="Cambria"/>
        <w:lang w:val="zh-CN"/>
      </w:rPr>
      <w:tab/>
    </w:r>
  </w:p>
  <w:p>
    <w:pPr>
      <w:pStyle w:val="11"/>
    </w:pPr>
    <w:r>
      <w:rPr>
        <w:rFonts w:ascii="Cambria" w:hAnsi="Cambria"/>
        <w:vanish/>
      </w:rPr>
      <w:t>&lt;&gt;</w:t>
    </w:r>
    <w:r>
      <w:rPr>
        <w:rFonts w:ascii="Cambria" w:hAnsi="Cambria"/>
        <w:lang w:val="zh-CN"/>
      </w:rPr>
      <w:tab/>
    </w:r>
    <w:r>
      <w:rPr>
        <w:rFonts w:ascii="Cambria" w:hAnsi="Cambria"/>
        <w:vanish/>
      </w:rPr>
      <w:t>&lt;&gt;</w:t>
    </w:r>
    <w:r>
      <w:rPr>
        <w:rFonts w:ascii="Cambria" w:hAnsi="Cambria"/>
        <w:lang w:val="zh-CN"/>
      </w:rPr>
      <w:tab/>
    </w:r>
    <w:r>
      <w:rPr>
        <w:rFonts w:ascii="Cambria" w:hAnsi="Cambria"/>
        <w:vanish/>
      </w:rPr>
      <w:t>&lt;&gt;</w:t>
    </w:r>
    <w:r>
      <w:rPr>
        <w:rFonts w:ascii="Cambria" w:hAnsi="Cambria"/>
        <w:lang w:val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right="720"/>
      <w:jc w:val="center"/>
    </w:pPr>
    <w:r>
      <w:pict>
        <v:shape id="_x0000_s4106" o:spid="_x0000_s410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11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11"/>
      <w:pBdr>
        <w:top w:val="thinThickSmallGap" w:color="622423" w:sz="24" w:space="1"/>
      </w:pBdr>
      <w:tabs>
        <w:tab w:val="right" w:pos="9070"/>
        <w:tab w:val="clear" w:pos="4153"/>
        <w:tab w:val="clear" w:pos="8306"/>
      </w:tabs>
      <w:rPr>
        <w:rFonts w:ascii="Cambria" w:hAnsi="Cambria"/>
      </w:rPr>
    </w:pPr>
    <w:r>
      <w:rPr>
        <w:rFonts w:hint="eastAsia" w:ascii="Cambria" w:hAnsi="Cambria"/>
      </w:rPr>
      <w:t xml:space="preserve">       保定市乐凯北大街3088号电谷科技中心4号楼518室                电话：0312-3328961</w:t>
    </w:r>
    <w:r>
      <w:rPr>
        <w:rFonts w:ascii="Cambria" w:hAnsi="Cambria"/>
        <w:vanish/>
      </w:rPr>
      <w:t>&lt;&gt;</w:t>
    </w:r>
    <w:r>
      <w:rPr>
        <w:rFonts w:ascii="Cambria" w:hAnsi="Cambria"/>
        <w:lang w:val="zh-CN"/>
      </w:rPr>
      <w:tab/>
    </w:r>
    <w:r>
      <w:rPr>
        <w:rFonts w:ascii="Cambria" w:hAnsi="Cambria"/>
        <w:lang w:val="zh-CN"/>
      </w:rPr>
      <w:t xml:space="preserve"> </w:t>
    </w:r>
  </w:p>
  <w:p>
    <w:pPr>
      <w:pStyle w:val="11"/>
      <w:tabs>
        <w:tab w:val="left" w:pos="3585"/>
        <w:tab w:val="clear" w:pos="4153"/>
        <w:tab w:val="clear" w:pos="8306"/>
      </w:tabs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widowControl w:val="0"/>
      <w:pBdr>
        <w:top w:val="none" w:color="622423" w:sz="0" w:space="1"/>
        <w:left w:val="none" w:color="auto" w:sz="0" w:space="4"/>
        <w:bottom w:val="none" w:color="auto" w:sz="0" w:space="1"/>
        <w:right w:val="none" w:color="auto" w:sz="0" w:space="4"/>
        <w:between w:val="none" w:color="auto" w:sz="0" w:space="0"/>
      </w:pBdr>
      <w:tabs>
        <w:tab w:val="right" w:pos="9070"/>
        <w:tab w:val="clear" w:pos="4153"/>
        <w:tab w:val="clear" w:pos="8306"/>
      </w:tabs>
      <w:snapToGrid w:val="0"/>
      <w:jc w:val="left"/>
    </w:pPr>
    <w:r>
      <w:rPr>
        <w:rFonts w:ascii="Cambria" w:hAnsi="Cambria"/>
        <w:vanish/>
      </w:rPr>
      <w:t>&lt;&gt;</w:t>
    </w:r>
    <w:r>
      <w:rPr>
        <w:rFonts w:ascii="Cambria" w:hAnsi="Cambria"/>
        <w:lang w:val="zh-CN"/>
      </w:rPr>
      <w:tab/>
    </w:r>
  </w:p>
  <w:p>
    <w:pPr>
      <w:pStyle w:val="11"/>
    </w:pPr>
    <w:r>
      <w:rPr>
        <w:rFonts w:ascii="Cambria" w:hAnsi="Cambria"/>
        <w:vanish/>
      </w:rPr>
      <w:t>&lt;&gt;</w:t>
    </w:r>
    <w:r>
      <w:rPr>
        <w:rFonts w:ascii="Cambria" w:hAnsi="Cambria"/>
        <w:lang w:val="zh-CN"/>
      </w:rPr>
      <w:tab/>
    </w:r>
    <w:r>
      <w:rPr>
        <w:rFonts w:ascii="Cambria" w:hAnsi="Cambria"/>
        <w:vanish/>
      </w:rPr>
      <w:t>&lt;&gt;</w:t>
    </w:r>
    <w:r>
      <w:rPr>
        <w:rFonts w:ascii="Cambria" w:hAnsi="Cambria"/>
        <w:lang w:val="zh-CN"/>
      </w:rPr>
      <w:tab/>
    </w:r>
    <w:r>
      <w:rPr>
        <w:rFonts w:ascii="Cambria" w:hAnsi="Cambria"/>
        <w:vanish/>
      </w:rPr>
      <w:t>&lt;&gt;</w:t>
    </w:r>
    <w:r>
      <w:rPr>
        <w:rFonts w:ascii="Cambria" w:hAnsi="Cambria"/>
        <w:lang w:val="zh-CN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widowControl w:val="0"/>
      <w:pBdr>
        <w:top w:val="none" w:color="622423" w:sz="0" w:space="1"/>
        <w:left w:val="none" w:color="auto" w:sz="0" w:space="4"/>
        <w:bottom w:val="none" w:color="auto" w:sz="0" w:space="1"/>
        <w:right w:val="none" w:color="auto" w:sz="0" w:space="4"/>
        <w:between w:val="none" w:color="auto" w:sz="0" w:space="0"/>
      </w:pBdr>
      <w:tabs>
        <w:tab w:val="right" w:pos="9070"/>
        <w:tab w:val="clear" w:pos="4153"/>
        <w:tab w:val="clear" w:pos="8306"/>
      </w:tabs>
      <w:snapToGrid w:val="0"/>
      <w:jc w:val="left"/>
    </w:pPr>
    <w:r>
      <w:rPr>
        <w:sz w:val="18"/>
      </w:rPr>
      <w:pict>
        <v:shape id="_x0000_s4111" o:spid="_x0000_s4111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1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ascii="Cambria" w:hAnsi="Cambria"/>
        <w:vanish/>
      </w:rPr>
      <w:t>&lt;&gt;</w:t>
    </w:r>
    <w:r>
      <w:rPr>
        <w:rFonts w:ascii="Cambria" w:hAnsi="Cambria"/>
        <w:lang w:val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1"/>
      </w:pBdr>
      <w:jc w:val="both"/>
      <w:rPr>
        <w:i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19868D"/>
    <w:multiLevelType w:val="singleLevel"/>
    <w:tmpl w:val="D319868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C252BAD"/>
    <w:multiLevelType w:val="singleLevel"/>
    <w:tmpl w:val="FC252BA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0"/>
  <w:bordersDoNotSurroundFooter w:val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I2ZWE1ZDIzOTU4YTFkY2Y0Njc0MDkzZDE4Zjk0MTAifQ=="/>
  </w:docVars>
  <w:rsids>
    <w:rsidRoot w:val="00172A27"/>
    <w:rsid w:val="00001E81"/>
    <w:rsid w:val="00002FE3"/>
    <w:rsid w:val="0001237A"/>
    <w:rsid w:val="00012B1F"/>
    <w:rsid w:val="00013039"/>
    <w:rsid w:val="00016780"/>
    <w:rsid w:val="00016877"/>
    <w:rsid w:val="00022151"/>
    <w:rsid w:val="00025856"/>
    <w:rsid w:val="0002621F"/>
    <w:rsid w:val="00033AA9"/>
    <w:rsid w:val="0003796B"/>
    <w:rsid w:val="00040467"/>
    <w:rsid w:val="00045C4A"/>
    <w:rsid w:val="00051E6A"/>
    <w:rsid w:val="000526B1"/>
    <w:rsid w:val="000545E4"/>
    <w:rsid w:val="00061A9C"/>
    <w:rsid w:val="00061CE6"/>
    <w:rsid w:val="0006219F"/>
    <w:rsid w:val="000708F8"/>
    <w:rsid w:val="0007441F"/>
    <w:rsid w:val="0007465C"/>
    <w:rsid w:val="00074D40"/>
    <w:rsid w:val="000755AD"/>
    <w:rsid w:val="00075E9A"/>
    <w:rsid w:val="00077141"/>
    <w:rsid w:val="00085E3D"/>
    <w:rsid w:val="0009369D"/>
    <w:rsid w:val="0009497A"/>
    <w:rsid w:val="00097090"/>
    <w:rsid w:val="000A0869"/>
    <w:rsid w:val="000A1167"/>
    <w:rsid w:val="000A3E44"/>
    <w:rsid w:val="000A4680"/>
    <w:rsid w:val="000B0D5C"/>
    <w:rsid w:val="000B155D"/>
    <w:rsid w:val="000B1E0C"/>
    <w:rsid w:val="000B20C4"/>
    <w:rsid w:val="000B2F28"/>
    <w:rsid w:val="000C0219"/>
    <w:rsid w:val="000C04B4"/>
    <w:rsid w:val="000D406E"/>
    <w:rsid w:val="000D62DD"/>
    <w:rsid w:val="000D7C44"/>
    <w:rsid w:val="000D7C62"/>
    <w:rsid w:val="000E2FF4"/>
    <w:rsid w:val="000E55B5"/>
    <w:rsid w:val="000E7041"/>
    <w:rsid w:val="000F06E0"/>
    <w:rsid w:val="000F4DB6"/>
    <w:rsid w:val="000F6F4D"/>
    <w:rsid w:val="000F7314"/>
    <w:rsid w:val="00102339"/>
    <w:rsid w:val="00103596"/>
    <w:rsid w:val="0010607C"/>
    <w:rsid w:val="0010686E"/>
    <w:rsid w:val="00107E9D"/>
    <w:rsid w:val="001118A5"/>
    <w:rsid w:val="001129D8"/>
    <w:rsid w:val="00117D1C"/>
    <w:rsid w:val="00123040"/>
    <w:rsid w:val="00123913"/>
    <w:rsid w:val="00127425"/>
    <w:rsid w:val="001337FE"/>
    <w:rsid w:val="00135522"/>
    <w:rsid w:val="0014634C"/>
    <w:rsid w:val="001471EC"/>
    <w:rsid w:val="00151E0E"/>
    <w:rsid w:val="00153236"/>
    <w:rsid w:val="00155639"/>
    <w:rsid w:val="00157B84"/>
    <w:rsid w:val="00161CEF"/>
    <w:rsid w:val="00163C86"/>
    <w:rsid w:val="0016529A"/>
    <w:rsid w:val="0016552F"/>
    <w:rsid w:val="00165B00"/>
    <w:rsid w:val="00167578"/>
    <w:rsid w:val="00172A27"/>
    <w:rsid w:val="001730CC"/>
    <w:rsid w:val="00175C51"/>
    <w:rsid w:val="001775FA"/>
    <w:rsid w:val="00177706"/>
    <w:rsid w:val="00181EDE"/>
    <w:rsid w:val="00196D03"/>
    <w:rsid w:val="001973EC"/>
    <w:rsid w:val="001A0FA2"/>
    <w:rsid w:val="001A47A9"/>
    <w:rsid w:val="001A6DAC"/>
    <w:rsid w:val="001A6DCF"/>
    <w:rsid w:val="001A7692"/>
    <w:rsid w:val="001B348D"/>
    <w:rsid w:val="001B48F3"/>
    <w:rsid w:val="001B5178"/>
    <w:rsid w:val="001B55E7"/>
    <w:rsid w:val="001C05EB"/>
    <w:rsid w:val="001C0981"/>
    <w:rsid w:val="001C0A70"/>
    <w:rsid w:val="001C370C"/>
    <w:rsid w:val="001C5733"/>
    <w:rsid w:val="001C587B"/>
    <w:rsid w:val="001D420F"/>
    <w:rsid w:val="001D7CB3"/>
    <w:rsid w:val="001E3AEC"/>
    <w:rsid w:val="001E5575"/>
    <w:rsid w:val="001E6191"/>
    <w:rsid w:val="001E6D7F"/>
    <w:rsid w:val="001F37F7"/>
    <w:rsid w:val="001F3B46"/>
    <w:rsid w:val="002019BF"/>
    <w:rsid w:val="00204D34"/>
    <w:rsid w:val="00205B2A"/>
    <w:rsid w:val="002061DE"/>
    <w:rsid w:val="00206E4A"/>
    <w:rsid w:val="00211650"/>
    <w:rsid w:val="00212B85"/>
    <w:rsid w:val="00214D2D"/>
    <w:rsid w:val="00217674"/>
    <w:rsid w:val="002238F1"/>
    <w:rsid w:val="0022441E"/>
    <w:rsid w:val="002262ED"/>
    <w:rsid w:val="00227687"/>
    <w:rsid w:val="00231583"/>
    <w:rsid w:val="00231E73"/>
    <w:rsid w:val="00232C0B"/>
    <w:rsid w:val="00236FF9"/>
    <w:rsid w:val="002371BA"/>
    <w:rsid w:val="00241DDA"/>
    <w:rsid w:val="0024577B"/>
    <w:rsid w:val="002477B2"/>
    <w:rsid w:val="002478F4"/>
    <w:rsid w:val="002513BE"/>
    <w:rsid w:val="00256A4B"/>
    <w:rsid w:val="00264E36"/>
    <w:rsid w:val="00266F46"/>
    <w:rsid w:val="002678E2"/>
    <w:rsid w:val="0027048A"/>
    <w:rsid w:val="00270705"/>
    <w:rsid w:val="00271949"/>
    <w:rsid w:val="00274702"/>
    <w:rsid w:val="0027470D"/>
    <w:rsid w:val="002762DA"/>
    <w:rsid w:val="00280437"/>
    <w:rsid w:val="002837BF"/>
    <w:rsid w:val="0028433C"/>
    <w:rsid w:val="00287E1A"/>
    <w:rsid w:val="002938D8"/>
    <w:rsid w:val="00294650"/>
    <w:rsid w:val="00294ED2"/>
    <w:rsid w:val="00297960"/>
    <w:rsid w:val="002A4C4D"/>
    <w:rsid w:val="002A5E76"/>
    <w:rsid w:val="002A68A6"/>
    <w:rsid w:val="002B37B6"/>
    <w:rsid w:val="002B45E5"/>
    <w:rsid w:val="002C1CA4"/>
    <w:rsid w:val="002E02E3"/>
    <w:rsid w:val="002E2613"/>
    <w:rsid w:val="002E2C1A"/>
    <w:rsid w:val="002E45FD"/>
    <w:rsid w:val="002E7CB4"/>
    <w:rsid w:val="002F0A16"/>
    <w:rsid w:val="002F2D01"/>
    <w:rsid w:val="002F72F6"/>
    <w:rsid w:val="00303ADF"/>
    <w:rsid w:val="00306C5A"/>
    <w:rsid w:val="00307390"/>
    <w:rsid w:val="00307D5B"/>
    <w:rsid w:val="00311278"/>
    <w:rsid w:val="00313749"/>
    <w:rsid w:val="00313C79"/>
    <w:rsid w:val="0032011B"/>
    <w:rsid w:val="003225CE"/>
    <w:rsid w:val="00323DE4"/>
    <w:rsid w:val="00325654"/>
    <w:rsid w:val="00327721"/>
    <w:rsid w:val="00330324"/>
    <w:rsid w:val="00330AA2"/>
    <w:rsid w:val="003362FC"/>
    <w:rsid w:val="0033673E"/>
    <w:rsid w:val="00344370"/>
    <w:rsid w:val="00350222"/>
    <w:rsid w:val="00350722"/>
    <w:rsid w:val="00351B3C"/>
    <w:rsid w:val="00354F98"/>
    <w:rsid w:val="00355135"/>
    <w:rsid w:val="003559E9"/>
    <w:rsid w:val="00360C3A"/>
    <w:rsid w:val="00361A21"/>
    <w:rsid w:val="00361C36"/>
    <w:rsid w:val="00371E92"/>
    <w:rsid w:val="003722A1"/>
    <w:rsid w:val="00375B5C"/>
    <w:rsid w:val="003776F3"/>
    <w:rsid w:val="0038027C"/>
    <w:rsid w:val="00382AC7"/>
    <w:rsid w:val="0039160E"/>
    <w:rsid w:val="003918F6"/>
    <w:rsid w:val="003933E7"/>
    <w:rsid w:val="00395AAD"/>
    <w:rsid w:val="0039616C"/>
    <w:rsid w:val="00397291"/>
    <w:rsid w:val="00397784"/>
    <w:rsid w:val="003A468C"/>
    <w:rsid w:val="003A5D20"/>
    <w:rsid w:val="003B0599"/>
    <w:rsid w:val="003B506F"/>
    <w:rsid w:val="003B55FC"/>
    <w:rsid w:val="003C2817"/>
    <w:rsid w:val="003D5A13"/>
    <w:rsid w:val="003E4CEC"/>
    <w:rsid w:val="003E58F6"/>
    <w:rsid w:val="003F5AA4"/>
    <w:rsid w:val="0040171A"/>
    <w:rsid w:val="0040642B"/>
    <w:rsid w:val="00411120"/>
    <w:rsid w:val="00412B46"/>
    <w:rsid w:val="00421AA7"/>
    <w:rsid w:val="004220AA"/>
    <w:rsid w:val="0043069F"/>
    <w:rsid w:val="00431254"/>
    <w:rsid w:val="00432102"/>
    <w:rsid w:val="00435890"/>
    <w:rsid w:val="00437563"/>
    <w:rsid w:val="0045092F"/>
    <w:rsid w:val="0045268D"/>
    <w:rsid w:val="00455858"/>
    <w:rsid w:val="0045663E"/>
    <w:rsid w:val="00460005"/>
    <w:rsid w:val="004603D0"/>
    <w:rsid w:val="00464C8B"/>
    <w:rsid w:val="00464E7C"/>
    <w:rsid w:val="00471474"/>
    <w:rsid w:val="00474E33"/>
    <w:rsid w:val="00476CA9"/>
    <w:rsid w:val="00477A0A"/>
    <w:rsid w:val="004837D1"/>
    <w:rsid w:val="00484031"/>
    <w:rsid w:val="004949BB"/>
    <w:rsid w:val="00494D2C"/>
    <w:rsid w:val="00495D03"/>
    <w:rsid w:val="00496C00"/>
    <w:rsid w:val="004A6E0D"/>
    <w:rsid w:val="004B34D2"/>
    <w:rsid w:val="004B36EF"/>
    <w:rsid w:val="004B60B0"/>
    <w:rsid w:val="004C077B"/>
    <w:rsid w:val="004C16C1"/>
    <w:rsid w:val="004C42FF"/>
    <w:rsid w:val="004D3E55"/>
    <w:rsid w:val="004E1A51"/>
    <w:rsid w:val="004E4D3D"/>
    <w:rsid w:val="004E78EF"/>
    <w:rsid w:val="004F05AB"/>
    <w:rsid w:val="004F1584"/>
    <w:rsid w:val="004F6320"/>
    <w:rsid w:val="005035A0"/>
    <w:rsid w:val="00503F54"/>
    <w:rsid w:val="00504D24"/>
    <w:rsid w:val="00506B53"/>
    <w:rsid w:val="0050755A"/>
    <w:rsid w:val="00525EA6"/>
    <w:rsid w:val="00525F5C"/>
    <w:rsid w:val="005262DE"/>
    <w:rsid w:val="0053461A"/>
    <w:rsid w:val="00535CEF"/>
    <w:rsid w:val="005443B3"/>
    <w:rsid w:val="005511A7"/>
    <w:rsid w:val="0055165F"/>
    <w:rsid w:val="0055189E"/>
    <w:rsid w:val="005605EF"/>
    <w:rsid w:val="0056126D"/>
    <w:rsid w:val="00573D78"/>
    <w:rsid w:val="00577454"/>
    <w:rsid w:val="00580E0D"/>
    <w:rsid w:val="00581141"/>
    <w:rsid w:val="00587B04"/>
    <w:rsid w:val="00587DA6"/>
    <w:rsid w:val="00596FA9"/>
    <w:rsid w:val="005975A7"/>
    <w:rsid w:val="005A0AFA"/>
    <w:rsid w:val="005A1FA5"/>
    <w:rsid w:val="005A2809"/>
    <w:rsid w:val="005A4668"/>
    <w:rsid w:val="005B0ABE"/>
    <w:rsid w:val="005B2098"/>
    <w:rsid w:val="005B5D50"/>
    <w:rsid w:val="005B604D"/>
    <w:rsid w:val="005C6CF3"/>
    <w:rsid w:val="005D4511"/>
    <w:rsid w:val="005D511C"/>
    <w:rsid w:val="005D6237"/>
    <w:rsid w:val="005D6295"/>
    <w:rsid w:val="005E0754"/>
    <w:rsid w:val="005E12F4"/>
    <w:rsid w:val="005E4912"/>
    <w:rsid w:val="005E5A26"/>
    <w:rsid w:val="005E5BF3"/>
    <w:rsid w:val="005F109C"/>
    <w:rsid w:val="005F702A"/>
    <w:rsid w:val="0060053D"/>
    <w:rsid w:val="00601408"/>
    <w:rsid w:val="00606C8F"/>
    <w:rsid w:val="00610D3F"/>
    <w:rsid w:val="006153F8"/>
    <w:rsid w:val="00617B84"/>
    <w:rsid w:val="00620728"/>
    <w:rsid w:val="00626BD6"/>
    <w:rsid w:val="0063198C"/>
    <w:rsid w:val="0063202E"/>
    <w:rsid w:val="006334E7"/>
    <w:rsid w:val="00635205"/>
    <w:rsid w:val="006355C2"/>
    <w:rsid w:val="00637149"/>
    <w:rsid w:val="00640245"/>
    <w:rsid w:val="006474D2"/>
    <w:rsid w:val="006526B7"/>
    <w:rsid w:val="006528E7"/>
    <w:rsid w:val="0066512C"/>
    <w:rsid w:val="0066533C"/>
    <w:rsid w:val="006726C0"/>
    <w:rsid w:val="00677E52"/>
    <w:rsid w:val="0068590D"/>
    <w:rsid w:val="00685CC1"/>
    <w:rsid w:val="00687599"/>
    <w:rsid w:val="0069340F"/>
    <w:rsid w:val="00695DF0"/>
    <w:rsid w:val="006A1A90"/>
    <w:rsid w:val="006B14A2"/>
    <w:rsid w:val="006B6D32"/>
    <w:rsid w:val="006B7630"/>
    <w:rsid w:val="006C4007"/>
    <w:rsid w:val="006C4F4C"/>
    <w:rsid w:val="006C6718"/>
    <w:rsid w:val="006D0B17"/>
    <w:rsid w:val="006D102D"/>
    <w:rsid w:val="006D6EC8"/>
    <w:rsid w:val="006D7836"/>
    <w:rsid w:val="006E16C9"/>
    <w:rsid w:val="006E3BE1"/>
    <w:rsid w:val="006E6313"/>
    <w:rsid w:val="006E6AEF"/>
    <w:rsid w:val="006E7061"/>
    <w:rsid w:val="006F03CB"/>
    <w:rsid w:val="006F3E20"/>
    <w:rsid w:val="006F4C35"/>
    <w:rsid w:val="006F585B"/>
    <w:rsid w:val="00704022"/>
    <w:rsid w:val="00707385"/>
    <w:rsid w:val="007105B6"/>
    <w:rsid w:val="007118CE"/>
    <w:rsid w:val="0071448D"/>
    <w:rsid w:val="00717AF6"/>
    <w:rsid w:val="00725607"/>
    <w:rsid w:val="00726DC9"/>
    <w:rsid w:val="00730116"/>
    <w:rsid w:val="00731011"/>
    <w:rsid w:val="00732D83"/>
    <w:rsid w:val="00734070"/>
    <w:rsid w:val="0073497B"/>
    <w:rsid w:val="00735F2F"/>
    <w:rsid w:val="00743F08"/>
    <w:rsid w:val="00747C52"/>
    <w:rsid w:val="007511E3"/>
    <w:rsid w:val="0076471E"/>
    <w:rsid w:val="007762CE"/>
    <w:rsid w:val="00780B07"/>
    <w:rsid w:val="0078765B"/>
    <w:rsid w:val="00795A90"/>
    <w:rsid w:val="007A3B28"/>
    <w:rsid w:val="007A4F6D"/>
    <w:rsid w:val="007A6F84"/>
    <w:rsid w:val="007B3C17"/>
    <w:rsid w:val="007B7DF5"/>
    <w:rsid w:val="007B7E86"/>
    <w:rsid w:val="007C28A6"/>
    <w:rsid w:val="007C4661"/>
    <w:rsid w:val="007D2F68"/>
    <w:rsid w:val="007D3D44"/>
    <w:rsid w:val="007D560A"/>
    <w:rsid w:val="007D5CC0"/>
    <w:rsid w:val="007D6665"/>
    <w:rsid w:val="007D6692"/>
    <w:rsid w:val="007E2B66"/>
    <w:rsid w:val="007F0132"/>
    <w:rsid w:val="007F02D1"/>
    <w:rsid w:val="007F08E0"/>
    <w:rsid w:val="00803AB6"/>
    <w:rsid w:val="0080468A"/>
    <w:rsid w:val="00806336"/>
    <w:rsid w:val="0081237C"/>
    <w:rsid w:val="0081741F"/>
    <w:rsid w:val="008218D6"/>
    <w:rsid w:val="008252BD"/>
    <w:rsid w:val="008270C5"/>
    <w:rsid w:val="00827186"/>
    <w:rsid w:val="00827902"/>
    <w:rsid w:val="008317D2"/>
    <w:rsid w:val="00831E38"/>
    <w:rsid w:val="00833C82"/>
    <w:rsid w:val="00837564"/>
    <w:rsid w:val="0084040A"/>
    <w:rsid w:val="008418C4"/>
    <w:rsid w:val="0084365C"/>
    <w:rsid w:val="0084490C"/>
    <w:rsid w:val="00845C99"/>
    <w:rsid w:val="0084691A"/>
    <w:rsid w:val="00847274"/>
    <w:rsid w:val="008576D9"/>
    <w:rsid w:val="008626C1"/>
    <w:rsid w:val="00863446"/>
    <w:rsid w:val="00870DE1"/>
    <w:rsid w:val="00882D5B"/>
    <w:rsid w:val="00884402"/>
    <w:rsid w:val="00886A98"/>
    <w:rsid w:val="00890C6C"/>
    <w:rsid w:val="008A1ABB"/>
    <w:rsid w:val="008A2EDD"/>
    <w:rsid w:val="008A5256"/>
    <w:rsid w:val="008B11CB"/>
    <w:rsid w:val="008B2164"/>
    <w:rsid w:val="008B31E9"/>
    <w:rsid w:val="008B43F7"/>
    <w:rsid w:val="008B693D"/>
    <w:rsid w:val="008B6CC8"/>
    <w:rsid w:val="008B7945"/>
    <w:rsid w:val="008B7EA3"/>
    <w:rsid w:val="008C34DF"/>
    <w:rsid w:val="008C4E78"/>
    <w:rsid w:val="008C6BD0"/>
    <w:rsid w:val="008C71D6"/>
    <w:rsid w:val="008D2C8F"/>
    <w:rsid w:val="008D41B3"/>
    <w:rsid w:val="008D70D4"/>
    <w:rsid w:val="008D743B"/>
    <w:rsid w:val="008E0755"/>
    <w:rsid w:val="008F1A99"/>
    <w:rsid w:val="008F1BDB"/>
    <w:rsid w:val="008F2F12"/>
    <w:rsid w:val="00900305"/>
    <w:rsid w:val="0090326A"/>
    <w:rsid w:val="00904477"/>
    <w:rsid w:val="00904A01"/>
    <w:rsid w:val="00912D2E"/>
    <w:rsid w:val="00913359"/>
    <w:rsid w:val="00917252"/>
    <w:rsid w:val="00924661"/>
    <w:rsid w:val="00924F2A"/>
    <w:rsid w:val="00924F8C"/>
    <w:rsid w:val="009250C7"/>
    <w:rsid w:val="0092512C"/>
    <w:rsid w:val="009258A4"/>
    <w:rsid w:val="0093087E"/>
    <w:rsid w:val="00935039"/>
    <w:rsid w:val="00936FCD"/>
    <w:rsid w:val="009444BB"/>
    <w:rsid w:val="0094494F"/>
    <w:rsid w:val="009474C6"/>
    <w:rsid w:val="0095178C"/>
    <w:rsid w:val="00955E76"/>
    <w:rsid w:val="00955FD6"/>
    <w:rsid w:val="009737D8"/>
    <w:rsid w:val="00973C01"/>
    <w:rsid w:val="00977FBC"/>
    <w:rsid w:val="00980669"/>
    <w:rsid w:val="00984C16"/>
    <w:rsid w:val="00984CCE"/>
    <w:rsid w:val="00991A94"/>
    <w:rsid w:val="009944B4"/>
    <w:rsid w:val="0099465A"/>
    <w:rsid w:val="009959AC"/>
    <w:rsid w:val="009A0DF7"/>
    <w:rsid w:val="009A1232"/>
    <w:rsid w:val="009A3761"/>
    <w:rsid w:val="009B33B3"/>
    <w:rsid w:val="009B4723"/>
    <w:rsid w:val="009B53B3"/>
    <w:rsid w:val="009B61CB"/>
    <w:rsid w:val="009D06CE"/>
    <w:rsid w:val="009D4F29"/>
    <w:rsid w:val="009D5BA9"/>
    <w:rsid w:val="009E3A54"/>
    <w:rsid w:val="009E4C36"/>
    <w:rsid w:val="009E74B1"/>
    <w:rsid w:val="009F26D4"/>
    <w:rsid w:val="009F69B1"/>
    <w:rsid w:val="009F69D8"/>
    <w:rsid w:val="00A02D53"/>
    <w:rsid w:val="00A031AB"/>
    <w:rsid w:val="00A03725"/>
    <w:rsid w:val="00A05142"/>
    <w:rsid w:val="00A1354F"/>
    <w:rsid w:val="00A13D82"/>
    <w:rsid w:val="00A15FE0"/>
    <w:rsid w:val="00A216ED"/>
    <w:rsid w:val="00A315AC"/>
    <w:rsid w:val="00A35407"/>
    <w:rsid w:val="00A370C2"/>
    <w:rsid w:val="00A4018F"/>
    <w:rsid w:val="00A436E7"/>
    <w:rsid w:val="00A4517C"/>
    <w:rsid w:val="00A51D4D"/>
    <w:rsid w:val="00A522AD"/>
    <w:rsid w:val="00A54887"/>
    <w:rsid w:val="00A578EB"/>
    <w:rsid w:val="00A57DDD"/>
    <w:rsid w:val="00A6170A"/>
    <w:rsid w:val="00A64359"/>
    <w:rsid w:val="00A67DE5"/>
    <w:rsid w:val="00A72467"/>
    <w:rsid w:val="00A736A2"/>
    <w:rsid w:val="00A77D60"/>
    <w:rsid w:val="00A80257"/>
    <w:rsid w:val="00A820FC"/>
    <w:rsid w:val="00A85BE0"/>
    <w:rsid w:val="00A90F4C"/>
    <w:rsid w:val="00A92B31"/>
    <w:rsid w:val="00A938F4"/>
    <w:rsid w:val="00A94484"/>
    <w:rsid w:val="00A977FD"/>
    <w:rsid w:val="00AA06F9"/>
    <w:rsid w:val="00AA2C06"/>
    <w:rsid w:val="00AA7C05"/>
    <w:rsid w:val="00AB0F07"/>
    <w:rsid w:val="00AC4D96"/>
    <w:rsid w:val="00AC52FA"/>
    <w:rsid w:val="00AD0798"/>
    <w:rsid w:val="00AD50B9"/>
    <w:rsid w:val="00AD6B17"/>
    <w:rsid w:val="00AD7D2F"/>
    <w:rsid w:val="00AE31CD"/>
    <w:rsid w:val="00AE3FED"/>
    <w:rsid w:val="00AE45E0"/>
    <w:rsid w:val="00AE4933"/>
    <w:rsid w:val="00AE6FB4"/>
    <w:rsid w:val="00AF025F"/>
    <w:rsid w:val="00AF7605"/>
    <w:rsid w:val="00B0350D"/>
    <w:rsid w:val="00B06FC2"/>
    <w:rsid w:val="00B175CE"/>
    <w:rsid w:val="00B1766A"/>
    <w:rsid w:val="00B20AC8"/>
    <w:rsid w:val="00B22073"/>
    <w:rsid w:val="00B24854"/>
    <w:rsid w:val="00B27D5F"/>
    <w:rsid w:val="00B357D9"/>
    <w:rsid w:val="00B41697"/>
    <w:rsid w:val="00B452F9"/>
    <w:rsid w:val="00B45D04"/>
    <w:rsid w:val="00B46AAD"/>
    <w:rsid w:val="00B561A3"/>
    <w:rsid w:val="00B60B6A"/>
    <w:rsid w:val="00B6723C"/>
    <w:rsid w:val="00B716AD"/>
    <w:rsid w:val="00B72444"/>
    <w:rsid w:val="00B760E5"/>
    <w:rsid w:val="00B80C9E"/>
    <w:rsid w:val="00B959F2"/>
    <w:rsid w:val="00B95AAB"/>
    <w:rsid w:val="00B96034"/>
    <w:rsid w:val="00B97746"/>
    <w:rsid w:val="00BA1E35"/>
    <w:rsid w:val="00BA356D"/>
    <w:rsid w:val="00BA4A20"/>
    <w:rsid w:val="00BB54BD"/>
    <w:rsid w:val="00BB63F9"/>
    <w:rsid w:val="00BB7272"/>
    <w:rsid w:val="00BC3E03"/>
    <w:rsid w:val="00BC6158"/>
    <w:rsid w:val="00BD2307"/>
    <w:rsid w:val="00BD2901"/>
    <w:rsid w:val="00BD5644"/>
    <w:rsid w:val="00BD589B"/>
    <w:rsid w:val="00BD62CC"/>
    <w:rsid w:val="00BE4093"/>
    <w:rsid w:val="00BE73F7"/>
    <w:rsid w:val="00BF0521"/>
    <w:rsid w:val="00BF6113"/>
    <w:rsid w:val="00C021CE"/>
    <w:rsid w:val="00C05D86"/>
    <w:rsid w:val="00C071B2"/>
    <w:rsid w:val="00C10F97"/>
    <w:rsid w:val="00C1251F"/>
    <w:rsid w:val="00C15E6D"/>
    <w:rsid w:val="00C2633C"/>
    <w:rsid w:val="00C30185"/>
    <w:rsid w:val="00C337E4"/>
    <w:rsid w:val="00C35279"/>
    <w:rsid w:val="00C37115"/>
    <w:rsid w:val="00C37717"/>
    <w:rsid w:val="00C37A13"/>
    <w:rsid w:val="00C402B1"/>
    <w:rsid w:val="00C41B37"/>
    <w:rsid w:val="00C53438"/>
    <w:rsid w:val="00C631CD"/>
    <w:rsid w:val="00C64E13"/>
    <w:rsid w:val="00C657E6"/>
    <w:rsid w:val="00C66572"/>
    <w:rsid w:val="00C6722E"/>
    <w:rsid w:val="00C67735"/>
    <w:rsid w:val="00C76BC8"/>
    <w:rsid w:val="00C808CD"/>
    <w:rsid w:val="00C81737"/>
    <w:rsid w:val="00C847CF"/>
    <w:rsid w:val="00C93435"/>
    <w:rsid w:val="00CA0FF6"/>
    <w:rsid w:val="00CA1456"/>
    <w:rsid w:val="00CA7BF4"/>
    <w:rsid w:val="00CC1421"/>
    <w:rsid w:val="00CC43C2"/>
    <w:rsid w:val="00CC75FA"/>
    <w:rsid w:val="00CD0298"/>
    <w:rsid w:val="00CD18CC"/>
    <w:rsid w:val="00CD2449"/>
    <w:rsid w:val="00CE0C7E"/>
    <w:rsid w:val="00CE1D6A"/>
    <w:rsid w:val="00CE1D8F"/>
    <w:rsid w:val="00CE6077"/>
    <w:rsid w:val="00CE6446"/>
    <w:rsid w:val="00CF0C84"/>
    <w:rsid w:val="00CF45BE"/>
    <w:rsid w:val="00CF5E7C"/>
    <w:rsid w:val="00CF6BF4"/>
    <w:rsid w:val="00D007B7"/>
    <w:rsid w:val="00D04C6B"/>
    <w:rsid w:val="00D13256"/>
    <w:rsid w:val="00D13829"/>
    <w:rsid w:val="00D153CF"/>
    <w:rsid w:val="00D2643F"/>
    <w:rsid w:val="00D27BC5"/>
    <w:rsid w:val="00D34CDD"/>
    <w:rsid w:val="00D36AB4"/>
    <w:rsid w:val="00D36AC2"/>
    <w:rsid w:val="00D45DE3"/>
    <w:rsid w:val="00D46895"/>
    <w:rsid w:val="00D47F71"/>
    <w:rsid w:val="00D53364"/>
    <w:rsid w:val="00D605E4"/>
    <w:rsid w:val="00D615EB"/>
    <w:rsid w:val="00D7205C"/>
    <w:rsid w:val="00D72934"/>
    <w:rsid w:val="00D748CA"/>
    <w:rsid w:val="00D75DE5"/>
    <w:rsid w:val="00D83950"/>
    <w:rsid w:val="00D84226"/>
    <w:rsid w:val="00D862E1"/>
    <w:rsid w:val="00D87E6D"/>
    <w:rsid w:val="00DA4E61"/>
    <w:rsid w:val="00DA5DB0"/>
    <w:rsid w:val="00DA691D"/>
    <w:rsid w:val="00DB0327"/>
    <w:rsid w:val="00DB03B8"/>
    <w:rsid w:val="00DB7DA1"/>
    <w:rsid w:val="00DC07A9"/>
    <w:rsid w:val="00DC2EEA"/>
    <w:rsid w:val="00DC3A4A"/>
    <w:rsid w:val="00DD3585"/>
    <w:rsid w:val="00DE602A"/>
    <w:rsid w:val="00DF3C90"/>
    <w:rsid w:val="00DF44F9"/>
    <w:rsid w:val="00DF5954"/>
    <w:rsid w:val="00DF69EE"/>
    <w:rsid w:val="00E023F5"/>
    <w:rsid w:val="00E06F2F"/>
    <w:rsid w:val="00E07928"/>
    <w:rsid w:val="00E1602F"/>
    <w:rsid w:val="00E1654D"/>
    <w:rsid w:val="00E2611B"/>
    <w:rsid w:val="00E26F1D"/>
    <w:rsid w:val="00E3404B"/>
    <w:rsid w:val="00E36DDE"/>
    <w:rsid w:val="00E40DE1"/>
    <w:rsid w:val="00E4162B"/>
    <w:rsid w:val="00E47B9D"/>
    <w:rsid w:val="00E47D72"/>
    <w:rsid w:val="00E5073B"/>
    <w:rsid w:val="00E5496C"/>
    <w:rsid w:val="00E54A5A"/>
    <w:rsid w:val="00E55442"/>
    <w:rsid w:val="00E55C12"/>
    <w:rsid w:val="00E56181"/>
    <w:rsid w:val="00E67C8B"/>
    <w:rsid w:val="00E74616"/>
    <w:rsid w:val="00E74D9A"/>
    <w:rsid w:val="00E818EA"/>
    <w:rsid w:val="00E87C9B"/>
    <w:rsid w:val="00E87CFA"/>
    <w:rsid w:val="00E93944"/>
    <w:rsid w:val="00E945E6"/>
    <w:rsid w:val="00E9664D"/>
    <w:rsid w:val="00E9720D"/>
    <w:rsid w:val="00EA5CFA"/>
    <w:rsid w:val="00EA76B4"/>
    <w:rsid w:val="00EA7D67"/>
    <w:rsid w:val="00EB1B57"/>
    <w:rsid w:val="00EB38C6"/>
    <w:rsid w:val="00EC5A80"/>
    <w:rsid w:val="00EC62E6"/>
    <w:rsid w:val="00EE706B"/>
    <w:rsid w:val="00EE7F0D"/>
    <w:rsid w:val="00EF1460"/>
    <w:rsid w:val="00EF45F7"/>
    <w:rsid w:val="00EF4D51"/>
    <w:rsid w:val="00F0129C"/>
    <w:rsid w:val="00F01563"/>
    <w:rsid w:val="00F0254F"/>
    <w:rsid w:val="00F04BFE"/>
    <w:rsid w:val="00F071CB"/>
    <w:rsid w:val="00F1167E"/>
    <w:rsid w:val="00F1229F"/>
    <w:rsid w:val="00F124AE"/>
    <w:rsid w:val="00F153DC"/>
    <w:rsid w:val="00F20147"/>
    <w:rsid w:val="00F209EB"/>
    <w:rsid w:val="00F21DBA"/>
    <w:rsid w:val="00F264EF"/>
    <w:rsid w:val="00F27F87"/>
    <w:rsid w:val="00F3212D"/>
    <w:rsid w:val="00F32DC2"/>
    <w:rsid w:val="00F40C25"/>
    <w:rsid w:val="00F43FF0"/>
    <w:rsid w:val="00F44735"/>
    <w:rsid w:val="00F44ADC"/>
    <w:rsid w:val="00F44C8B"/>
    <w:rsid w:val="00F46576"/>
    <w:rsid w:val="00F47A21"/>
    <w:rsid w:val="00F50B74"/>
    <w:rsid w:val="00F525F8"/>
    <w:rsid w:val="00F57BBB"/>
    <w:rsid w:val="00F64C8B"/>
    <w:rsid w:val="00F70989"/>
    <w:rsid w:val="00F747CC"/>
    <w:rsid w:val="00F81AD0"/>
    <w:rsid w:val="00F82BBB"/>
    <w:rsid w:val="00F83AF9"/>
    <w:rsid w:val="00F8434F"/>
    <w:rsid w:val="00F850F0"/>
    <w:rsid w:val="00F855FE"/>
    <w:rsid w:val="00F865F4"/>
    <w:rsid w:val="00F86B76"/>
    <w:rsid w:val="00F92C03"/>
    <w:rsid w:val="00F930C3"/>
    <w:rsid w:val="00F95F3C"/>
    <w:rsid w:val="00F96CD1"/>
    <w:rsid w:val="00FA1D9A"/>
    <w:rsid w:val="00FA275B"/>
    <w:rsid w:val="00FB15C4"/>
    <w:rsid w:val="00FC1747"/>
    <w:rsid w:val="00FC2FCA"/>
    <w:rsid w:val="00FC5532"/>
    <w:rsid w:val="00FC6631"/>
    <w:rsid w:val="00FC7E65"/>
    <w:rsid w:val="00FD3E76"/>
    <w:rsid w:val="00FD6E29"/>
    <w:rsid w:val="00FD6FEF"/>
    <w:rsid w:val="00FE13D4"/>
    <w:rsid w:val="00FE2CF2"/>
    <w:rsid w:val="00FE3BCB"/>
    <w:rsid w:val="00FE7C05"/>
    <w:rsid w:val="00FF14BA"/>
    <w:rsid w:val="00FF253C"/>
    <w:rsid w:val="00FF4832"/>
    <w:rsid w:val="00FF6D34"/>
    <w:rsid w:val="00FF726D"/>
    <w:rsid w:val="01441BB9"/>
    <w:rsid w:val="04141B96"/>
    <w:rsid w:val="098E39B9"/>
    <w:rsid w:val="09E57B97"/>
    <w:rsid w:val="0ADA152D"/>
    <w:rsid w:val="0D9E1C0C"/>
    <w:rsid w:val="0E4B143D"/>
    <w:rsid w:val="0EF02E72"/>
    <w:rsid w:val="10814158"/>
    <w:rsid w:val="12844DC1"/>
    <w:rsid w:val="1823357E"/>
    <w:rsid w:val="187036B2"/>
    <w:rsid w:val="1B1A3889"/>
    <w:rsid w:val="1F94354A"/>
    <w:rsid w:val="1FFD21D9"/>
    <w:rsid w:val="21460153"/>
    <w:rsid w:val="21DA3F9D"/>
    <w:rsid w:val="223D0F22"/>
    <w:rsid w:val="24743B37"/>
    <w:rsid w:val="25470B20"/>
    <w:rsid w:val="29483C47"/>
    <w:rsid w:val="2A8F3BCE"/>
    <w:rsid w:val="2CAF4831"/>
    <w:rsid w:val="2E1264C3"/>
    <w:rsid w:val="2F1D0509"/>
    <w:rsid w:val="2F7431E9"/>
    <w:rsid w:val="30FA4A8D"/>
    <w:rsid w:val="31AA78D1"/>
    <w:rsid w:val="340F3E61"/>
    <w:rsid w:val="383348EB"/>
    <w:rsid w:val="3E792B8A"/>
    <w:rsid w:val="3FB405DD"/>
    <w:rsid w:val="422443EC"/>
    <w:rsid w:val="436D3360"/>
    <w:rsid w:val="45361007"/>
    <w:rsid w:val="494A68AB"/>
    <w:rsid w:val="4AF73C7C"/>
    <w:rsid w:val="4C247FE3"/>
    <w:rsid w:val="4D03459A"/>
    <w:rsid w:val="4E2540DD"/>
    <w:rsid w:val="4F0928DF"/>
    <w:rsid w:val="53387659"/>
    <w:rsid w:val="55104550"/>
    <w:rsid w:val="57F3068C"/>
    <w:rsid w:val="58D20590"/>
    <w:rsid w:val="5D410D65"/>
    <w:rsid w:val="5E660CC1"/>
    <w:rsid w:val="62B14911"/>
    <w:rsid w:val="661D5A78"/>
    <w:rsid w:val="663B1AE6"/>
    <w:rsid w:val="678213EA"/>
    <w:rsid w:val="68DF1839"/>
    <w:rsid w:val="6B300AA0"/>
    <w:rsid w:val="6E3D39F9"/>
    <w:rsid w:val="6FA81A09"/>
    <w:rsid w:val="70350492"/>
    <w:rsid w:val="71D44901"/>
    <w:rsid w:val="720924FA"/>
    <w:rsid w:val="73007C27"/>
    <w:rsid w:val="74B13A97"/>
    <w:rsid w:val="74DE6D70"/>
    <w:rsid w:val="75435570"/>
    <w:rsid w:val="76171091"/>
    <w:rsid w:val="7AFE135D"/>
    <w:rsid w:val="7C683D87"/>
    <w:rsid w:val="7CEF1D89"/>
    <w:rsid w:val="7E494DA3"/>
    <w:rsid w:val="7FC4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</w:rPr>
  </w:style>
  <w:style w:type="paragraph" w:styleId="5">
    <w:name w:val="Body Text"/>
    <w:basedOn w:val="1"/>
    <w:unhideWhenUsed/>
    <w:qFormat/>
    <w:uiPriority w:val="1"/>
    <w:pPr>
      <w:spacing w:before="41"/>
      <w:ind w:left="121"/>
      <w:jc w:val="left"/>
    </w:pPr>
    <w:rPr>
      <w:rFonts w:ascii="仿宋" w:hAnsi="仿宋" w:eastAsia="仿宋"/>
      <w:kern w:val="0"/>
      <w:sz w:val="28"/>
      <w:szCs w:val="28"/>
      <w:lang w:eastAsia="en-US"/>
    </w:rPr>
  </w:style>
  <w:style w:type="paragraph" w:styleId="6">
    <w:name w:val="Body Text Indent"/>
    <w:basedOn w:val="1"/>
    <w:qFormat/>
    <w:uiPriority w:val="0"/>
    <w:pPr>
      <w:spacing w:line="380" w:lineRule="exact"/>
      <w:ind w:firstLine="480" w:firstLineChars="200"/>
    </w:pPr>
    <w:rPr>
      <w:rFonts w:ascii="宋体" w:hAnsi="宋体"/>
      <w:sz w:val="24"/>
    </w:rPr>
  </w:style>
  <w:style w:type="paragraph" w:styleId="7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rFonts w:ascii="宋体" w:hAnsi="宋体"/>
      <w:sz w:val="24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link w:val="2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</w:style>
  <w:style w:type="paragraph" w:styleId="14">
    <w:name w:val="footnote text"/>
    <w:basedOn w:val="1"/>
    <w:link w:val="27"/>
    <w:qFormat/>
    <w:uiPriority w:val="0"/>
    <w:pPr>
      <w:snapToGrid w:val="0"/>
      <w:jc w:val="left"/>
    </w:pPr>
    <w:rPr>
      <w:sz w:val="18"/>
      <w:szCs w:val="18"/>
    </w:rPr>
  </w:style>
  <w:style w:type="paragraph" w:styleId="1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page number"/>
    <w:basedOn w:val="18"/>
    <w:qFormat/>
    <w:uiPriority w:val="0"/>
  </w:style>
  <w:style w:type="character" w:styleId="20">
    <w:name w:val="Hyperlink"/>
    <w:basedOn w:val="18"/>
    <w:unhideWhenUsed/>
    <w:qFormat/>
    <w:uiPriority w:val="99"/>
    <w:rPr>
      <w:color w:val="0000FF" w:themeColor="hyperlink"/>
      <w:u w:val="single"/>
    </w:rPr>
  </w:style>
  <w:style w:type="character" w:styleId="21">
    <w:name w:val="footnote reference"/>
    <w:basedOn w:val="18"/>
    <w:qFormat/>
    <w:uiPriority w:val="0"/>
    <w:rPr>
      <w:vertAlign w:val="superscript"/>
    </w:rPr>
  </w:style>
  <w:style w:type="character" w:customStyle="1" w:styleId="22">
    <w:name w:val="无间隔 Char"/>
    <w:basedOn w:val="18"/>
    <w:link w:val="23"/>
    <w:qFormat/>
    <w:uiPriority w:val="1"/>
    <w:rPr>
      <w:rFonts w:ascii="Calibri" w:hAnsi="Calibri"/>
      <w:sz w:val="22"/>
      <w:szCs w:val="22"/>
      <w:lang w:val="en-US" w:eastAsia="zh-CN" w:bidi="ar-SA"/>
    </w:rPr>
  </w:style>
  <w:style w:type="paragraph" w:styleId="23">
    <w:name w:val="No Spacing"/>
    <w:link w:val="22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24">
    <w:name w:val="页脚 Char"/>
    <w:basedOn w:val="18"/>
    <w:link w:val="11"/>
    <w:qFormat/>
    <w:uiPriority w:val="99"/>
    <w:rPr>
      <w:kern w:val="2"/>
      <w:sz w:val="18"/>
      <w:szCs w:val="18"/>
    </w:rPr>
  </w:style>
  <w:style w:type="character" w:customStyle="1" w:styleId="25">
    <w:name w:val="批注框文本 Char"/>
    <w:basedOn w:val="18"/>
    <w:link w:val="10"/>
    <w:qFormat/>
    <w:uiPriority w:val="0"/>
    <w:rPr>
      <w:kern w:val="2"/>
      <w:sz w:val="18"/>
      <w:szCs w:val="18"/>
    </w:rPr>
  </w:style>
  <w:style w:type="character" w:customStyle="1" w:styleId="26">
    <w:name w:val="页眉 Char"/>
    <w:basedOn w:val="18"/>
    <w:link w:val="12"/>
    <w:qFormat/>
    <w:uiPriority w:val="99"/>
    <w:rPr>
      <w:kern w:val="2"/>
      <w:sz w:val="18"/>
      <w:szCs w:val="18"/>
    </w:rPr>
  </w:style>
  <w:style w:type="character" w:customStyle="1" w:styleId="27">
    <w:name w:val="脚注文本 Char"/>
    <w:basedOn w:val="18"/>
    <w:link w:val="14"/>
    <w:qFormat/>
    <w:uiPriority w:val="0"/>
    <w:rPr>
      <w:kern w:val="2"/>
      <w:sz w:val="18"/>
      <w:szCs w:val="18"/>
    </w:rPr>
  </w:style>
  <w:style w:type="paragraph" w:customStyle="1" w:styleId="28">
    <w:name w:val="Other|2"/>
    <w:basedOn w:val="1"/>
    <w:qFormat/>
    <w:uiPriority w:val="0"/>
    <w:pPr>
      <w:jc w:val="center"/>
    </w:pPr>
    <w:rPr>
      <w:rFonts w:ascii="宋体" w:hAnsi="宋体" w:cs="宋体"/>
      <w:sz w:val="20"/>
      <w:lang w:val="zh-TW" w:eastAsia="zh-TW" w:bidi="zh-TW"/>
    </w:rPr>
  </w:style>
  <w:style w:type="paragraph" w:customStyle="1" w:styleId="29">
    <w:name w:val="Other|1"/>
    <w:basedOn w:val="1"/>
    <w:qFormat/>
    <w:uiPriority w:val="0"/>
    <w:pPr>
      <w:spacing w:line="40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30">
    <w:name w:val="Header or footer|2"/>
    <w:basedOn w:val="1"/>
    <w:qFormat/>
    <w:uiPriority w:val="0"/>
    <w:rPr>
      <w:sz w:val="20"/>
      <w:lang w:val="zh-TW" w:eastAsia="zh-TW" w:bidi="zh-TW"/>
    </w:rPr>
  </w:style>
  <w:style w:type="paragraph" w:customStyle="1" w:styleId="31">
    <w:name w:val="TOC Heading"/>
    <w:basedOn w:val="3"/>
    <w:next w:val="1"/>
    <w:semiHidden/>
    <w:unhideWhenUsed/>
    <w:qFormat/>
    <w:uiPriority w:val="39"/>
    <w:pPr>
      <w:keepNext/>
      <w:keepLines/>
      <w:widowControl/>
      <w:spacing w:before="480" w:beforeAutospacing="0" w:afterAutospacing="0" w:line="276" w:lineRule="auto"/>
      <w:outlineLvl w:val="9"/>
    </w:pPr>
    <w:rPr>
      <w:rFonts w:hint="default" w:asciiTheme="majorHAnsi" w:hAnsiTheme="majorHAnsi" w:eastAsiaTheme="majorEastAsia" w:cstheme="majorBidi"/>
      <w:bCs/>
      <w:color w:val="366091" w:themeColor="accent1" w:themeShade="BF"/>
      <w:kern w:val="0"/>
      <w:sz w:val="28"/>
      <w:szCs w:val="28"/>
    </w:rPr>
  </w:style>
  <w:style w:type="paragraph" w:customStyle="1" w:styleId="32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106"/>
    <customShpInfo spid="_x0000_s4111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73DF80-32D0-48B6-BDC2-042DA40152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13</Pages>
  <Words>5068</Words>
  <Characters>5279</Characters>
  <Lines>90</Lines>
  <Paragraphs>25</Paragraphs>
  <TotalTime>1</TotalTime>
  <ScaleCrop>false</ScaleCrop>
  <LinksUpToDate>false</LinksUpToDate>
  <CharactersWithSpaces>5471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2014-04-21T00:28:00Z</dcterms:created>
  <dc:creator>中兴科技</dc:creator>
  <cp:lastModifiedBy>Administrator</cp:lastModifiedBy>
  <cp:lastPrinted>2021-11-03T03:13:00Z</cp:lastPrinted>
  <dcterms:modified xsi:type="dcterms:W3CDTF">2022-11-07T03:11:39Z</dcterms:modified>
  <dc:title>审 计 报 告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4A2DA667480C4F48BEB562C0F7E0314E</vt:lpwstr>
  </property>
</Properties>
</file>