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540" w:lineRule="exact"/>
        <w:ind w:firstLine="1440" w:firstLineChars="200"/>
        <w:jc w:val="both"/>
        <w:rPr>
          <w:rFonts w:ascii="Times New Roman" w:hAnsi="Times New Roman" w:eastAsia="宋体" w:cs="Times New Roman"/>
          <w:bCs/>
          <w:color w:val="auto"/>
          <w:kern w:val="2"/>
          <w:sz w:val="72"/>
          <w:szCs w:val="24"/>
        </w:rPr>
      </w:pPr>
    </w:p>
    <w:p>
      <w:pPr>
        <w:widowControl w:val="0"/>
        <w:adjustRightInd/>
        <w:snapToGrid/>
        <w:spacing w:after="0" w:line="540" w:lineRule="exact"/>
        <w:ind w:firstLine="1440" w:firstLineChars="200"/>
        <w:jc w:val="both"/>
        <w:rPr>
          <w:rFonts w:ascii="Times New Roman" w:hAnsi="Times New Roman" w:eastAsia="宋体" w:cs="Times New Roman"/>
          <w:bCs/>
          <w:color w:val="auto"/>
          <w:kern w:val="2"/>
          <w:sz w:val="72"/>
          <w:szCs w:val="24"/>
        </w:rPr>
      </w:pPr>
    </w:p>
    <w:p>
      <w:pPr>
        <w:widowControl w:val="0"/>
        <w:adjustRightInd/>
        <w:snapToGrid/>
        <w:spacing w:after="0" w:line="540" w:lineRule="exact"/>
        <w:ind w:firstLine="1440" w:firstLineChars="200"/>
        <w:jc w:val="both"/>
        <w:rPr>
          <w:rFonts w:ascii="Times New Roman" w:hAnsi="Times New Roman" w:eastAsia="宋体" w:cs="Times New Roman"/>
          <w:bCs/>
          <w:color w:val="auto"/>
          <w:kern w:val="2"/>
          <w:sz w:val="72"/>
          <w:szCs w:val="24"/>
        </w:rPr>
      </w:pPr>
    </w:p>
    <w:p>
      <w:pPr>
        <w:widowControl w:val="0"/>
        <w:adjustRightInd/>
        <w:snapToGrid/>
        <w:spacing w:after="0" w:line="480" w:lineRule="auto"/>
        <w:jc w:val="center"/>
        <w:rPr>
          <w:rFonts w:hint="eastAsia" w:ascii="黑体" w:hAnsi="黑体" w:eastAsia="黑体" w:cs="Times New Roman"/>
          <w:bCs/>
          <w:color w:val="auto"/>
          <w:kern w:val="2"/>
          <w:sz w:val="52"/>
          <w:szCs w:val="52"/>
          <w:lang w:eastAsia="zh-CN"/>
        </w:rPr>
      </w:pPr>
      <w:r>
        <w:rPr>
          <w:rFonts w:hint="eastAsia" w:ascii="黑体" w:hAnsi="黑体" w:eastAsia="黑体" w:cs="Times New Roman"/>
          <w:bCs/>
          <w:color w:val="auto"/>
          <w:kern w:val="2"/>
          <w:sz w:val="52"/>
          <w:szCs w:val="52"/>
          <w:lang w:val="en-US" w:eastAsia="zh-CN"/>
        </w:rPr>
        <w:t>曲阳县应急管理</w:t>
      </w:r>
      <w:r>
        <w:rPr>
          <w:rFonts w:hint="eastAsia" w:ascii="黑体" w:hAnsi="黑体" w:eastAsia="黑体" w:cs="Times New Roman"/>
          <w:bCs/>
          <w:color w:val="auto"/>
          <w:kern w:val="2"/>
          <w:sz w:val="52"/>
          <w:szCs w:val="52"/>
          <w:lang w:eastAsia="zh-CN"/>
        </w:rPr>
        <w:t>局</w:t>
      </w:r>
    </w:p>
    <w:p>
      <w:pPr>
        <w:widowControl w:val="0"/>
        <w:adjustRightInd/>
        <w:snapToGrid/>
        <w:spacing w:after="0" w:line="480" w:lineRule="auto"/>
        <w:jc w:val="center"/>
        <w:rPr>
          <w:rFonts w:ascii="黑体" w:hAnsi="黑体" w:eastAsia="黑体" w:cs="Times New Roman"/>
          <w:bCs/>
          <w:color w:val="auto"/>
          <w:kern w:val="2"/>
          <w:sz w:val="48"/>
          <w:szCs w:val="48"/>
        </w:rPr>
      </w:pPr>
      <w:r>
        <w:rPr>
          <w:rFonts w:hint="eastAsia" w:ascii="黑体" w:hAnsi="黑体" w:eastAsia="黑体" w:cs="Times New Roman"/>
          <w:bCs/>
          <w:color w:val="auto"/>
          <w:kern w:val="2"/>
          <w:sz w:val="48"/>
          <w:szCs w:val="48"/>
          <w:lang w:eastAsia="zh-CN"/>
        </w:rPr>
        <w:t>202</w:t>
      </w:r>
      <w:r>
        <w:rPr>
          <w:rFonts w:hint="eastAsia" w:ascii="黑体" w:hAnsi="黑体" w:eastAsia="黑体" w:cs="Times New Roman"/>
          <w:bCs/>
          <w:color w:val="auto"/>
          <w:kern w:val="2"/>
          <w:sz w:val="48"/>
          <w:szCs w:val="48"/>
          <w:lang w:val="en-US" w:eastAsia="zh-CN"/>
        </w:rPr>
        <w:t>1</w:t>
      </w:r>
      <w:r>
        <w:rPr>
          <w:rFonts w:hint="eastAsia" w:ascii="黑体" w:hAnsi="黑体" w:eastAsia="黑体" w:cs="Times New Roman"/>
          <w:bCs/>
          <w:color w:val="auto"/>
          <w:kern w:val="2"/>
          <w:sz w:val="48"/>
          <w:szCs w:val="48"/>
        </w:rPr>
        <w:t>年部门</w:t>
      </w:r>
    </w:p>
    <w:p>
      <w:pPr>
        <w:widowControl w:val="0"/>
        <w:adjustRightInd/>
        <w:snapToGrid/>
        <w:spacing w:after="0" w:line="480" w:lineRule="auto"/>
        <w:jc w:val="center"/>
        <w:rPr>
          <w:rFonts w:ascii="黑体" w:hAnsi="黑体" w:eastAsia="黑体" w:cs="Times New Roman"/>
          <w:bCs/>
          <w:color w:val="auto"/>
          <w:kern w:val="2"/>
          <w:sz w:val="48"/>
          <w:szCs w:val="48"/>
        </w:rPr>
      </w:pPr>
      <w:r>
        <w:rPr>
          <w:rFonts w:hint="eastAsia" w:ascii="黑体" w:hAnsi="黑体" w:eastAsia="黑体" w:cs="Times New Roman"/>
          <w:bCs/>
          <w:color w:val="auto"/>
          <w:kern w:val="2"/>
          <w:sz w:val="48"/>
          <w:szCs w:val="48"/>
        </w:rPr>
        <w:t>整体支出绩效评价报告</w:t>
      </w:r>
    </w:p>
    <w:p>
      <w:pPr>
        <w:widowControl w:val="0"/>
        <w:adjustRightInd/>
        <w:snapToGrid/>
        <w:spacing w:after="0" w:line="540" w:lineRule="exact"/>
        <w:ind w:firstLine="1440" w:firstLineChars="200"/>
        <w:jc w:val="both"/>
        <w:rPr>
          <w:rFonts w:ascii="Times New Roman" w:hAnsi="Times New Roman" w:eastAsia="宋体" w:cs="Times New Roman"/>
          <w:bCs/>
          <w:color w:val="auto"/>
          <w:kern w:val="2"/>
          <w:sz w:val="72"/>
          <w:szCs w:val="24"/>
        </w:rPr>
      </w:pPr>
    </w:p>
    <w:p>
      <w:pPr>
        <w:widowControl w:val="0"/>
        <w:adjustRightInd/>
        <w:snapToGrid/>
        <w:spacing w:after="0" w:line="540" w:lineRule="exact"/>
        <w:ind w:firstLine="1440" w:firstLineChars="200"/>
        <w:jc w:val="both"/>
        <w:rPr>
          <w:rFonts w:ascii="Times New Roman" w:hAnsi="Times New Roman" w:eastAsia="宋体" w:cs="Times New Roman"/>
          <w:bCs/>
          <w:color w:val="auto"/>
          <w:kern w:val="2"/>
          <w:sz w:val="72"/>
          <w:szCs w:val="24"/>
        </w:rPr>
      </w:pPr>
    </w:p>
    <w:p>
      <w:pPr>
        <w:widowControl w:val="0"/>
        <w:adjustRightInd/>
        <w:snapToGrid/>
        <w:spacing w:after="0" w:line="540" w:lineRule="exact"/>
        <w:ind w:firstLine="1440" w:firstLineChars="200"/>
        <w:jc w:val="both"/>
        <w:rPr>
          <w:rFonts w:ascii="Times New Roman" w:hAnsi="Times New Roman" w:eastAsia="宋体" w:cs="Times New Roman"/>
          <w:bCs/>
          <w:color w:val="auto"/>
          <w:kern w:val="2"/>
          <w:sz w:val="72"/>
          <w:szCs w:val="24"/>
        </w:rPr>
      </w:pPr>
    </w:p>
    <w:p>
      <w:pPr>
        <w:widowControl w:val="0"/>
        <w:adjustRightInd/>
        <w:snapToGrid/>
        <w:spacing w:after="0" w:line="540" w:lineRule="exact"/>
        <w:jc w:val="both"/>
        <w:rPr>
          <w:rFonts w:ascii="Times New Roman" w:hAnsi="Times New Roman" w:eastAsia="宋体" w:cs="Times New Roman"/>
          <w:bCs/>
          <w:color w:val="auto"/>
          <w:kern w:val="2"/>
          <w:sz w:val="72"/>
          <w:szCs w:val="24"/>
        </w:rPr>
      </w:pPr>
    </w:p>
    <w:p>
      <w:pPr>
        <w:widowControl w:val="0"/>
        <w:adjustRightInd/>
        <w:snapToGrid/>
        <w:spacing w:after="0" w:line="540" w:lineRule="exact"/>
        <w:ind w:firstLine="1440" w:firstLineChars="200"/>
        <w:jc w:val="both"/>
        <w:rPr>
          <w:rFonts w:ascii="Times New Roman" w:hAnsi="Times New Roman" w:eastAsia="宋体" w:cs="Times New Roman"/>
          <w:bCs/>
          <w:color w:val="auto"/>
          <w:kern w:val="2"/>
          <w:sz w:val="72"/>
          <w:szCs w:val="24"/>
        </w:rPr>
      </w:pPr>
    </w:p>
    <w:p>
      <w:pPr>
        <w:widowControl w:val="0"/>
        <w:adjustRightInd/>
        <w:snapToGrid/>
        <w:spacing w:after="0" w:line="540" w:lineRule="exact"/>
        <w:ind w:firstLine="1440" w:firstLineChars="200"/>
        <w:jc w:val="both"/>
        <w:rPr>
          <w:rFonts w:ascii="Times New Roman" w:hAnsi="Times New Roman" w:eastAsia="宋体" w:cs="Times New Roman"/>
          <w:bCs/>
          <w:color w:val="auto"/>
          <w:kern w:val="2"/>
          <w:sz w:val="72"/>
          <w:szCs w:val="24"/>
        </w:rPr>
      </w:pPr>
    </w:p>
    <w:p>
      <w:pPr>
        <w:spacing w:after="0" w:line="360" w:lineRule="auto"/>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rPr>
        <w:t>评价机构：</w:t>
      </w:r>
      <w:r>
        <w:rPr>
          <w:rFonts w:hint="eastAsia" w:ascii="仿宋_GB2312" w:eastAsia="仿宋_GB2312" w:cs="DengXian-Regular"/>
          <w:color w:val="auto"/>
          <w:sz w:val="32"/>
          <w:szCs w:val="32"/>
          <w:lang w:eastAsia="zh-CN"/>
        </w:rPr>
        <w:t>曲阳县财政局、</w:t>
      </w:r>
      <w:r>
        <w:rPr>
          <w:rFonts w:hint="eastAsia" w:ascii="仿宋_GB2312" w:eastAsia="仿宋_GB2312" w:cs="DengXian-Regular"/>
          <w:color w:val="auto"/>
          <w:sz w:val="32"/>
          <w:szCs w:val="32"/>
          <w:highlight w:val="none"/>
        </w:rPr>
        <w:t>河北</w:t>
      </w:r>
      <w:r>
        <w:rPr>
          <w:rFonts w:hint="eastAsia" w:ascii="仿宋_GB2312" w:eastAsia="仿宋_GB2312" w:cs="DengXian-Regular"/>
          <w:color w:val="auto"/>
          <w:sz w:val="32"/>
          <w:szCs w:val="32"/>
          <w:highlight w:val="none"/>
          <w:lang w:eastAsia="zh-CN"/>
        </w:rPr>
        <w:t>中盛信达</w:t>
      </w:r>
      <w:r>
        <w:rPr>
          <w:rFonts w:hint="eastAsia" w:ascii="仿宋_GB2312" w:eastAsia="仿宋_GB2312" w:cs="DengXian-Regular"/>
          <w:color w:val="auto"/>
          <w:sz w:val="32"/>
          <w:szCs w:val="32"/>
          <w:highlight w:val="none"/>
        </w:rPr>
        <w:t>会计师事务所有限公司</w:t>
      </w:r>
    </w:p>
    <w:p>
      <w:pPr>
        <w:spacing w:after="0" w:line="360" w:lineRule="auto"/>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被评价单位：曲阳县应急管理局</w:t>
      </w:r>
    </w:p>
    <w:p>
      <w:pPr>
        <w:spacing w:after="0" w:line="360" w:lineRule="auto"/>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评价内容：</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年部门整体支出</w:t>
      </w:r>
    </w:p>
    <w:p>
      <w:pPr>
        <w:spacing w:after="0" w:line="360" w:lineRule="auto"/>
        <w:jc w:val="both"/>
        <w:textAlignment w:val="baseline"/>
        <w:rPr>
          <w:rFonts w:ascii="仿宋_GB2312" w:eastAsia="仿宋_GB2312" w:cs="DengXian-Regular"/>
          <w:color w:val="auto"/>
          <w:sz w:val="32"/>
          <w:szCs w:val="32"/>
        </w:rPr>
        <w:sectPr>
          <w:headerReference r:id="rId4" w:type="default"/>
          <w:footerReference r:id="rId5" w:type="default"/>
          <w:pgSz w:w="11906" w:h="16838"/>
          <w:pgMar w:top="1440" w:right="1797" w:bottom="1191" w:left="1797" w:header="709" w:footer="567" w:gutter="0"/>
          <w:pgBorders>
            <w:top w:val="none" w:sz="0" w:space="0"/>
            <w:left w:val="none" w:sz="0" w:space="0"/>
            <w:bottom w:val="none" w:sz="0" w:space="0"/>
            <w:right w:val="none" w:sz="0" w:space="0"/>
          </w:pgBorders>
          <w:pgNumType w:start="1"/>
          <w:cols w:space="708" w:num="1"/>
          <w:docGrid w:linePitch="360" w:charSpace="0"/>
        </w:sectPr>
      </w:pPr>
      <w:r>
        <w:rPr>
          <w:rFonts w:hint="eastAsia" w:ascii="仿宋_GB2312" w:eastAsia="仿宋_GB2312" w:cs="DengXian-Regular"/>
          <w:color w:val="auto"/>
          <w:sz w:val="32"/>
          <w:szCs w:val="32"/>
        </w:rPr>
        <w:t>报告日期：</w:t>
      </w:r>
      <w:r>
        <w:rPr>
          <w:rFonts w:hint="eastAsia" w:ascii="仿宋_GB2312" w:eastAsia="仿宋_GB2312" w:cs="DengXian-Regular"/>
          <w:color w:val="auto"/>
          <w:sz w:val="32"/>
          <w:szCs w:val="32"/>
          <w:lang w:val="en-US" w:eastAsia="zh-CN"/>
        </w:rPr>
        <w:t>2022</w:t>
      </w:r>
      <w:r>
        <w:rPr>
          <w:rFonts w:hint="eastAsia" w:ascii="仿宋_GB2312" w:eastAsia="仿宋_GB2312" w:cs="DengXian-Regular"/>
          <w:color w:val="auto"/>
          <w:sz w:val="32"/>
          <w:szCs w:val="32"/>
        </w:rPr>
        <w:t>年</w:t>
      </w:r>
      <w:r>
        <w:rPr>
          <w:rFonts w:hint="eastAsia" w:ascii="仿宋_GB2312" w:eastAsia="仿宋_GB2312" w:cs="DengXian-Regular"/>
          <w:color w:val="auto"/>
          <w:sz w:val="32"/>
          <w:szCs w:val="32"/>
          <w:lang w:val="en-US" w:eastAsia="zh-CN"/>
        </w:rPr>
        <w:t>9</w:t>
      </w:r>
      <w:r>
        <w:rPr>
          <w:rFonts w:hint="eastAsia" w:ascii="仿宋_GB2312" w:eastAsia="仿宋_GB2312" w:cs="DengXian-Regular"/>
          <w:color w:val="auto"/>
          <w:sz w:val="32"/>
          <w:szCs w:val="32"/>
        </w:rPr>
        <w:t>月</w:t>
      </w:r>
      <w:r>
        <w:rPr>
          <w:rFonts w:hint="eastAsia" w:ascii="仿宋_GB2312" w:eastAsia="仿宋_GB2312" w:cs="DengXian-Regular"/>
          <w:color w:val="auto"/>
          <w:sz w:val="32"/>
          <w:szCs w:val="32"/>
          <w:lang w:val="en-US" w:eastAsia="zh-CN"/>
        </w:rPr>
        <w:t>30</w:t>
      </w:r>
      <w:r>
        <w:rPr>
          <w:rFonts w:hint="eastAsia" w:ascii="仿宋_GB2312" w:eastAsia="仿宋_GB2312" w:cs="DengXian-Regular"/>
          <w:color w:val="auto"/>
          <w:sz w:val="32"/>
          <w:szCs w:val="32"/>
        </w:rPr>
        <w:t>日</w:t>
      </w:r>
    </w:p>
    <w:p>
      <w:pPr>
        <w:spacing w:beforeLines="100" w:line="540" w:lineRule="exact"/>
        <w:jc w:val="center"/>
        <w:rPr>
          <w:rFonts w:hint="eastAsia" w:asciiTheme="minorEastAsia" w:hAnsiTheme="minorEastAsia" w:eastAsiaTheme="minorEastAsia"/>
          <w:b/>
          <w:color w:val="auto"/>
          <w:sz w:val="44"/>
          <w:szCs w:val="44"/>
          <w:lang w:eastAsia="zh-CN"/>
        </w:rPr>
      </w:pPr>
      <w:r>
        <w:rPr>
          <w:rFonts w:hint="eastAsia" w:asciiTheme="minorEastAsia" w:hAnsiTheme="minorEastAsia" w:eastAsiaTheme="minorEastAsia"/>
          <w:b/>
          <w:color w:val="auto"/>
          <w:sz w:val="44"/>
          <w:szCs w:val="44"/>
          <w:lang w:eastAsia="zh-CN"/>
        </w:rPr>
        <w:t>曲阳县应急管理局</w:t>
      </w:r>
    </w:p>
    <w:p>
      <w:pPr>
        <w:spacing w:beforeLines="100" w:line="540" w:lineRule="exact"/>
        <w:jc w:val="center"/>
        <w:rPr>
          <w:rFonts w:asciiTheme="minorEastAsia" w:hAnsiTheme="minorEastAsia" w:eastAsiaTheme="minorEastAsia"/>
          <w:b/>
          <w:color w:val="auto"/>
          <w:sz w:val="44"/>
          <w:szCs w:val="44"/>
        </w:rPr>
      </w:pPr>
      <w:r>
        <w:rPr>
          <w:rFonts w:hint="eastAsia" w:asciiTheme="minorEastAsia" w:hAnsiTheme="minorEastAsia" w:eastAsiaTheme="minorEastAsia"/>
          <w:b/>
          <w:color w:val="auto"/>
          <w:sz w:val="44"/>
          <w:szCs w:val="44"/>
          <w:lang w:eastAsia="zh-CN"/>
        </w:rPr>
        <w:t>202</w:t>
      </w:r>
      <w:r>
        <w:rPr>
          <w:rFonts w:hint="eastAsia" w:asciiTheme="minorEastAsia" w:hAnsiTheme="minorEastAsia" w:eastAsiaTheme="minorEastAsia"/>
          <w:b/>
          <w:color w:val="auto"/>
          <w:sz w:val="44"/>
          <w:szCs w:val="44"/>
          <w:lang w:val="en-US" w:eastAsia="zh-CN"/>
        </w:rPr>
        <w:t>1</w:t>
      </w:r>
      <w:r>
        <w:rPr>
          <w:rFonts w:hint="eastAsia" w:asciiTheme="minorEastAsia" w:hAnsiTheme="minorEastAsia" w:eastAsiaTheme="minorEastAsia"/>
          <w:b/>
          <w:color w:val="auto"/>
          <w:sz w:val="44"/>
          <w:szCs w:val="44"/>
        </w:rPr>
        <w:t>年部门</w:t>
      </w:r>
    </w:p>
    <w:p>
      <w:pPr>
        <w:spacing w:beforeLines="100" w:line="540" w:lineRule="exact"/>
        <w:jc w:val="center"/>
        <w:rPr>
          <w:rFonts w:hint="eastAsia" w:asciiTheme="minorEastAsia" w:hAnsiTheme="minorEastAsia" w:eastAsiaTheme="minorEastAsia"/>
          <w:b/>
          <w:color w:val="auto"/>
          <w:sz w:val="44"/>
          <w:szCs w:val="44"/>
        </w:rPr>
      </w:pPr>
      <w:r>
        <w:rPr>
          <w:rFonts w:hint="eastAsia" w:asciiTheme="minorEastAsia" w:hAnsiTheme="minorEastAsia" w:eastAsiaTheme="minorEastAsia"/>
          <w:b/>
          <w:color w:val="auto"/>
          <w:sz w:val="44"/>
          <w:szCs w:val="44"/>
        </w:rPr>
        <w:t>整体支出绩效评价报告</w:t>
      </w:r>
    </w:p>
    <w:p>
      <w:pPr>
        <w:spacing w:after="0" w:line="360" w:lineRule="auto"/>
        <w:jc w:val="right"/>
        <w:textAlignment w:val="baseline"/>
        <w:rPr>
          <w:rFonts w:hint="default" w:ascii="仿宋_GB2312" w:eastAsia="仿宋_GB2312" w:cs="DengXian-Regular"/>
          <w:color w:val="auto"/>
          <w:sz w:val="32"/>
          <w:szCs w:val="32"/>
          <w:lang w:val="en-US" w:eastAsia="zh-CN"/>
        </w:rPr>
      </w:pP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 w:hAnsi="仿宋" w:eastAsia="仿宋" w:cs="仿宋"/>
          <w:sz w:val="32"/>
          <w:szCs w:val="32"/>
          <w:lang w:eastAsia="zh-CN"/>
        </w:rPr>
        <w:t>根据《曲阳县财政局关于印发</w:t>
      </w:r>
      <w:r>
        <w:rPr>
          <w:rFonts w:hint="eastAsia" w:ascii="仿宋" w:hAnsi="仿宋" w:eastAsia="仿宋" w:cs="仿宋"/>
          <w:sz w:val="32"/>
          <w:szCs w:val="32"/>
          <w:lang w:val="en-US" w:eastAsia="zh-CN"/>
        </w:rPr>
        <w:t>2022年县级财政重点绩效评价计划的通知</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曲财</w:t>
      </w:r>
      <w:r>
        <w:rPr>
          <w:rFonts w:hint="eastAsia" w:ascii="仿宋" w:hAnsi="仿宋" w:eastAsia="仿宋" w:cs="仿宋"/>
          <w:sz w:val="32"/>
          <w:szCs w:val="32"/>
          <w:lang w:val="en-US" w:eastAsia="zh-CN"/>
        </w:rPr>
        <w:t>[2022] 54号),</w:t>
      </w:r>
      <w:r>
        <w:rPr>
          <w:rFonts w:hint="eastAsia" w:ascii="仿宋_GB2312" w:eastAsia="仿宋_GB2312" w:cs="DengXian-Regular"/>
          <w:color w:val="auto"/>
          <w:sz w:val="32"/>
          <w:szCs w:val="32"/>
        </w:rPr>
        <w:t>对</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年部门整体支出情况进行了绩效评价。</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提供与绩效评价有关的资料，并对资料的真实性、完整性、合法性负责，我们的责任是根据相关资料，对</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年部门整体支出的投入、过程、产出、效果四个方面和执行国家相关法律、法规情况发表评价意见。</w:t>
      </w:r>
    </w:p>
    <w:p>
      <w:pPr>
        <w:spacing w:after="0" w:line="360" w:lineRule="auto"/>
        <w:ind w:firstLine="640" w:firstLineChars="200"/>
        <w:jc w:val="both"/>
        <w:textAlignment w:val="baseline"/>
        <w:rPr>
          <w:rFonts w:ascii="仿宋_GB2312" w:eastAsia="仿宋_GB2312" w:cs="DengXian-Regular"/>
          <w:color w:val="auto"/>
          <w:sz w:val="32"/>
          <w:szCs w:val="32"/>
        </w:rPr>
        <w:sectPr>
          <w:pgSz w:w="11906" w:h="16838"/>
          <w:pgMar w:top="1440" w:right="1797" w:bottom="1191" w:left="1797" w:header="709" w:footer="624" w:gutter="0"/>
          <w:pgBorders>
            <w:top w:val="none" w:sz="0" w:space="0"/>
            <w:left w:val="none" w:sz="0" w:space="0"/>
            <w:bottom w:val="none" w:sz="0" w:space="0"/>
            <w:right w:val="none" w:sz="0" w:space="0"/>
          </w:pgBorders>
          <w:pgNumType w:start="1"/>
          <w:cols w:space="708" w:num="1"/>
          <w:docGrid w:linePitch="360" w:charSpace="0"/>
        </w:sectPr>
      </w:pPr>
      <w:r>
        <w:rPr>
          <w:rFonts w:hint="eastAsia" w:ascii="仿宋_GB2312" w:eastAsia="仿宋_GB2312" w:cs="DengXian-Regular"/>
          <w:color w:val="auto"/>
          <w:sz w:val="32"/>
          <w:szCs w:val="32"/>
        </w:rPr>
        <w:t>在评价工作中，我们结合</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的实际情况制定了绩效评价工作方案和绩效评价指标体系，实施了包括询问、资料查看、问卷调查等我们认为必要的评价手段。绩效评价工作现已完成，具体评价情况汇总如下：</w:t>
      </w:r>
    </w:p>
    <w:sdt>
      <w:sdtPr>
        <w:rPr>
          <w:rFonts w:ascii="Tahoma" w:hAnsi="Tahoma" w:eastAsia="微软雅黑" w:cstheme="minorBidi"/>
          <w:b w:val="0"/>
          <w:bCs w:val="0"/>
          <w:color w:val="auto"/>
          <w:sz w:val="22"/>
          <w:szCs w:val="22"/>
          <w:lang w:val="zh-CN"/>
        </w:rPr>
        <w:id w:val="8905895"/>
        <w:docPartObj>
          <w:docPartGallery w:val="Table of Contents"/>
          <w:docPartUnique/>
        </w:docPartObj>
      </w:sdtPr>
      <w:sdtEndPr>
        <w:rPr>
          <w:rFonts w:ascii="Tahoma" w:hAnsi="Tahoma" w:eastAsia="微软雅黑" w:cstheme="minorBidi"/>
          <w:b w:val="0"/>
          <w:bCs w:val="0"/>
          <w:color w:val="auto"/>
          <w:sz w:val="22"/>
          <w:szCs w:val="22"/>
          <w:lang w:val="en-US"/>
        </w:rPr>
      </w:sdtEndPr>
      <w:sdtContent>
        <w:p>
          <w:pPr>
            <w:pStyle w:val="71"/>
            <w:ind w:firstLine="440" w:firstLineChars="200"/>
            <w:jc w:val="center"/>
            <w:rPr>
              <w:color w:val="auto"/>
              <w:sz w:val="44"/>
              <w:szCs w:val="44"/>
              <w:lang w:val="zh-CN"/>
            </w:rPr>
          </w:pPr>
          <w:r>
            <w:rPr>
              <w:color w:val="auto"/>
              <w:sz w:val="44"/>
              <w:szCs w:val="44"/>
              <w:lang w:val="zh-CN"/>
            </w:rPr>
            <w:t>目</w:t>
          </w:r>
          <w:r>
            <w:rPr>
              <w:rFonts w:hint="eastAsia"/>
              <w:color w:val="auto"/>
              <w:sz w:val="44"/>
              <w:szCs w:val="44"/>
              <w:lang w:val="zh-CN"/>
            </w:rPr>
            <w:t xml:space="preserve">    </w:t>
          </w:r>
          <w:r>
            <w:rPr>
              <w:color w:val="auto"/>
              <w:sz w:val="44"/>
              <w:szCs w:val="44"/>
              <w:lang w:val="zh-CN"/>
            </w:rPr>
            <w:t>录</w:t>
          </w:r>
        </w:p>
        <w:p>
          <w:pPr>
            <w:pStyle w:val="2"/>
            <w:tabs>
              <w:tab w:val="right" w:leader="dot" w:pos="8312"/>
            </w:tabs>
            <w:spacing w:line="312" w:lineRule="auto"/>
            <w:ind w:left="0" w:leftChars="0"/>
            <w:rPr>
              <w:rFonts w:asciiTheme="majorEastAsia" w:hAnsiTheme="majorEastAsia" w:eastAsiaTheme="majorEastAsia" w:cstheme="majorEastAsia"/>
              <w:b/>
              <w:bCs/>
              <w:color w:val="auto"/>
              <w:sz w:val="24"/>
            </w:rPr>
          </w:pPr>
          <w:r>
            <w:rPr>
              <w:rFonts w:asciiTheme="minorEastAsia" w:hAnsiTheme="minorEastAsia" w:eastAsiaTheme="minorEastAsia"/>
              <w:color w:val="auto"/>
              <w:sz w:val="24"/>
            </w:rPr>
            <w:fldChar w:fldCharType="begin"/>
          </w:r>
          <w:r>
            <w:rPr>
              <w:rFonts w:asciiTheme="minorEastAsia" w:hAnsiTheme="minorEastAsia" w:eastAsiaTheme="minorEastAsia"/>
              <w:color w:val="auto"/>
              <w:sz w:val="24"/>
            </w:rPr>
            <w:instrText xml:space="preserve"> TOC \o "1-3" \h \z \u </w:instrText>
          </w:r>
          <w:r>
            <w:rPr>
              <w:rFonts w:asciiTheme="minorEastAsia" w:hAnsiTheme="minorEastAsia" w:eastAsiaTheme="minorEastAsia"/>
              <w:color w:val="auto"/>
              <w:sz w:val="24"/>
            </w:rPr>
            <w:fldChar w:fldCharType="separate"/>
          </w:r>
          <w:r>
            <w:rPr>
              <w:color w:val="auto"/>
            </w:rPr>
            <w:fldChar w:fldCharType="begin"/>
          </w:r>
          <w:r>
            <w:rPr>
              <w:color w:val="auto"/>
            </w:rPr>
            <w:instrText xml:space="preserve"> HYPERLINK \l "_Toc25184" </w:instrText>
          </w:r>
          <w:r>
            <w:rPr>
              <w:color w:val="auto"/>
            </w:rPr>
            <w:fldChar w:fldCharType="separate"/>
          </w:r>
          <w:r>
            <w:rPr>
              <w:rFonts w:hint="eastAsia" w:asciiTheme="majorEastAsia" w:hAnsiTheme="majorEastAsia" w:eastAsiaTheme="majorEastAsia" w:cstheme="majorEastAsia"/>
              <w:b/>
              <w:bCs/>
              <w:color w:val="auto"/>
              <w:sz w:val="24"/>
            </w:rPr>
            <w:t>第一部分   摘  要</w:t>
          </w:r>
          <w:r>
            <w:rPr>
              <w:rFonts w:hint="eastAsia" w:asciiTheme="majorEastAsia" w:hAnsiTheme="majorEastAsia" w:eastAsiaTheme="majorEastAsia" w:cstheme="majorEastAsia"/>
              <w:b/>
              <w:bCs/>
              <w:color w:val="auto"/>
              <w:sz w:val="24"/>
            </w:rPr>
            <w:tab/>
          </w:r>
          <w:r>
            <w:rPr>
              <w:rFonts w:hint="eastAsia" w:asciiTheme="majorEastAsia" w:hAnsiTheme="majorEastAsia" w:eastAsiaTheme="majorEastAsia" w:cstheme="majorEastAsia"/>
              <w:b/>
              <w:bCs/>
              <w:color w:val="auto"/>
              <w:sz w:val="24"/>
            </w:rPr>
            <w:fldChar w:fldCharType="begin"/>
          </w:r>
          <w:r>
            <w:rPr>
              <w:rFonts w:hint="eastAsia" w:asciiTheme="majorEastAsia" w:hAnsiTheme="majorEastAsia" w:eastAsiaTheme="majorEastAsia" w:cstheme="majorEastAsia"/>
              <w:b/>
              <w:bCs/>
              <w:color w:val="auto"/>
              <w:sz w:val="24"/>
            </w:rPr>
            <w:instrText xml:space="preserve"> PAGEREF _Toc25184 </w:instrText>
          </w:r>
          <w:r>
            <w:rPr>
              <w:rFonts w:hint="eastAsia" w:asciiTheme="majorEastAsia" w:hAnsiTheme="majorEastAsia" w:eastAsiaTheme="majorEastAsia" w:cstheme="majorEastAsia"/>
              <w:b/>
              <w:bCs/>
              <w:color w:val="auto"/>
              <w:sz w:val="24"/>
            </w:rPr>
            <w:fldChar w:fldCharType="separate"/>
          </w:r>
          <w:r>
            <w:rPr>
              <w:rFonts w:hint="eastAsia" w:asciiTheme="majorEastAsia" w:hAnsiTheme="majorEastAsia" w:eastAsiaTheme="majorEastAsia" w:cstheme="majorEastAsia"/>
              <w:b/>
              <w:bCs/>
              <w:color w:val="auto"/>
              <w:sz w:val="24"/>
            </w:rPr>
            <w:t>1</w:t>
          </w:r>
          <w:r>
            <w:rPr>
              <w:rFonts w:hint="eastAsia" w:asciiTheme="majorEastAsia" w:hAnsiTheme="majorEastAsia" w:eastAsiaTheme="majorEastAsia" w:cstheme="majorEastAsia"/>
              <w:b/>
              <w:bCs/>
              <w:color w:val="auto"/>
              <w:sz w:val="24"/>
            </w:rPr>
            <w:fldChar w:fldCharType="end"/>
          </w:r>
          <w:r>
            <w:rPr>
              <w:rFonts w:hint="eastAsia" w:asciiTheme="majorEastAsia" w:hAnsiTheme="majorEastAsia" w:eastAsiaTheme="majorEastAsia" w:cstheme="majorEastAsia"/>
              <w:b/>
              <w:bCs/>
              <w:color w:val="auto"/>
              <w:sz w:val="24"/>
            </w:rPr>
            <w:fldChar w:fldCharType="end"/>
          </w:r>
        </w:p>
        <w:p>
          <w:pPr>
            <w:pStyle w:val="2"/>
            <w:tabs>
              <w:tab w:val="right" w:leader="dot" w:pos="8312"/>
            </w:tabs>
            <w:spacing w:line="312" w:lineRule="auto"/>
            <w:ind w:left="0" w:leftChars="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"_Toc4346" </w:instrText>
          </w:r>
          <w:r>
            <w:rPr>
              <w:color w:val="auto"/>
            </w:rPr>
            <w:fldChar w:fldCharType="separate"/>
          </w:r>
          <w:r>
            <w:rPr>
              <w:rFonts w:hint="eastAsia" w:asciiTheme="majorEastAsia" w:hAnsiTheme="majorEastAsia" w:eastAsiaTheme="majorEastAsia" w:cstheme="majorEastAsia"/>
              <w:b/>
              <w:bCs/>
              <w:color w:val="auto"/>
              <w:sz w:val="24"/>
            </w:rPr>
            <w:t>第二部分   绩效评价报告</w:t>
          </w:r>
          <w:r>
            <w:rPr>
              <w:rFonts w:hint="eastAsia" w:asciiTheme="majorEastAsia" w:hAnsiTheme="majorEastAsia" w:eastAsiaTheme="majorEastAsia" w:cstheme="majorEastAsia"/>
              <w:b/>
              <w:bCs/>
              <w:color w:val="auto"/>
              <w:sz w:val="24"/>
            </w:rPr>
            <w:fldChar w:fldCharType="end"/>
          </w:r>
          <w:r>
            <w:rPr>
              <w:rFonts w:hint="eastAsia" w:asciiTheme="majorEastAsia" w:hAnsiTheme="majorEastAsia" w:eastAsiaTheme="majorEastAsia" w:cstheme="majorEastAsia"/>
              <w:b/>
              <w:bCs/>
              <w:color w:val="auto"/>
              <w:sz w:val="24"/>
            </w:rPr>
            <w:tab/>
          </w:r>
          <w:r>
            <w:rPr>
              <w:rFonts w:hint="eastAsia" w:asciiTheme="majorEastAsia" w:hAnsiTheme="majorEastAsia" w:eastAsiaTheme="majorEastAsia" w:cstheme="majorEastAsia"/>
              <w:b/>
              <w:bCs/>
              <w:color w:val="auto"/>
              <w:sz w:val="24"/>
              <w:lang w:val="en-US" w:eastAsia="zh-CN"/>
            </w:rPr>
            <w:t>6</w:t>
          </w:r>
        </w:p>
        <w:p>
          <w:pPr>
            <w:pStyle w:val="2"/>
            <w:tabs>
              <w:tab w:val="right" w:leader="dot" w:pos="8312"/>
            </w:tabs>
            <w:spacing w:line="312" w:lineRule="auto"/>
            <w:ind w:left="0" w:leftChars="0"/>
            <w:rPr>
              <w:rFonts w:hint="eastAsia" w:asciiTheme="majorEastAsia" w:hAnsiTheme="majorEastAsia" w:eastAsiaTheme="majorEastAsia" w:cstheme="majorEastAsia"/>
              <w:b/>
              <w:bCs/>
              <w:color w:val="auto"/>
              <w:sz w:val="24"/>
              <w:lang w:val="en-US" w:eastAsia="zh-CN"/>
            </w:rPr>
          </w:pPr>
          <w:r>
            <w:rPr>
              <w:color w:val="auto"/>
            </w:rPr>
            <w:fldChar w:fldCharType="begin"/>
          </w:r>
          <w:r>
            <w:rPr>
              <w:color w:val="auto"/>
            </w:rPr>
            <w:instrText xml:space="preserve"> HYPERLINK \l "_Toc427" </w:instrText>
          </w:r>
          <w:r>
            <w:rPr>
              <w:color w:val="auto"/>
            </w:rPr>
            <w:fldChar w:fldCharType="separate"/>
          </w:r>
          <w:r>
            <w:rPr>
              <w:rFonts w:hint="eastAsia" w:asciiTheme="majorEastAsia" w:hAnsiTheme="majorEastAsia" w:eastAsiaTheme="majorEastAsia" w:cstheme="majorEastAsia"/>
              <w:b/>
              <w:bCs/>
              <w:color w:val="auto"/>
              <w:sz w:val="24"/>
            </w:rPr>
            <w:t>一、</w:t>
          </w:r>
          <w:r>
            <w:rPr>
              <w:rFonts w:hint="eastAsia" w:asciiTheme="majorEastAsia" w:hAnsiTheme="majorEastAsia" w:eastAsiaTheme="majorEastAsia" w:cstheme="majorEastAsia"/>
              <w:b/>
              <w:bCs/>
              <w:color w:val="auto"/>
              <w:sz w:val="24"/>
              <w:lang w:eastAsia="zh-CN"/>
            </w:rPr>
            <w:t>曲阳县应急管理局</w:t>
          </w:r>
          <w:r>
            <w:rPr>
              <w:rFonts w:hint="eastAsia" w:asciiTheme="majorEastAsia" w:hAnsiTheme="majorEastAsia" w:eastAsiaTheme="majorEastAsia" w:cstheme="majorEastAsia"/>
              <w:b/>
              <w:bCs/>
              <w:color w:val="auto"/>
              <w:sz w:val="24"/>
            </w:rPr>
            <w:t>基本情况</w:t>
          </w:r>
          <w:r>
            <w:rPr>
              <w:rFonts w:hint="eastAsia" w:asciiTheme="majorEastAsia" w:hAnsiTheme="majorEastAsia" w:eastAsiaTheme="majorEastAsia" w:cstheme="majorEastAsia"/>
              <w:b/>
              <w:bCs/>
              <w:color w:val="auto"/>
              <w:sz w:val="24"/>
            </w:rPr>
            <w:tab/>
          </w:r>
          <w:r>
            <w:rPr>
              <w:rFonts w:hint="eastAsia" w:asciiTheme="majorEastAsia" w:hAnsiTheme="majorEastAsia" w:eastAsiaTheme="majorEastAsia" w:cstheme="majorEastAsia"/>
              <w:b/>
              <w:bCs/>
              <w:color w:val="auto"/>
              <w:sz w:val="24"/>
            </w:rPr>
            <w:fldChar w:fldCharType="end"/>
          </w:r>
          <w:r>
            <w:rPr>
              <w:rFonts w:hint="eastAsia" w:asciiTheme="majorEastAsia" w:hAnsiTheme="majorEastAsia" w:eastAsiaTheme="majorEastAsia" w:cstheme="majorEastAsia"/>
              <w:b/>
              <w:bCs/>
              <w:color w:val="auto"/>
              <w:sz w:val="24"/>
              <w:lang w:val="en-US" w:eastAsia="zh-CN"/>
            </w:rPr>
            <w:t>6</w:t>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"_Toc11473" </w:instrText>
          </w:r>
          <w:r>
            <w:rPr>
              <w:color w:val="auto"/>
            </w:rPr>
            <w:fldChar w:fldCharType="separate"/>
          </w:r>
          <w:r>
            <w:rPr>
              <w:rFonts w:hint="eastAsia" w:asciiTheme="majorEastAsia" w:hAnsiTheme="majorEastAsia" w:eastAsiaTheme="majorEastAsia" w:cstheme="majorEastAsia"/>
              <w:color w:val="auto"/>
              <w:sz w:val="24"/>
            </w:rPr>
            <w:t>（一）部门职责和工作活动</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lang w:val="en-US" w:eastAsia="zh-CN"/>
            </w:rPr>
            <w:t>6</w:t>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"_Toc7075" </w:instrText>
          </w:r>
          <w:r>
            <w:rPr>
              <w:color w:val="auto"/>
            </w:rPr>
            <w:fldChar w:fldCharType="separate"/>
          </w:r>
          <w:r>
            <w:rPr>
              <w:rFonts w:hint="eastAsia" w:asciiTheme="majorEastAsia" w:hAnsiTheme="majorEastAsia" w:eastAsiaTheme="majorEastAsia" w:cstheme="majorEastAsia"/>
              <w:color w:val="auto"/>
              <w:sz w:val="24"/>
            </w:rPr>
            <w:t>（二）部门年度发展规划总体目标和职责分类绩效目标</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lang w:val="en-US" w:eastAsia="zh-CN"/>
            </w:rPr>
            <w:t>9</w:t>
          </w:r>
        </w:p>
        <w:p>
          <w:pPr>
            <w:pStyle w:val="12"/>
            <w:tabs>
              <w:tab w:val="right" w:leader="dot" w:pos="8312"/>
            </w:tabs>
            <w:spacing w:line="312" w:lineRule="auto"/>
            <w:ind w:left="0" w:leftChars="0" w:firstLine="280" w:firstLineChars="100"/>
            <w:rPr>
              <w:rFonts w:hint="default"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"_Toc1678" </w:instrText>
          </w:r>
          <w:r>
            <w:rPr>
              <w:color w:val="auto"/>
            </w:rPr>
            <w:fldChar w:fldCharType="separate"/>
          </w:r>
          <w:r>
            <w:rPr>
              <w:rFonts w:hint="eastAsia" w:asciiTheme="majorEastAsia" w:hAnsiTheme="majorEastAsia" w:eastAsiaTheme="majorEastAsia" w:cstheme="majorEastAsia"/>
              <w:color w:val="auto"/>
              <w:sz w:val="24"/>
            </w:rPr>
            <w:t>（三）部门预算收入及决算收入</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lang w:val="en-US" w:eastAsia="zh-CN"/>
            </w:rPr>
            <w:t>12</w:t>
          </w:r>
        </w:p>
        <w:p>
          <w:pPr>
            <w:pStyle w:val="12"/>
            <w:tabs>
              <w:tab w:val="right" w:leader="dot" w:pos="8312"/>
            </w:tabs>
            <w:spacing w:line="312" w:lineRule="auto"/>
            <w:ind w:left="0" w:leftChars="0" w:firstLine="280" w:firstLineChars="100"/>
            <w:rPr>
              <w:rFonts w:hint="default"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"_Toc18197" </w:instrText>
          </w:r>
          <w:r>
            <w:rPr>
              <w:color w:val="auto"/>
            </w:rPr>
            <w:fldChar w:fldCharType="separate"/>
          </w:r>
          <w:r>
            <w:rPr>
              <w:rFonts w:hint="eastAsia" w:asciiTheme="majorEastAsia" w:hAnsiTheme="majorEastAsia" w:eastAsiaTheme="majorEastAsia" w:cstheme="majorEastAsia"/>
              <w:color w:val="auto"/>
              <w:sz w:val="24"/>
            </w:rPr>
            <w:t>（四）预算支出及决算支出</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lang w:val="en-US" w:eastAsia="zh-CN"/>
            </w:rPr>
            <w:t>14</w:t>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"_Toc19291" </w:instrText>
          </w:r>
          <w:r>
            <w:rPr>
              <w:color w:val="auto"/>
            </w:rPr>
            <w:fldChar w:fldCharType="separate"/>
          </w:r>
          <w:r>
            <w:rPr>
              <w:rFonts w:hint="eastAsia" w:asciiTheme="majorEastAsia" w:hAnsiTheme="majorEastAsia" w:eastAsiaTheme="majorEastAsia" w:cstheme="majorEastAsia"/>
              <w:color w:val="auto"/>
              <w:sz w:val="24"/>
            </w:rPr>
            <w:t>（五）“三公”经费预算安排及支出情况</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begin"/>
          </w:r>
          <w:r>
            <w:rPr>
              <w:rFonts w:hint="eastAsia" w:asciiTheme="majorEastAsia" w:hAnsiTheme="majorEastAsia" w:eastAsiaTheme="majorEastAsia" w:cstheme="majorEastAsia"/>
              <w:color w:val="auto"/>
              <w:sz w:val="24"/>
            </w:rPr>
            <w:instrText xml:space="preserve"> PAGEREF _Toc19291 </w:instrText>
          </w:r>
          <w:r>
            <w:rPr>
              <w:rFonts w:hint="eastAsia" w:asciiTheme="majorEastAsia" w:hAnsiTheme="majorEastAsia" w:eastAsiaTheme="majorEastAsia" w:cstheme="majorEastAsia"/>
              <w:color w:val="auto"/>
              <w:sz w:val="24"/>
            </w:rPr>
            <w:fldChar w:fldCharType="separate"/>
          </w: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val="en-US" w:eastAsia="zh-CN"/>
            </w:rPr>
            <w:t>5</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rPr>
            <w:fldChar w:fldCharType="end"/>
          </w:r>
        </w:p>
        <w:p>
          <w:pPr>
            <w:pStyle w:val="2"/>
            <w:tabs>
              <w:tab w:val="right" w:leader="dot" w:pos="8312"/>
            </w:tabs>
            <w:spacing w:line="312" w:lineRule="auto"/>
            <w:ind w:left="0" w:leftChars="0"/>
            <w:rPr>
              <w:rFonts w:hint="eastAsia" w:asciiTheme="majorEastAsia" w:hAnsiTheme="majorEastAsia" w:eastAsiaTheme="majorEastAsia" w:cstheme="majorEastAsia"/>
              <w:b/>
              <w:bCs/>
              <w:color w:val="auto"/>
              <w:sz w:val="24"/>
              <w:lang w:val="en-US" w:eastAsia="zh-CN"/>
            </w:rPr>
          </w:pPr>
          <w:r>
            <w:rPr>
              <w:color w:val="auto"/>
            </w:rPr>
            <w:fldChar w:fldCharType="begin"/>
          </w:r>
          <w:r>
            <w:rPr>
              <w:color w:val="auto"/>
            </w:rPr>
            <w:instrText xml:space="preserve"> HYPERLINK \l "_Toc20454" </w:instrText>
          </w:r>
          <w:r>
            <w:rPr>
              <w:color w:val="auto"/>
            </w:rPr>
            <w:fldChar w:fldCharType="separate"/>
          </w:r>
          <w:r>
            <w:rPr>
              <w:rFonts w:hint="eastAsia" w:asciiTheme="majorEastAsia" w:hAnsiTheme="majorEastAsia" w:eastAsiaTheme="majorEastAsia" w:cstheme="majorEastAsia"/>
              <w:b/>
              <w:bCs/>
              <w:color w:val="auto"/>
              <w:sz w:val="24"/>
            </w:rPr>
            <w:t>二、部门整体支出绩效评价指标体系设定情况</w:t>
          </w:r>
          <w:r>
            <w:rPr>
              <w:rFonts w:hint="eastAsia" w:asciiTheme="majorEastAsia" w:hAnsiTheme="majorEastAsia" w:eastAsiaTheme="majorEastAsia" w:cstheme="majorEastAsia"/>
              <w:b/>
              <w:bCs/>
              <w:color w:val="auto"/>
              <w:sz w:val="24"/>
            </w:rPr>
            <w:tab/>
          </w:r>
          <w:r>
            <w:rPr>
              <w:rFonts w:hint="eastAsia" w:asciiTheme="majorEastAsia" w:hAnsiTheme="majorEastAsia" w:eastAsiaTheme="majorEastAsia" w:cstheme="majorEastAsia"/>
              <w:b/>
              <w:bCs/>
              <w:color w:val="auto"/>
              <w:sz w:val="24"/>
            </w:rPr>
            <w:fldChar w:fldCharType="begin"/>
          </w:r>
          <w:r>
            <w:rPr>
              <w:rFonts w:hint="eastAsia" w:asciiTheme="majorEastAsia" w:hAnsiTheme="majorEastAsia" w:eastAsiaTheme="majorEastAsia" w:cstheme="majorEastAsia"/>
              <w:b/>
              <w:bCs/>
              <w:color w:val="auto"/>
              <w:sz w:val="24"/>
            </w:rPr>
            <w:instrText xml:space="preserve"> PAGEREF _Toc20454 </w:instrText>
          </w:r>
          <w:r>
            <w:rPr>
              <w:rFonts w:hint="eastAsia" w:asciiTheme="majorEastAsia" w:hAnsiTheme="majorEastAsia" w:eastAsiaTheme="majorEastAsia" w:cstheme="majorEastAsia"/>
              <w:b/>
              <w:bCs/>
              <w:color w:val="auto"/>
              <w:sz w:val="24"/>
            </w:rPr>
            <w:fldChar w:fldCharType="separate"/>
          </w:r>
          <w:r>
            <w:rPr>
              <w:rFonts w:hint="eastAsia" w:asciiTheme="majorEastAsia" w:hAnsiTheme="majorEastAsia" w:eastAsiaTheme="majorEastAsia" w:cstheme="majorEastAsia"/>
              <w:b/>
              <w:bCs/>
              <w:color w:val="auto"/>
              <w:sz w:val="24"/>
            </w:rPr>
            <w:t>1</w:t>
          </w:r>
          <w:r>
            <w:rPr>
              <w:rFonts w:hint="eastAsia" w:asciiTheme="majorEastAsia" w:hAnsiTheme="majorEastAsia" w:eastAsiaTheme="majorEastAsia" w:cstheme="majorEastAsia"/>
              <w:b/>
              <w:bCs/>
              <w:color w:val="auto"/>
              <w:sz w:val="24"/>
              <w:lang w:val="en-US" w:eastAsia="zh-CN"/>
            </w:rPr>
            <w:t>6</w:t>
          </w:r>
          <w:r>
            <w:rPr>
              <w:rFonts w:hint="eastAsia" w:asciiTheme="majorEastAsia" w:hAnsiTheme="majorEastAsia" w:eastAsiaTheme="majorEastAsia" w:cstheme="majorEastAsia"/>
              <w:b/>
              <w:bCs/>
              <w:color w:val="auto"/>
              <w:sz w:val="24"/>
            </w:rPr>
            <w:fldChar w:fldCharType="end"/>
          </w:r>
          <w:r>
            <w:rPr>
              <w:rFonts w:hint="eastAsia" w:asciiTheme="majorEastAsia" w:hAnsiTheme="majorEastAsia" w:eastAsiaTheme="majorEastAsia" w:cstheme="majorEastAsia"/>
              <w:b/>
              <w:bCs/>
              <w:color w:val="auto"/>
              <w:sz w:val="24"/>
            </w:rPr>
            <w:fldChar w:fldCharType="end"/>
          </w:r>
        </w:p>
        <w:p>
          <w:pPr>
            <w:pStyle w:val="2"/>
            <w:tabs>
              <w:tab w:val="right" w:leader="dot" w:pos="8312"/>
            </w:tabs>
            <w:spacing w:line="312" w:lineRule="auto"/>
            <w:ind w:left="0" w:leftChars="0" w:firstLine="30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"_Toc9569" </w:instrText>
          </w:r>
          <w:r>
            <w:rPr>
              <w:color w:val="auto"/>
            </w:rPr>
            <w:fldChar w:fldCharType="separate"/>
          </w:r>
          <w:r>
            <w:rPr>
              <w:rFonts w:hint="eastAsia" w:asciiTheme="majorEastAsia" w:hAnsiTheme="majorEastAsia" w:eastAsiaTheme="majorEastAsia" w:cstheme="majorEastAsia"/>
              <w:color w:val="auto"/>
              <w:sz w:val="24"/>
            </w:rPr>
            <w:t>（一）投入</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begin"/>
          </w:r>
          <w:r>
            <w:rPr>
              <w:rFonts w:hint="eastAsia" w:asciiTheme="majorEastAsia" w:hAnsiTheme="majorEastAsia" w:eastAsiaTheme="majorEastAsia" w:cstheme="majorEastAsia"/>
              <w:color w:val="auto"/>
              <w:sz w:val="24"/>
            </w:rPr>
            <w:instrText xml:space="preserve"> PAGEREF _Toc9569 </w:instrText>
          </w:r>
          <w:r>
            <w:rPr>
              <w:rFonts w:hint="eastAsia" w:asciiTheme="majorEastAsia" w:hAnsiTheme="majorEastAsia" w:eastAsiaTheme="majorEastAsia" w:cstheme="majorEastAsia"/>
              <w:color w:val="auto"/>
              <w:sz w:val="24"/>
            </w:rPr>
            <w:fldChar w:fldCharType="separate"/>
          </w: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val="en-US" w:eastAsia="zh-CN"/>
            </w:rPr>
            <w:t>6</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rPr>
            <w:fldChar w:fldCharType="end"/>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"_Toc30221" </w:instrText>
          </w:r>
          <w:r>
            <w:rPr>
              <w:color w:val="auto"/>
            </w:rPr>
            <w:fldChar w:fldCharType="separate"/>
          </w:r>
          <w:r>
            <w:rPr>
              <w:rFonts w:hint="eastAsia" w:asciiTheme="majorEastAsia" w:hAnsiTheme="majorEastAsia" w:eastAsiaTheme="majorEastAsia" w:cstheme="majorEastAsia"/>
              <w:color w:val="auto"/>
              <w:sz w:val="24"/>
            </w:rPr>
            <w:t>（二）过程</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begin"/>
          </w:r>
          <w:r>
            <w:rPr>
              <w:rFonts w:hint="eastAsia" w:asciiTheme="majorEastAsia" w:hAnsiTheme="majorEastAsia" w:eastAsiaTheme="majorEastAsia" w:cstheme="majorEastAsia"/>
              <w:color w:val="auto"/>
              <w:sz w:val="24"/>
            </w:rPr>
            <w:instrText xml:space="preserve"> PAGEREF _Toc30221 </w:instrText>
          </w:r>
          <w:r>
            <w:rPr>
              <w:rFonts w:hint="eastAsia" w:asciiTheme="majorEastAsia" w:hAnsiTheme="majorEastAsia" w:eastAsiaTheme="majorEastAsia" w:cstheme="majorEastAsia"/>
              <w:color w:val="auto"/>
              <w:sz w:val="24"/>
            </w:rPr>
            <w:fldChar w:fldCharType="separate"/>
          </w: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val="en-US" w:eastAsia="zh-CN"/>
            </w:rPr>
            <w:t>7</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rPr>
            <w:fldChar w:fldCharType="end"/>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"_Toc24932" </w:instrText>
          </w:r>
          <w:r>
            <w:rPr>
              <w:color w:val="auto"/>
            </w:rPr>
            <w:fldChar w:fldCharType="separate"/>
          </w:r>
          <w:r>
            <w:rPr>
              <w:rFonts w:hint="eastAsia" w:asciiTheme="majorEastAsia" w:hAnsiTheme="majorEastAsia" w:eastAsiaTheme="majorEastAsia" w:cstheme="majorEastAsia"/>
              <w:color w:val="auto"/>
              <w:sz w:val="24"/>
            </w:rPr>
            <w:t>（三）产出</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begin"/>
          </w:r>
          <w:r>
            <w:rPr>
              <w:rFonts w:hint="eastAsia" w:asciiTheme="majorEastAsia" w:hAnsiTheme="majorEastAsia" w:eastAsiaTheme="majorEastAsia" w:cstheme="majorEastAsia"/>
              <w:color w:val="auto"/>
              <w:sz w:val="24"/>
            </w:rPr>
            <w:instrText xml:space="preserve"> PAGEREF _Toc24932 </w:instrText>
          </w:r>
          <w:r>
            <w:rPr>
              <w:rFonts w:hint="eastAsia" w:asciiTheme="majorEastAsia" w:hAnsiTheme="majorEastAsia" w:eastAsiaTheme="majorEastAsia" w:cstheme="majorEastAsia"/>
              <w:color w:val="auto"/>
              <w:sz w:val="24"/>
            </w:rPr>
            <w:fldChar w:fldCharType="separate"/>
          </w: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val="en-US" w:eastAsia="zh-CN"/>
            </w:rPr>
            <w:t>7</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rPr>
            <w:fldChar w:fldCharType="end"/>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"_Toc21821" </w:instrText>
          </w:r>
          <w:r>
            <w:rPr>
              <w:color w:val="auto"/>
            </w:rPr>
            <w:fldChar w:fldCharType="separate"/>
          </w:r>
          <w:r>
            <w:rPr>
              <w:rFonts w:hint="eastAsia" w:asciiTheme="majorEastAsia" w:hAnsiTheme="majorEastAsia" w:eastAsiaTheme="majorEastAsia" w:cstheme="majorEastAsia"/>
              <w:color w:val="auto"/>
              <w:sz w:val="24"/>
            </w:rPr>
            <w:t>（四）效果</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begin"/>
          </w:r>
          <w:r>
            <w:rPr>
              <w:rFonts w:hint="eastAsia" w:asciiTheme="majorEastAsia" w:hAnsiTheme="majorEastAsia" w:eastAsiaTheme="majorEastAsia" w:cstheme="majorEastAsia"/>
              <w:color w:val="auto"/>
              <w:sz w:val="24"/>
            </w:rPr>
            <w:instrText xml:space="preserve"> PAGEREF _Toc21821 </w:instrText>
          </w:r>
          <w:r>
            <w:rPr>
              <w:rFonts w:hint="eastAsia" w:asciiTheme="majorEastAsia" w:hAnsiTheme="majorEastAsia" w:eastAsiaTheme="majorEastAsia" w:cstheme="majorEastAsia"/>
              <w:color w:val="auto"/>
              <w:sz w:val="24"/>
            </w:rPr>
            <w:fldChar w:fldCharType="separate"/>
          </w: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val="en-US" w:eastAsia="zh-CN"/>
            </w:rPr>
            <w:t>8</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rPr>
            <w:fldChar w:fldCharType="end"/>
          </w:r>
        </w:p>
        <w:p>
          <w:pPr>
            <w:pStyle w:val="2"/>
            <w:tabs>
              <w:tab w:val="right" w:leader="dot" w:pos="8312"/>
            </w:tabs>
            <w:spacing w:line="312" w:lineRule="auto"/>
            <w:ind w:left="0" w:leftChars="0"/>
            <w:rPr>
              <w:rFonts w:hint="eastAsia" w:asciiTheme="majorEastAsia" w:hAnsiTheme="majorEastAsia" w:eastAsiaTheme="majorEastAsia" w:cstheme="majorEastAsia"/>
              <w:b/>
              <w:bCs/>
              <w:color w:val="auto"/>
              <w:sz w:val="24"/>
              <w:lang w:val="en-US" w:eastAsia="zh-CN"/>
            </w:rPr>
          </w:pPr>
          <w:r>
            <w:rPr>
              <w:color w:val="auto"/>
            </w:rPr>
            <w:fldChar w:fldCharType="begin"/>
          </w:r>
          <w:r>
            <w:rPr>
              <w:color w:val="auto"/>
            </w:rPr>
            <w:instrText xml:space="preserve"> HYPERLINK \l "_Toc11842" </w:instrText>
          </w:r>
          <w:r>
            <w:rPr>
              <w:color w:val="auto"/>
            </w:rPr>
            <w:fldChar w:fldCharType="separate"/>
          </w:r>
          <w:r>
            <w:rPr>
              <w:rFonts w:hint="eastAsia" w:asciiTheme="majorEastAsia" w:hAnsiTheme="majorEastAsia" w:eastAsiaTheme="majorEastAsia" w:cstheme="majorEastAsia"/>
              <w:b/>
              <w:bCs/>
              <w:color w:val="auto"/>
              <w:sz w:val="24"/>
            </w:rPr>
            <w:t>三、综合绩效评价工作情况</w:t>
          </w:r>
          <w:r>
            <w:rPr>
              <w:rFonts w:hint="eastAsia" w:asciiTheme="majorEastAsia" w:hAnsiTheme="majorEastAsia" w:eastAsiaTheme="majorEastAsia" w:cstheme="majorEastAsia"/>
              <w:b/>
              <w:bCs/>
              <w:color w:val="auto"/>
              <w:sz w:val="24"/>
            </w:rPr>
            <w:tab/>
          </w:r>
          <w:r>
            <w:rPr>
              <w:rFonts w:hint="eastAsia" w:asciiTheme="majorEastAsia" w:hAnsiTheme="majorEastAsia" w:eastAsiaTheme="majorEastAsia" w:cstheme="majorEastAsia"/>
              <w:b/>
              <w:bCs/>
              <w:color w:val="auto"/>
              <w:sz w:val="24"/>
            </w:rPr>
            <w:fldChar w:fldCharType="begin"/>
          </w:r>
          <w:r>
            <w:rPr>
              <w:rFonts w:hint="eastAsia" w:asciiTheme="majorEastAsia" w:hAnsiTheme="majorEastAsia" w:eastAsiaTheme="majorEastAsia" w:cstheme="majorEastAsia"/>
              <w:b/>
              <w:bCs/>
              <w:color w:val="auto"/>
              <w:sz w:val="24"/>
            </w:rPr>
            <w:instrText xml:space="preserve"> PAGEREF _Toc11842 </w:instrText>
          </w:r>
          <w:r>
            <w:rPr>
              <w:rFonts w:hint="eastAsia" w:asciiTheme="majorEastAsia" w:hAnsiTheme="majorEastAsia" w:eastAsiaTheme="majorEastAsia" w:cstheme="majorEastAsia"/>
              <w:b/>
              <w:bCs/>
              <w:color w:val="auto"/>
              <w:sz w:val="24"/>
            </w:rPr>
            <w:fldChar w:fldCharType="separate"/>
          </w:r>
          <w:r>
            <w:rPr>
              <w:rFonts w:hint="eastAsia" w:asciiTheme="majorEastAsia" w:hAnsiTheme="majorEastAsia" w:eastAsiaTheme="majorEastAsia" w:cstheme="majorEastAsia"/>
              <w:b/>
              <w:bCs/>
              <w:color w:val="auto"/>
              <w:sz w:val="24"/>
            </w:rPr>
            <w:t>1</w:t>
          </w:r>
          <w:r>
            <w:rPr>
              <w:rFonts w:hint="eastAsia" w:asciiTheme="majorEastAsia" w:hAnsiTheme="majorEastAsia" w:eastAsiaTheme="majorEastAsia" w:cstheme="majorEastAsia"/>
              <w:b/>
              <w:bCs/>
              <w:color w:val="auto"/>
              <w:sz w:val="24"/>
              <w:lang w:val="en-US" w:eastAsia="zh-CN"/>
            </w:rPr>
            <w:t>8</w:t>
          </w:r>
          <w:r>
            <w:rPr>
              <w:rFonts w:hint="eastAsia" w:asciiTheme="majorEastAsia" w:hAnsiTheme="majorEastAsia" w:eastAsiaTheme="majorEastAsia" w:cstheme="majorEastAsia"/>
              <w:b/>
              <w:bCs/>
              <w:color w:val="auto"/>
              <w:sz w:val="24"/>
            </w:rPr>
            <w:fldChar w:fldCharType="end"/>
          </w:r>
          <w:r>
            <w:rPr>
              <w:rFonts w:hint="eastAsia" w:asciiTheme="majorEastAsia" w:hAnsiTheme="majorEastAsia" w:eastAsiaTheme="majorEastAsia" w:cstheme="majorEastAsia"/>
              <w:b/>
              <w:bCs/>
              <w:color w:val="auto"/>
              <w:sz w:val="24"/>
            </w:rPr>
            <w:fldChar w:fldCharType="end"/>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"_Toc17138" </w:instrText>
          </w:r>
          <w:r>
            <w:rPr>
              <w:color w:val="auto"/>
            </w:rPr>
            <w:fldChar w:fldCharType="separate"/>
          </w:r>
          <w:r>
            <w:rPr>
              <w:rFonts w:hint="eastAsia" w:asciiTheme="majorEastAsia" w:hAnsiTheme="majorEastAsia" w:eastAsiaTheme="majorEastAsia" w:cstheme="majorEastAsia"/>
              <w:color w:val="auto"/>
              <w:sz w:val="24"/>
            </w:rPr>
            <w:t>（一）绩效评价目的</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begin"/>
          </w:r>
          <w:r>
            <w:rPr>
              <w:rFonts w:hint="eastAsia" w:asciiTheme="majorEastAsia" w:hAnsiTheme="majorEastAsia" w:eastAsiaTheme="majorEastAsia" w:cstheme="majorEastAsia"/>
              <w:color w:val="auto"/>
              <w:sz w:val="24"/>
            </w:rPr>
            <w:instrText xml:space="preserve"> PAGEREF _Toc17138 </w:instrText>
          </w:r>
          <w:r>
            <w:rPr>
              <w:rFonts w:hint="eastAsia" w:asciiTheme="majorEastAsia" w:hAnsiTheme="majorEastAsia" w:eastAsiaTheme="majorEastAsia" w:cstheme="majorEastAsia"/>
              <w:color w:val="auto"/>
              <w:sz w:val="24"/>
            </w:rPr>
            <w:fldChar w:fldCharType="separate"/>
          </w: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val="en-US" w:eastAsia="zh-CN"/>
            </w:rPr>
            <w:t>8</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rPr>
            <w:fldChar w:fldCharType="end"/>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"_Toc11607" </w:instrText>
          </w:r>
          <w:r>
            <w:rPr>
              <w:color w:val="auto"/>
            </w:rPr>
            <w:fldChar w:fldCharType="separate"/>
          </w:r>
          <w:r>
            <w:rPr>
              <w:rFonts w:hint="eastAsia" w:asciiTheme="majorEastAsia" w:hAnsiTheme="majorEastAsia" w:eastAsiaTheme="majorEastAsia" w:cstheme="majorEastAsia"/>
              <w:color w:val="auto"/>
              <w:sz w:val="24"/>
            </w:rPr>
            <w:t>（二）绩效评价依据</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begin"/>
          </w:r>
          <w:r>
            <w:rPr>
              <w:rFonts w:hint="eastAsia" w:asciiTheme="majorEastAsia" w:hAnsiTheme="majorEastAsia" w:eastAsiaTheme="majorEastAsia" w:cstheme="majorEastAsia"/>
              <w:color w:val="auto"/>
              <w:sz w:val="24"/>
            </w:rPr>
            <w:instrText xml:space="preserve"> PAGEREF _Toc11607 </w:instrText>
          </w:r>
          <w:r>
            <w:rPr>
              <w:rFonts w:hint="eastAsia" w:asciiTheme="majorEastAsia" w:hAnsiTheme="majorEastAsia" w:eastAsiaTheme="majorEastAsia" w:cstheme="majorEastAsia"/>
              <w:color w:val="auto"/>
              <w:sz w:val="24"/>
            </w:rPr>
            <w:fldChar w:fldCharType="separate"/>
          </w: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val="en-US" w:eastAsia="zh-CN"/>
            </w:rPr>
            <w:t>8</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rPr>
            <w:fldChar w:fldCharType="end"/>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"_Toc7609" </w:instrText>
          </w:r>
          <w:r>
            <w:rPr>
              <w:color w:val="auto"/>
            </w:rPr>
            <w:fldChar w:fldCharType="separate"/>
          </w:r>
          <w:r>
            <w:rPr>
              <w:rFonts w:hint="eastAsia" w:asciiTheme="majorEastAsia" w:hAnsiTheme="majorEastAsia" w:eastAsiaTheme="majorEastAsia" w:cstheme="majorEastAsia"/>
              <w:color w:val="auto"/>
              <w:sz w:val="24"/>
            </w:rPr>
            <w:t>（三）绩效评价内容</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begin"/>
          </w:r>
          <w:r>
            <w:rPr>
              <w:rFonts w:hint="eastAsia" w:asciiTheme="majorEastAsia" w:hAnsiTheme="majorEastAsia" w:eastAsiaTheme="majorEastAsia" w:cstheme="majorEastAsia"/>
              <w:color w:val="auto"/>
              <w:sz w:val="24"/>
            </w:rPr>
            <w:instrText xml:space="preserve"> PAGEREF _Toc7609 </w:instrText>
          </w:r>
          <w:r>
            <w:rPr>
              <w:rFonts w:hint="eastAsia" w:asciiTheme="majorEastAsia" w:hAnsiTheme="majorEastAsia" w:eastAsiaTheme="majorEastAsia" w:cstheme="majorEastAsia"/>
              <w:color w:val="auto"/>
              <w:sz w:val="24"/>
            </w:rPr>
            <w:fldChar w:fldCharType="separate"/>
          </w: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val="en-US" w:eastAsia="zh-CN"/>
            </w:rPr>
            <w:t>9</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rPr>
            <w:fldChar w:fldCharType="end"/>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"_Toc789" </w:instrText>
          </w:r>
          <w:r>
            <w:rPr>
              <w:color w:val="auto"/>
            </w:rPr>
            <w:fldChar w:fldCharType="separate"/>
          </w:r>
          <w:r>
            <w:rPr>
              <w:rFonts w:hint="eastAsia" w:asciiTheme="majorEastAsia" w:hAnsiTheme="majorEastAsia" w:eastAsiaTheme="majorEastAsia" w:cstheme="majorEastAsia"/>
              <w:color w:val="auto"/>
              <w:sz w:val="24"/>
            </w:rPr>
            <w:t>（四）绩效评价原则</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begin"/>
          </w:r>
          <w:r>
            <w:rPr>
              <w:rFonts w:hint="eastAsia" w:asciiTheme="majorEastAsia" w:hAnsiTheme="majorEastAsia" w:eastAsiaTheme="majorEastAsia" w:cstheme="majorEastAsia"/>
              <w:color w:val="auto"/>
              <w:sz w:val="24"/>
            </w:rPr>
            <w:instrText xml:space="preserve"> PAGEREF _Toc789 </w:instrText>
          </w:r>
          <w:r>
            <w:rPr>
              <w:rFonts w:hint="eastAsia" w:asciiTheme="majorEastAsia" w:hAnsiTheme="majorEastAsia" w:eastAsiaTheme="majorEastAsia" w:cstheme="majorEastAsia"/>
              <w:color w:val="auto"/>
              <w:sz w:val="24"/>
            </w:rPr>
            <w:fldChar w:fldCharType="separate"/>
          </w: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val="en-US" w:eastAsia="zh-CN"/>
            </w:rPr>
            <w:t>9</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rPr>
            <w:fldChar w:fldCharType="end"/>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"_Toc8171" </w:instrText>
          </w:r>
          <w:r>
            <w:rPr>
              <w:color w:val="auto"/>
            </w:rPr>
            <w:fldChar w:fldCharType="separate"/>
          </w:r>
          <w:r>
            <w:rPr>
              <w:rFonts w:hint="eastAsia" w:asciiTheme="majorEastAsia" w:hAnsiTheme="majorEastAsia" w:eastAsiaTheme="majorEastAsia" w:cstheme="majorEastAsia"/>
              <w:color w:val="auto"/>
              <w:sz w:val="24"/>
            </w:rPr>
            <w:t>（五）绩效评价方法</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lang w:val="en-US" w:eastAsia="zh-CN"/>
            </w:rPr>
            <w:t>2</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lang w:val="en-US" w:eastAsia="zh-CN"/>
            </w:rPr>
            <w:t>0</w:t>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"_Toc20821" </w:instrText>
          </w:r>
          <w:r>
            <w:rPr>
              <w:color w:val="auto"/>
            </w:rPr>
            <w:fldChar w:fldCharType="separate"/>
          </w:r>
          <w:r>
            <w:rPr>
              <w:rFonts w:hint="eastAsia" w:asciiTheme="majorEastAsia" w:hAnsiTheme="majorEastAsia" w:eastAsiaTheme="majorEastAsia" w:cstheme="majorEastAsia"/>
              <w:color w:val="auto"/>
              <w:sz w:val="24"/>
            </w:rPr>
            <w:t>（六）绩效评价工作过程</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lang w:val="en-US" w:eastAsia="zh-CN"/>
            </w:rPr>
            <w:t>2</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lang w:val="en-US" w:eastAsia="zh-CN"/>
            </w:rPr>
            <w:t>0</w:t>
          </w:r>
        </w:p>
        <w:p>
          <w:pPr>
            <w:pStyle w:val="2"/>
            <w:tabs>
              <w:tab w:val="right" w:leader="dot" w:pos="8312"/>
            </w:tabs>
            <w:spacing w:line="312" w:lineRule="auto"/>
            <w:ind w:left="0" w:leftChars="0"/>
            <w:rPr>
              <w:rFonts w:hint="default" w:asciiTheme="majorEastAsia" w:hAnsiTheme="majorEastAsia" w:eastAsiaTheme="majorEastAsia" w:cstheme="majorEastAsia"/>
              <w:b/>
              <w:bCs/>
              <w:color w:val="auto"/>
              <w:sz w:val="24"/>
              <w:lang w:val="en-US" w:eastAsia="zh-CN"/>
            </w:rPr>
          </w:pPr>
          <w:r>
            <w:rPr>
              <w:color w:val="auto"/>
            </w:rPr>
            <w:fldChar w:fldCharType="begin"/>
          </w:r>
          <w:r>
            <w:rPr>
              <w:color w:val="auto"/>
            </w:rPr>
            <w:instrText xml:space="preserve"> HYPERLINK \l "_Toc6467" </w:instrText>
          </w:r>
          <w:r>
            <w:rPr>
              <w:color w:val="auto"/>
            </w:rPr>
            <w:fldChar w:fldCharType="separate"/>
          </w:r>
          <w:r>
            <w:rPr>
              <w:rFonts w:hint="eastAsia" w:asciiTheme="majorEastAsia" w:hAnsiTheme="majorEastAsia" w:eastAsiaTheme="majorEastAsia" w:cstheme="majorEastAsia"/>
              <w:b/>
              <w:bCs/>
              <w:color w:val="auto"/>
              <w:sz w:val="24"/>
            </w:rPr>
            <w:t>四、绩效评价评分情况</w:t>
          </w:r>
          <w:r>
            <w:rPr>
              <w:rFonts w:hint="eastAsia" w:asciiTheme="majorEastAsia" w:hAnsiTheme="majorEastAsia" w:eastAsiaTheme="majorEastAsia" w:cstheme="majorEastAsia"/>
              <w:b/>
              <w:bCs/>
              <w:color w:val="auto"/>
              <w:sz w:val="24"/>
            </w:rPr>
            <w:tab/>
          </w:r>
          <w:r>
            <w:rPr>
              <w:rFonts w:hint="eastAsia" w:asciiTheme="majorEastAsia" w:hAnsiTheme="majorEastAsia" w:eastAsiaTheme="majorEastAsia" w:cstheme="majorEastAsia"/>
              <w:b/>
              <w:bCs/>
              <w:color w:val="auto"/>
              <w:sz w:val="24"/>
            </w:rPr>
            <w:fldChar w:fldCharType="end"/>
          </w:r>
          <w:r>
            <w:rPr>
              <w:rFonts w:hint="eastAsia" w:asciiTheme="majorEastAsia" w:hAnsiTheme="majorEastAsia" w:eastAsiaTheme="majorEastAsia" w:cstheme="majorEastAsia"/>
              <w:b/>
              <w:bCs/>
              <w:color w:val="auto"/>
              <w:sz w:val="24"/>
              <w:lang w:val="en-US" w:eastAsia="zh-CN"/>
            </w:rPr>
            <w:t>22</w:t>
          </w:r>
        </w:p>
        <w:p>
          <w:pPr>
            <w:pStyle w:val="12"/>
            <w:tabs>
              <w:tab w:val="right" w:leader="dot" w:pos="8312"/>
            </w:tabs>
            <w:spacing w:line="312" w:lineRule="auto"/>
            <w:ind w:left="0" w:leftChars="0" w:firstLine="280" w:firstLineChars="100"/>
            <w:rPr>
              <w:rFonts w:hint="default"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"_Toc4390" </w:instrText>
          </w:r>
          <w:r>
            <w:rPr>
              <w:color w:val="auto"/>
            </w:rPr>
            <w:fldChar w:fldCharType="separate"/>
          </w:r>
          <w:r>
            <w:rPr>
              <w:rFonts w:hint="eastAsia" w:asciiTheme="majorEastAsia" w:hAnsiTheme="majorEastAsia" w:eastAsiaTheme="majorEastAsia" w:cstheme="majorEastAsia"/>
              <w:color w:val="auto"/>
              <w:sz w:val="24"/>
            </w:rPr>
            <w:t>（一）投入</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lang w:val="en-US" w:eastAsia="zh-CN"/>
            </w:rPr>
            <w:t>22</w:t>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"_Toc19940" </w:instrText>
          </w:r>
          <w:r>
            <w:rPr>
              <w:color w:val="auto"/>
            </w:rPr>
            <w:fldChar w:fldCharType="separate"/>
          </w:r>
          <w:r>
            <w:rPr>
              <w:rFonts w:hint="eastAsia" w:asciiTheme="majorEastAsia" w:hAnsiTheme="majorEastAsia" w:eastAsiaTheme="majorEastAsia" w:cstheme="majorEastAsia"/>
              <w:color w:val="auto"/>
              <w:sz w:val="24"/>
            </w:rPr>
            <w:t>（二）过程</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begin"/>
          </w:r>
          <w:r>
            <w:rPr>
              <w:rFonts w:hint="eastAsia" w:asciiTheme="majorEastAsia" w:hAnsiTheme="majorEastAsia" w:eastAsiaTheme="majorEastAsia" w:cstheme="majorEastAsia"/>
              <w:color w:val="auto"/>
              <w:sz w:val="24"/>
            </w:rPr>
            <w:instrText xml:space="preserve"> PAGEREF _Toc19940 </w:instrText>
          </w:r>
          <w:r>
            <w:rPr>
              <w:rFonts w:hint="eastAsia" w:asciiTheme="majorEastAsia" w:hAnsiTheme="majorEastAsia" w:eastAsiaTheme="majorEastAsia" w:cstheme="majorEastAsia"/>
              <w:color w:val="auto"/>
              <w:sz w:val="24"/>
            </w:rPr>
            <w:fldChar w:fldCharType="separate"/>
          </w:r>
          <w:r>
            <w:rPr>
              <w:rFonts w:hint="eastAsia" w:asciiTheme="majorEastAsia" w:hAnsiTheme="majorEastAsia" w:eastAsiaTheme="majorEastAsia" w:cstheme="majorEastAsia"/>
              <w:color w:val="auto"/>
              <w:sz w:val="24"/>
            </w:rPr>
            <w:t>2</w:t>
          </w:r>
          <w:r>
            <w:rPr>
              <w:rFonts w:hint="eastAsia" w:asciiTheme="majorEastAsia" w:hAnsiTheme="majorEastAsia" w:eastAsiaTheme="majorEastAsia" w:cstheme="majorEastAsia"/>
              <w:color w:val="auto"/>
              <w:sz w:val="24"/>
              <w:lang w:val="en-US" w:eastAsia="zh-CN"/>
            </w:rPr>
            <w:t>5</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rPr>
            <w:fldChar w:fldCharType="end"/>
          </w:r>
        </w:p>
        <w:p>
          <w:pPr>
            <w:pStyle w:val="12"/>
            <w:tabs>
              <w:tab w:val="right" w:leader="dot" w:pos="8312"/>
            </w:tabs>
            <w:spacing w:line="312" w:lineRule="auto"/>
            <w:ind w:left="0" w:leftChars="0" w:firstLine="280" w:firstLineChars="10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"_Toc12330" </w:instrText>
          </w:r>
          <w:r>
            <w:rPr>
              <w:color w:val="auto"/>
            </w:rPr>
            <w:fldChar w:fldCharType="separate"/>
          </w:r>
          <w:r>
            <w:rPr>
              <w:rFonts w:hint="eastAsia" w:asciiTheme="majorEastAsia" w:hAnsiTheme="majorEastAsia" w:eastAsiaTheme="majorEastAsia" w:cstheme="majorEastAsia"/>
              <w:color w:val="auto"/>
              <w:sz w:val="24"/>
            </w:rPr>
            <w:t>（三）产出</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lang w:val="en-US" w:eastAsia="zh-CN"/>
            </w:rPr>
            <w:t>3</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lang w:val="en-US" w:eastAsia="zh-CN"/>
            </w:rPr>
            <w:t>2</w:t>
          </w:r>
        </w:p>
        <w:p>
          <w:pPr>
            <w:pStyle w:val="12"/>
            <w:tabs>
              <w:tab w:val="right" w:leader="dot" w:pos="8312"/>
            </w:tabs>
            <w:spacing w:line="312" w:lineRule="auto"/>
            <w:ind w:left="0" w:leftChars="0" w:firstLine="280" w:firstLineChars="100"/>
            <w:rPr>
              <w:rFonts w:asciiTheme="majorEastAsia" w:hAnsiTheme="majorEastAsia" w:eastAsiaTheme="majorEastAsia" w:cstheme="majorEastAsia"/>
              <w:color w:val="auto"/>
              <w:sz w:val="24"/>
            </w:rPr>
          </w:pPr>
          <w:r>
            <w:rPr>
              <w:color w:val="auto"/>
            </w:rPr>
            <w:fldChar w:fldCharType="begin"/>
          </w:r>
          <w:r>
            <w:rPr>
              <w:color w:val="auto"/>
            </w:rPr>
            <w:instrText xml:space="preserve"> HYPERLINK \l "_Toc28363" </w:instrText>
          </w:r>
          <w:r>
            <w:rPr>
              <w:color w:val="auto"/>
            </w:rPr>
            <w:fldChar w:fldCharType="separate"/>
          </w:r>
          <w:r>
            <w:rPr>
              <w:rFonts w:hint="eastAsia" w:asciiTheme="majorEastAsia" w:hAnsiTheme="majorEastAsia" w:eastAsiaTheme="majorEastAsia" w:cstheme="majorEastAsia"/>
              <w:color w:val="auto"/>
              <w:sz w:val="24"/>
            </w:rPr>
            <w:t>（四）效果</w:t>
          </w: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fldChar w:fldCharType="begin"/>
          </w:r>
          <w:r>
            <w:rPr>
              <w:rFonts w:hint="eastAsia" w:asciiTheme="majorEastAsia" w:hAnsiTheme="majorEastAsia" w:eastAsiaTheme="majorEastAsia" w:cstheme="majorEastAsia"/>
              <w:color w:val="auto"/>
              <w:sz w:val="24"/>
            </w:rPr>
            <w:instrText xml:space="preserve"> PAGEREF _Toc28363 </w:instrText>
          </w:r>
          <w:r>
            <w:rPr>
              <w:rFonts w:hint="eastAsia" w:asciiTheme="majorEastAsia" w:hAnsiTheme="majorEastAsia" w:eastAsiaTheme="majorEastAsia" w:cstheme="majorEastAsia"/>
              <w:color w:val="auto"/>
              <w:sz w:val="24"/>
            </w:rPr>
            <w:fldChar w:fldCharType="separate"/>
          </w:r>
          <w:r>
            <w:rPr>
              <w:rFonts w:hint="eastAsia" w:asciiTheme="majorEastAsia" w:hAnsiTheme="majorEastAsia" w:eastAsiaTheme="majorEastAsia" w:cstheme="majorEastAsia"/>
              <w:color w:val="auto"/>
              <w:sz w:val="24"/>
            </w:rPr>
            <w:t>3</w:t>
          </w:r>
          <w:r>
            <w:rPr>
              <w:rFonts w:hint="eastAsia" w:asciiTheme="majorEastAsia" w:hAnsiTheme="majorEastAsia" w:eastAsiaTheme="majorEastAsia" w:cstheme="majorEastAsia"/>
              <w:color w:val="auto"/>
              <w:sz w:val="24"/>
              <w:lang w:val="en-US" w:eastAsia="zh-CN"/>
            </w:rPr>
            <w:t>4</w:t>
          </w:r>
          <w:r>
            <w:rPr>
              <w:rFonts w:hint="eastAsia" w:asciiTheme="majorEastAsia" w:hAnsiTheme="majorEastAsia" w:eastAsiaTheme="majorEastAsia" w:cstheme="majorEastAsia"/>
              <w:color w:val="auto"/>
              <w:sz w:val="24"/>
            </w:rPr>
            <w:fldChar w:fldCharType="end"/>
          </w:r>
          <w:r>
            <w:rPr>
              <w:rFonts w:hint="eastAsia" w:asciiTheme="majorEastAsia" w:hAnsiTheme="majorEastAsia" w:eastAsiaTheme="majorEastAsia" w:cstheme="majorEastAsia"/>
              <w:color w:val="auto"/>
              <w:sz w:val="24"/>
            </w:rPr>
            <w:fldChar w:fldCharType="end"/>
          </w:r>
        </w:p>
        <w:p>
          <w:pPr>
            <w:pStyle w:val="2"/>
            <w:tabs>
              <w:tab w:val="right" w:leader="dot" w:pos="8312"/>
            </w:tabs>
            <w:spacing w:line="312" w:lineRule="auto"/>
            <w:ind w:left="0" w:leftChars="0"/>
            <w:rPr>
              <w:rFonts w:hint="eastAsia" w:asciiTheme="majorEastAsia" w:hAnsiTheme="majorEastAsia" w:eastAsiaTheme="majorEastAsia" w:cstheme="majorEastAsia"/>
              <w:color w:val="auto"/>
              <w:sz w:val="24"/>
              <w:lang w:val="en-US" w:eastAsia="zh-CN"/>
            </w:rPr>
          </w:pPr>
          <w:r>
            <w:rPr>
              <w:color w:val="auto"/>
            </w:rPr>
            <w:fldChar w:fldCharType="begin"/>
          </w:r>
          <w:r>
            <w:rPr>
              <w:color w:val="auto"/>
            </w:rPr>
            <w:instrText xml:space="preserve"> HYPERLINK \l "_Toc13757" </w:instrText>
          </w:r>
          <w:r>
            <w:rPr>
              <w:color w:val="auto"/>
            </w:rPr>
            <w:fldChar w:fldCharType="separate"/>
          </w:r>
          <w:r>
            <w:rPr>
              <w:rFonts w:hint="eastAsia" w:asciiTheme="majorEastAsia" w:hAnsiTheme="majorEastAsia" w:eastAsiaTheme="majorEastAsia" w:cstheme="majorEastAsia"/>
              <w:b/>
              <w:bCs/>
              <w:color w:val="auto"/>
              <w:sz w:val="24"/>
            </w:rPr>
            <w:t>五、绩效评价发现的问题</w:t>
          </w:r>
          <w:r>
            <w:rPr>
              <w:rFonts w:hint="eastAsia" w:asciiTheme="majorEastAsia" w:hAnsiTheme="majorEastAsia" w:eastAsiaTheme="majorEastAsia" w:cstheme="majorEastAsia"/>
              <w:b/>
              <w:bCs/>
              <w:color w:val="auto"/>
              <w:sz w:val="24"/>
            </w:rPr>
            <w:tab/>
          </w:r>
          <w:r>
            <w:rPr>
              <w:rFonts w:hint="eastAsia" w:asciiTheme="majorEastAsia" w:hAnsiTheme="majorEastAsia" w:eastAsiaTheme="majorEastAsia" w:cstheme="majorEastAsia"/>
              <w:b/>
              <w:bCs/>
              <w:color w:val="auto"/>
              <w:sz w:val="24"/>
            </w:rPr>
            <w:fldChar w:fldCharType="begin"/>
          </w:r>
          <w:r>
            <w:rPr>
              <w:rFonts w:hint="eastAsia" w:asciiTheme="majorEastAsia" w:hAnsiTheme="majorEastAsia" w:eastAsiaTheme="majorEastAsia" w:cstheme="majorEastAsia"/>
              <w:b/>
              <w:bCs/>
              <w:color w:val="auto"/>
              <w:sz w:val="24"/>
            </w:rPr>
            <w:instrText xml:space="preserve"> PAGEREF _Toc13757 </w:instrText>
          </w:r>
          <w:r>
            <w:rPr>
              <w:rFonts w:hint="eastAsia" w:asciiTheme="majorEastAsia" w:hAnsiTheme="majorEastAsia" w:eastAsiaTheme="majorEastAsia" w:cstheme="majorEastAsia"/>
              <w:b/>
              <w:bCs/>
              <w:color w:val="auto"/>
              <w:sz w:val="24"/>
            </w:rPr>
            <w:fldChar w:fldCharType="separate"/>
          </w:r>
          <w:r>
            <w:rPr>
              <w:rFonts w:hint="eastAsia" w:asciiTheme="majorEastAsia" w:hAnsiTheme="majorEastAsia" w:eastAsiaTheme="majorEastAsia" w:cstheme="majorEastAsia"/>
              <w:b/>
              <w:bCs/>
              <w:color w:val="auto"/>
              <w:sz w:val="24"/>
            </w:rPr>
            <w:t>3</w:t>
          </w:r>
          <w:r>
            <w:rPr>
              <w:rFonts w:hint="eastAsia" w:asciiTheme="majorEastAsia" w:hAnsiTheme="majorEastAsia" w:eastAsiaTheme="majorEastAsia" w:cstheme="majorEastAsia"/>
              <w:b/>
              <w:bCs/>
              <w:color w:val="auto"/>
              <w:sz w:val="24"/>
              <w:lang w:val="en-US" w:eastAsia="zh-CN"/>
            </w:rPr>
            <w:t>5</w:t>
          </w:r>
          <w:r>
            <w:rPr>
              <w:rFonts w:hint="eastAsia" w:asciiTheme="majorEastAsia" w:hAnsiTheme="majorEastAsia" w:eastAsiaTheme="majorEastAsia" w:cstheme="majorEastAsia"/>
              <w:b/>
              <w:bCs/>
              <w:color w:val="auto"/>
              <w:sz w:val="24"/>
            </w:rPr>
            <w:fldChar w:fldCharType="end"/>
          </w:r>
          <w:r>
            <w:rPr>
              <w:rFonts w:hint="eastAsia" w:asciiTheme="majorEastAsia" w:hAnsiTheme="majorEastAsia" w:eastAsiaTheme="majorEastAsia" w:cstheme="majorEastAsia"/>
              <w:b/>
              <w:bCs/>
              <w:color w:val="auto"/>
              <w:sz w:val="24"/>
            </w:rPr>
            <w:fldChar w:fldCharType="end"/>
          </w:r>
        </w:p>
        <w:p>
          <w:pPr>
            <w:pStyle w:val="2"/>
            <w:tabs>
              <w:tab w:val="right" w:leader="dot" w:pos="8312"/>
            </w:tabs>
            <w:spacing w:line="312" w:lineRule="auto"/>
            <w:ind w:left="0" w:leftChars="0"/>
            <w:rPr>
              <w:rFonts w:hint="eastAsia" w:eastAsiaTheme="majorEastAsia"/>
              <w:b/>
              <w:bCs/>
              <w:color w:val="auto"/>
              <w:lang w:val="en-US" w:eastAsia="zh-CN"/>
            </w:rPr>
          </w:pPr>
          <w:r>
            <w:rPr>
              <w:color w:val="auto"/>
            </w:rPr>
            <w:fldChar w:fldCharType="begin"/>
          </w:r>
          <w:r>
            <w:rPr>
              <w:color w:val="auto"/>
            </w:rPr>
            <w:instrText xml:space="preserve"> HYPERLINK \l "_Toc20723" </w:instrText>
          </w:r>
          <w:r>
            <w:rPr>
              <w:color w:val="auto"/>
            </w:rPr>
            <w:fldChar w:fldCharType="separate"/>
          </w:r>
          <w:r>
            <w:rPr>
              <w:rFonts w:hint="eastAsia" w:asciiTheme="majorEastAsia" w:hAnsiTheme="majorEastAsia" w:eastAsiaTheme="majorEastAsia" w:cstheme="majorEastAsia"/>
              <w:b/>
              <w:bCs/>
              <w:color w:val="auto"/>
              <w:sz w:val="24"/>
            </w:rPr>
            <w:t>六、绩效评价意见及建议</w:t>
          </w:r>
          <w:r>
            <w:rPr>
              <w:rFonts w:hint="eastAsia" w:asciiTheme="majorEastAsia" w:hAnsiTheme="majorEastAsia" w:eastAsiaTheme="majorEastAsia" w:cstheme="majorEastAsia"/>
              <w:b/>
              <w:bCs/>
              <w:color w:val="auto"/>
              <w:sz w:val="24"/>
            </w:rPr>
            <w:tab/>
          </w:r>
          <w:r>
            <w:rPr>
              <w:rFonts w:hint="eastAsia" w:asciiTheme="majorEastAsia" w:hAnsiTheme="majorEastAsia" w:eastAsiaTheme="majorEastAsia" w:cstheme="majorEastAsia"/>
              <w:b/>
              <w:bCs/>
              <w:color w:val="auto"/>
              <w:sz w:val="24"/>
              <w:lang w:val="en-US" w:eastAsia="zh-CN"/>
            </w:rPr>
            <w:t>3</w:t>
          </w:r>
          <w:r>
            <w:rPr>
              <w:rFonts w:hint="eastAsia" w:asciiTheme="majorEastAsia" w:hAnsiTheme="majorEastAsia" w:eastAsiaTheme="majorEastAsia" w:cstheme="majorEastAsia"/>
              <w:b/>
              <w:bCs/>
              <w:color w:val="auto"/>
              <w:sz w:val="24"/>
            </w:rPr>
            <w:fldChar w:fldCharType="end"/>
          </w:r>
          <w:r>
            <w:rPr>
              <w:rFonts w:hint="eastAsia" w:asciiTheme="majorEastAsia" w:hAnsiTheme="majorEastAsia" w:eastAsiaTheme="majorEastAsia" w:cstheme="majorEastAsia"/>
              <w:b/>
              <w:bCs/>
              <w:color w:val="auto"/>
              <w:sz w:val="24"/>
              <w:lang w:val="en-US" w:eastAsia="zh-CN"/>
            </w:rPr>
            <w:t>6</w:t>
          </w:r>
        </w:p>
        <w:p>
          <w:pPr>
            <w:spacing w:line="312" w:lineRule="auto"/>
            <w:ind w:firstLine="440" w:firstLineChars="200"/>
            <w:jc w:val="both"/>
            <w:rPr>
              <w:color w:val="auto"/>
            </w:rPr>
            <w:sectPr>
              <w:footerReference r:id="rId6" w:type="default"/>
              <w:pgSz w:w="11906" w:h="16838"/>
              <w:pgMar w:top="1440" w:right="1797" w:bottom="1191" w:left="1797" w:header="709" w:footer="624" w:gutter="0"/>
              <w:pgBorders>
                <w:top w:val="none" w:sz="0" w:space="0"/>
                <w:left w:val="none" w:sz="0" w:space="0"/>
                <w:bottom w:val="none" w:sz="0" w:space="0"/>
                <w:right w:val="none" w:sz="0" w:space="0"/>
              </w:pgBorders>
              <w:pgNumType w:start="1"/>
              <w:cols w:space="708" w:num="1"/>
              <w:docGrid w:linePitch="360" w:charSpace="0"/>
            </w:sectPr>
          </w:pPr>
          <w:r>
            <w:rPr>
              <w:rFonts w:asciiTheme="minorEastAsia" w:hAnsiTheme="minorEastAsia" w:eastAsiaTheme="minorEastAsia"/>
              <w:color w:val="auto"/>
              <w:szCs w:val="24"/>
            </w:rPr>
            <w:fldChar w:fldCharType="end"/>
          </w:r>
        </w:p>
      </w:sdtContent>
    </w:sdt>
    <w:p>
      <w:pPr>
        <w:pStyle w:val="4"/>
        <w:spacing w:line="540" w:lineRule="exact"/>
        <w:jc w:val="center"/>
        <w:rPr>
          <w:rFonts w:ascii="黑体" w:hAnsi="黑体"/>
          <w:b w:val="0"/>
          <w:color w:val="auto"/>
        </w:rPr>
      </w:pPr>
      <w:bookmarkStart w:id="0" w:name="_Toc25184"/>
      <w:r>
        <w:rPr>
          <w:rFonts w:hint="eastAsia" w:ascii="黑体" w:hAnsi="黑体"/>
          <w:b w:val="0"/>
          <w:color w:val="auto"/>
        </w:rPr>
        <w:t>第一部分   摘  要</w:t>
      </w:r>
      <w:bookmarkEnd w:id="0"/>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为深入贯彻落实中共中央国务院《关于全面实施预算绩效管理的意见》、中共河北省委河北省人民政府《关于全面实施预算绩效管理的实施意见》、河北省财政厅《全面实施预算绩效管理推进工作方案》的精神，进一步加强和规范预算绩效运行监控工作，确保绩效目标如期保质保量实现，提高预算执行效率和财政资金使用效益，我们接受</w:t>
      </w:r>
      <w:r>
        <w:rPr>
          <w:rFonts w:hint="eastAsia" w:ascii="仿宋_GB2312" w:eastAsia="仿宋_GB2312" w:cs="DengXian-Regular"/>
          <w:color w:val="auto"/>
          <w:sz w:val="32"/>
          <w:szCs w:val="32"/>
          <w:lang w:eastAsia="zh-CN"/>
        </w:rPr>
        <w:t>曲阳县</w:t>
      </w:r>
      <w:r>
        <w:rPr>
          <w:rFonts w:hint="eastAsia" w:ascii="仿宋_GB2312" w:eastAsia="仿宋_GB2312" w:cs="DengXian-Regular"/>
          <w:color w:val="auto"/>
          <w:sz w:val="32"/>
          <w:szCs w:val="32"/>
          <w:lang w:val="en-US" w:eastAsia="zh-CN"/>
        </w:rPr>
        <w:t>财政局</w:t>
      </w:r>
      <w:r>
        <w:rPr>
          <w:rFonts w:hint="eastAsia" w:ascii="仿宋_GB2312" w:eastAsia="仿宋_GB2312" w:cs="DengXian-Regular"/>
          <w:color w:val="auto"/>
          <w:sz w:val="32"/>
          <w:szCs w:val="32"/>
        </w:rPr>
        <w:t>委托，对</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年部门整体支出情况开展了绩效评价工作。</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rPr>
        <w:t>为正科级行政单位，经费保障形式为财政拨款，下设</w:t>
      </w:r>
      <w:r>
        <w:rPr>
          <w:rFonts w:hint="eastAsia" w:ascii="仿宋_GB2312" w:eastAsia="仿宋_GB2312" w:cs="DengXian-Regular"/>
          <w:color w:val="auto"/>
          <w:sz w:val="32"/>
          <w:szCs w:val="32"/>
          <w:highlight w:val="none"/>
          <w:lang w:val="en-US" w:eastAsia="zh-CN"/>
        </w:rPr>
        <w:t>5</w:t>
      </w:r>
      <w:r>
        <w:rPr>
          <w:rFonts w:hint="eastAsia" w:ascii="仿宋_GB2312" w:eastAsia="仿宋_GB2312" w:cs="DengXian-Regular"/>
          <w:color w:val="auto"/>
          <w:sz w:val="32"/>
          <w:szCs w:val="32"/>
          <w:highlight w:val="none"/>
        </w:rPr>
        <w:t>个股室，分别为</w:t>
      </w:r>
      <w:r>
        <w:rPr>
          <w:rFonts w:hint="eastAsia" w:ascii="仿宋_GB2312" w:eastAsia="仿宋_GB2312" w:cs="DengXian-Regular"/>
          <w:color w:val="auto"/>
          <w:sz w:val="32"/>
          <w:szCs w:val="32"/>
          <w:highlight w:val="none"/>
          <w:lang w:eastAsia="zh-CN"/>
        </w:rPr>
        <w:t>综合股、</w:t>
      </w:r>
      <w:r>
        <w:rPr>
          <w:rFonts w:hint="eastAsia" w:ascii="仿宋_GB2312" w:eastAsia="仿宋_GB2312" w:cs="DengXian-Regular"/>
          <w:color w:val="auto"/>
          <w:sz w:val="32"/>
          <w:szCs w:val="32"/>
          <w:highlight w:val="none"/>
          <w:lang w:val="en-US" w:eastAsia="zh-CN"/>
        </w:rPr>
        <w:t>应急救援指挥中心（地震股）、危险化学品安全监督管理股、非煤矿山安全监督管理股和工商贸行业安全监督管理股。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仿宋_GB2312" w:hAnsi="Tahoma" w:eastAsia="仿宋_GB2312" w:cs="DengXian-Regular"/>
          <w:color w:val="auto"/>
          <w:kern w:val="0"/>
          <w:sz w:val="32"/>
          <w:szCs w:val="32"/>
          <w:highlight w:val="none"/>
          <w:lang w:val="en-US" w:eastAsia="zh-CN" w:bidi="ar-SA"/>
        </w:rPr>
      </w:pPr>
      <w:r>
        <w:rPr>
          <w:rFonts w:hint="eastAsia" w:ascii="仿宋_GB2312" w:hAnsi="Tahoma" w:eastAsia="仿宋_GB2312" w:cs="DengXian-Regular"/>
          <w:color w:val="auto"/>
          <w:kern w:val="0"/>
          <w:sz w:val="32"/>
          <w:szCs w:val="32"/>
          <w:highlight w:val="none"/>
          <w:lang w:val="en-US" w:eastAsia="zh-CN" w:bidi="ar-SA"/>
        </w:rPr>
        <w:t>曲阳县应急管理局的主要职责:负责应急管理工作；拟订应急管理、安全生产等政策规定；指导应急预案体系建设；牵头建立统一的全县应急管理信息系统；组织指导协调安全生产类、自然灾害类等突发事件应急救援；统一协调指挥各类应急专业队伍；统筹应急救援力量建设；组织协调消防工作；指导协调森林和草原火灾、水旱灾害、地震和地质灾害等防治工作；组织协调灾害救助工作；依法行使县安全生产综合监督管理职权；按照分级、属地原则，依法监督检查工矿商贸生产经营单位贯彻执行安全生产法律法规情况，及其安全生产条件和有关设备（特种设备除外）、材料、劳动防护用品的安全生产管理工作；依法组织指导安全生产事故调查处理；制定应急物资储备和应急救援装备规划并组织实施；负责应急管理、安全生产宣传教育和培训工作，组织指导应急管理、安全生产的科学技术研究、推广应用和信息化建设工作；负责组织指导协调和监督全县安全生产行政执法检查工作；负责地震监测、震灾防御和震灾救援指挥工作等。</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绩效评价是制定科学合理的评价方法、评价标准和指标体系，对财政资金的使用及产生的效益进行客观、公正的评价。通过部门整体支出绩效评价工作了解部门绩效目标和指标的设置及完成情况；部门整体资金预算情况、实际收支及结转结余情况；部门履职对社会发展所带来的直接或间接影响及服务对象对部门履职效果的满意程度，促使相关部门根据绩效评价过程中发现的问题，及时整改并总结经验，提高部门管理水平，牢固树立预算绩效理念，强化部门支出责任，提高预算执行效率和财政资金使用效益。</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自</w:t>
      </w:r>
      <w:r>
        <w:rPr>
          <w:rFonts w:hint="eastAsia" w:ascii="仿宋_GB2312" w:eastAsia="仿宋_GB2312" w:cs="DengXian-Regular"/>
          <w:color w:val="auto"/>
          <w:sz w:val="32"/>
          <w:szCs w:val="32"/>
          <w:lang w:eastAsia="zh-CN"/>
        </w:rPr>
        <w:t>202</w:t>
      </w:r>
      <w:r>
        <w:rPr>
          <w:rFonts w:hint="eastAsia" w:ascii="仿宋_GB2312" w:eastAsia="仿宋_GB2312" w:cs="DengXian-Regular"/>
          <w:color w:val="auto"/>
          <w:sz w:val="32"/>
          <w:szCs w:val="32"/>
          <w:lang w:val="en-US" w:eastAsia="zh-CN"/>
        </w:rPr>
        <w:t>2</w:t>
      </w:r>
      <w:r>
        <w:rPr>
          <w:rFonts w:hint="eastAsia" w:ascii="仿宋_GB2312" w:eastAsia="仿宋_GB2312" w:cs="DengXian-Regular"/>
          <w:color w:val="auto"/>
          <w:sz w:val="32"/>
          <w:szCs w:val="32"/>
          <w:lang w:eastAsia="zh-CN"/>
        </w:rPr>
        <w:t>年8月1</w:t>
      </w:r>
      <w:r>
        <w:rPr>
          <w:rFonts w:hint="eastAsia" w:ascii="仿宋_GB2312" w:eastAsia="仿宋_GB2312" w:cs="DengXian-Regular"/>
          <w:color w:val="auto"/>
          <w:sz w:val="32"/>
          <w:szCs w:val="32"/>
          <w:lang w:val="en-US" w:eastAsia="zh-CN"/>
        </w:rPr>
        <w:t>5</w:t>
      </w:r>
      <w:r>
        <w:rPr>
          <w:rFonts w:hint="eastAsia" w:ascii="仿宋_GB2312" w:eastAsia="仿宋_GB2312" w:cs="DengXian-Regular"/>
          <w:color w:val="auto"/>
          <w:sz w:val="32"/>
          <w:szCs w:val="32"/>
          <w:lang w:eastAsia="zh-CN"/>
        </w:rPr>
        <w:t>日</w:t>
      </w:r>
      <w:r>
        <w:rPr>
          <w:rFonts w:hint="eastAsia" w:ascii="仿宋_GB2312" w:eastAsia="仿宋_GB2312" w:cs="DengXian-Regular"/>
          <w:color w:val="auto"/>
          <w:sz w:val="32"/>
          <w:szCs w:val="32"/>
        </w:rPr>
        <w:t>启动</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年部门整体支出绩效评价工作，至</w:t>
      </w:r>
      <w:r>
        <w:rPr>
          <w:rFonts w:hint="eastAsia" w:ascii="仿宋_GB2312" w:eastAsia="仿宋_GB2312" w:cs="DengXian-Regular"/>
          <w:color w:val="auto"/>
          <w:sz w:val="32"/>
          <w:szCs w:val="32"/>
          <w:lang w:eastAsia="zh-CN"/>
        </w:rPr>
        <w:t>202</w:t>
      </w:r>
      <w:r>
        <w:rPr>
          <w:rFonts w:hint="eastAsia" w:ascii="仿宋_GB2312" w:eastAsia="仿宋_GB2312" w:cs="DengXian-Regular"/>
          <w:color w:val="auto"/>
          <w:sz w:val="32"/>
          <w:szCs w:val="32"/>
          <w:lang w:val="en-US" w:eastAsia="zh-CN"/>
        </w:rPr>
        <w:t>2</w:t>
      </w:r>
      <w:r>
        <w:rPr>
          <w:rFonts w:hint="eastAsia" w:ascii="仿宋_GB2312" w:eastAsia="仿宋_GB2312" w:cs="DengXian-Regular"/>
          <w:color w:val="auto"/>
          <w:sz w:val="32"/>
          <w:szCs w:val="32"/>
          <w:lang w:eastAsia="zh-CN"/>
        </w:rPr>
        <w:t>年</w:t>
      </w:r>
      <w:r>
        <w:rPr>
          <w:rFonts w:hint="eastAsia" w:ascii="仿宋_GB2312" w:eastAsia="仿宋_GB2312" w:cs="DengXian-Regular"/>
          <w:color w:val="auto"/>
          <w:sz w:val="32"/>
          <w:szCs w:val="32"/>
          <w:lang w:val="en-US" w:eastAsia="zh-CN"/>
        </w:rPr>
        <w:t>9</w:t>
      </w:r>
      <w:r>
        <w:rPr>
          <w:rFonts w:hint="eastAsia" w:ascii="仿宋_GB2312" w:eastAsia="仿宋_GB2312" w:cs="DengXian-Regular"/>
          <w:color w:val="auto"/>
          <w:sz w:val="32"/>
          <w:szCs w:val="32"/>
          <w:highlight w:val="none"/>
          <w:lang w:eastAsia="zh-CN"/>
        </w:rPr>
        <w:t>月</w:t>
      </w:r>
      <w:r>
        <w:rPr>
          <w:rFonts w:hint="eastAsia" w:ascii="仿宋_GB2312" w:eastAsia="仿宋_GB2312" w:cs="DengXian-Regular"/>
          <w:color w:val="auto"/>
          <w:sz w:val="32"/>
          <w:szCs w:val="32"/>
          <w:highlight w:val="none"/>
          <w:lang w:val="en-US" w:eastAsia="zh-CN"/>
        </w:rPr>
        <w:t xml:space="preserve"> </w:t>
      </w:r>
      <w:r>
        <w:rPr>
          <w:rFonts w:hint="eastAsia" w:ascii="仿宋_GB2312" w:eastAsia="仿宋_GB2312" w:cs="DengXian-Regular"/>
          <w:color w:val="auto"/>
          <w:sz w:val="32"/>
          <w:szCs w:val="32"/>
          <w:lang w:eastAsia="zh-CN"/>
        </w:rPr>
        <w:t>日</w:t>
      </w:r>
      <w:r>
        <w:rPr>
          <w:rFonts w:hint="eastAsia" w:ascii="仿宋_GB2312" w:eastAsia="仿宋_GB2312" w:cs="DengXian-Regular"/>
          <w:color w:val="auto"/>
          <w:sz w:val="32"/>
          <w:szCs w:val="32"/>
        </w:rPr>
        <w:t>出具报告，评价工作经过了前期准备、绩效评价实施方案和指标体系制定、组织实施、绩效评价报告撰写四个阶段。</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我们按照中共河北省委河北省人民政府《关于全面实施预算绩效管理的实施意见》的相关规定，以河北省财政厅《全</w:t>
      </w:r>
      <w:r>
        <w:rPr>
          <w:rFonts w:hint="eastAsia" w:ascii="仿宋_GB2312" w:eastAsia="仿宋_GB2312" w:cs="DengXian-Regular"/>
          <w:color w:val="auto"/>
          <w:sz w:val="32"/>
          <w:szCs w:val="32"/>
          <w:highlight w:val="none"/>
        </w:rPr>
        <w:t>面实施预算绩效管理推进工作方案》、《曲阳县财政局关于印发2022年县级财政重点绩效评价计划的通知》（曲财[2022]54号）</w:t>
      </w:r>
      <w:r>
        <w:rPr>
          <w:rFonts w:hint="eastAsia" w:ascii="仿宋_GB2312" w:eastAsia="仿宋_GB2312" w:cs="DengXian-Regular"/>
          <w:color w:val="auto"/>
          <w:sz w:val="32"/>
          <w:szCs w:val="32"/>
        </w:rPr>
        <w:t>中的相关工作要求作为评价标准，采取定量和定性评价相结合的方法，对资料进行审核、分析，实事求是、客观公正地完成了对</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年部门整体支出绩效评价工作。</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年部门整体支出绩效评价指标体系共设置4个一级指标、7个二级指标、27个三级指标，从投入、过程、产出、效果四个方面对</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部门整体支出情况评分定级。指标体系设定满分为100分，绩效评价分值≥90为“优”；80≤分值＜90为“良”；60≤分值＜80为“合格”；60分以下为“差”。</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年部门整体支出综合评价得分为</w:t>
      </w:r>
      <w:r>
        <w:rPr>
          <w:rFonts w:hint="eastAsia" w:ascii="仿宋_GB2312" w:eastAsia="仿宋_GB2312" w:cs="DengXian-Regular"/>
          <w:color w:val="auto"/>
          <w:sz w:val="32"/>
          <w:szCs w:val="32"/>
          <w:highlight w:val="none"/>
          <w:lang w:val="en-US" w:eastAsia="zh-CN"/>
        </w:rPr>
        <w:t>91分</w:t>
      </w:r>
      <w:r>
        <w:rPr>
          <w:rFonts w:hint="eastAsia" w:ascii="仿宋_GB2312" w:eastAsia="仿宋_GB2312" w:cs="DengXian-Regular"/>
          <w:color w:val="auto"/>
          <w:sz w:val="32"/>
          <w:szCs w:val="32"/>
          <w:highlight w:val="none"/>
        </w:rPr>
        <w:t>，评价等级为“</w:t>
      </w:r>
      <w:r>
        <w:rPr>
          <w:rFonts w:hint="eastAsia" w:ascii="仿宋_GB2312" w:eastAsia="仿宋_GB2312" w:cs="DengXian-Regular"/>
          <w:color w:val="auto"/>
          <w:sz w:val="32"/>
          <w:szCs w:val="32"/>
          <w:highlight w:val="none"/>
          <w:lang w:val="en-US" w:eastAsia="zh-CN"/>
        </w:rPr>
        <w:t>优</w:t>
      </w:r>
      <w:r>
        <w:rPr>
          <w:rFonts w:hint="eastAsia" w:ascii="仿宋_GB2312" w:eastAsia="仿宋_GB2312" w:cs="DengXian-Regular"/>
          <w:color w:val="auto"/>
          <w:sz w:val="32"/>
          <w:szCs w:val="32"/>
          <w:highlight w:val="none"/>
        </w:rPr>
        <w:t>”。</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经评价，</w:t>
      </w: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部门预算编制完整性、项目预算细化率、在职人员控制率、收入完成率、财政拨款支出完成率、“三公经费”控制率、资金使用合规性、决算真实性、管理制度健全性、预决算信息公开、资产管理规范性、绩效自评覆盖率、绩效评价优等率、结转结余率、部门整体效益等指标完成情况较好。</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通过本次绩效评价工作，我们也发现</w:t>
      </w: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rPr>
        <w:t>在以下几个方面存在一些不足之处，具体如下：</w:t>
      </w:r>
    </w:p>
    <w:p>
      <w:pPr>
        <w:numPr>
          <w:ilvl w:val="0"/>
          <w:numId w:val="0"/>
        </w:numPr>
        <w:spacing w:after="0" w:line="360" w:lineRule="auto"/>
        <w:ind w:firstLine="640" w:firstLineChars="200"/>
        <w:jc w:val="both"/>
        <w:textAlignment w:val="baseline"/>
        <w:rPr>
          <w:rFonts w:hint="default"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1.绩效指标细化量化不够</w:t>
      </w:r>
    </w:p>
    <w:p>
      <w:pPr>
        <w:numPr>
          <w:ilvl w:val="0"/>
          <w:numId w:val="0"/>
        </w:numPr>
        <w:spacing w:after="0" w:line="360" w:lineRule="auto"/>
        <w:ind w:firstLine="640" w:firstLineChars="200"/>
        <w:jc w:val="both"/>
        <w:textAlignment w:val="baseline"/>
        <w:rPr>
          <w:rFonts w:hint="eastAsia"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绩效指标的设定有待于进一步细化、量化，以便于绩效评价与考核。</w:t>
      </w:r>
    </w:p>
    <w:p>
      <w:pPr>
        <w:numPr>
          <w:ilvl w:val="0"/>
          <w:numId w:val="0"/>
        </w:numPr>
        <w:spacing w:after="0" w:line="360" w:lineRule="auto"/>
        <w:ind w:firstLine="640" w:firstLineChars="200"/>
        <w:jc w:val="both"/>
        <w:textAlignment w:val="baseline"/>
        <w:rPr>
          <w:rFonts w:hint="default"/>
          <w:lang w:val="en-US" w:eastAsia="zh-CN"/>
        </w:rPr>
      </w:pPr>
      <w:r>
        <w:rPr>
          <w:rFonts w:hint="eastAsia" w:ascii="仿宋_GB2312" w:eastAsia="仿宋_GB2312" w:cs="DengXian-Regular"/>
          <w:color w:val="auto"/>
          <w:sz w:val="32"/>
          <w:szCs w:val="32"/>
          <w:highlight w:val="none"/>
          <w:lang w:val="en-US" w:eastAsia="zh-CN"/>
        </w:rPr>
        <w:t>2.在职人员控制率大于100%</w:t>
      </w:r>
    </w:p>
    <w:p>
      <w:pPr>
        <w:spacing w:after="0" w:line="360" w:lineRule="auto"/>
        <w:ind w:firstLine="640" w:firstLineChars="200"/>
        <w:jc w:val="both"/>
        <w:textAlignment w:val="baseline"/>
        <w:rPr>
          <w:rFonts w:hint="default" w:ascii="仿宋_GB2312" w:eastAsia="仿宋_GB2312" w:cs="DengXian-Regular"/>
          <w:color w:val="auto"/>
          <w:sz w:val="32"/>
          <w:szCs w:val="32"/>
          <w:highlight w:val="none"/>
          <w:lang w:val="en-US" w:eastAsia="zh-CN"/>
        </w:rPr>
      </w:pPr>
      <w:r>
        <w:rPr>
          <w:rFonts w:hint="default" w:ascii="仿宋_GB2312" w:eastAsia="仿宋_GB2312" w:cs="DengXian-Regular"/>
          <w:color w:val="auto"/>
          <w:sz w:val="32"/>
          <w:szCs w:val="32"/>
          <w:highlight w:val="none"/>
          <w:lang w:val="en-US" w:eastAsia="zh-CN"/>
        </w:rPr>
        <w:t>根据中共曲阳县委办公室及曲阳县人民政府办公室关于印发《曲阳县应急管理局职能配置、内设机构和人员编制规定》，曲阳县应急管理局机关行政编制为14人。曲阳县应急管理局2021年决算在职人员15人，在职人员控制率=（15/14）*100%=107.14%</w:t>
      </w:r>
      <w:r>
        <w:rPr>
          <w:rFonts w:hint="eastAsia" w:ascii="仿宋_GB2312" w:eastAsia="仿宋_GB2312" w:cs="DengXian-Regular"/>
          <w:color w:val="auto"/>
          <w:sz w:val="32"/>
          <w:szCs w:val="32"/>
          <w:highlight w:val="none"/>
          <w:lang w:val="en-US" w:eastAsia="zh-CN"/>
        </w:rPr>
        <w:t>。</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3</w:t>
      </w:r>
      <w:r>
        <w:rPr>
          <w:rFonts w:hint="eastAsia" w:ascii="仿宋_GB2312" w:eastAsia="仿宋_GB2312" w:cs="DengXian-Regular"/>
          <w:color w:val="auto"/>
          <w:sz w:val="32"/>
          <w:szCs w:val="32"/>
          <w:highlight w:val="none"/>
        </w:rPr>
        <w:t>.预算</w:t>
      </w:r>
      <w:r>
        <w:rPr>
          <w:rFonts w:hint="eastAsia" w:ascii="仿宋_GB2312" w:eastAsia="仿宋_GB2312" w:cs="DengXian-Regular"/>
          <w:color w:val="auto"/>
          <w:sz w:val="32"/>
          <w:szCs w:val="32"/>
          <w:highlight w:val="none"/>
          <w:lang w:eastAsia="zh-CN"/>
        </w:rPr>
        <w:t>调整</w:t>
      </w:r>
      <w:r>
        <w:rPr>
          <w:rFonts w:hint="eastAsia" w:ascii="仿宋_GB2312" w:eastAsia="仿宋_GB2312" w:cs="DengXian-Regular"/>
          <w:color w:val="auto"/>
          <w:sz w:val="32"/>
          <w:szCs w:val="32"/>
          <w:highlight w:val="none"/>
        </w:rPr>
        <w:t>较多</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w:t>
      </w:r>
      <w:r>
        <w:rPr>
          <w:rFonts w:hint="eastAsia" w:ascii="仿宋_GB2312" w:eastAsia="仿宋_GB2312" w:cs="DengXian-Regular"/>
          <w:color w:val="auto"/>
          <w:sz w:val="32"/>
          <w:szCs w:val="32"/>
          <w:highlight w:val="none"/>
          <w:lang w:val="en-US" w:eastAsia="zh-CN"/>
        </w:rPr>
        <w:t>初</w:t>
      </w:r>
      <w:r>
        <w:rPr>
          <w:rFonts w:hint="eastAsia" w:ascii="仿宋_GB2312" w:eastAsia="仿宋_GB2312" w:cs="DengXian-Regular"/>
          <w:color w:val="auto"/>
          <w:sz w:val="32"/>
          <w:szCs w:val="32"/>
          <w:highlight w:val="none"/>
        </w:rPr>
        <w:t>预算收入、支出预算数均为</w:t>
      </w:r>
      <w:r>
        <w:rPr>
          <w:rFonts w:hint="eastAsia" w:ascii="仿宋_GB2312" w:eastAsia="仿宋_GB2312" w:cs="DengXian-Regular"/>
          <w:color w:val="auto"/>
          <w:sz w:val="32"/>
          <w:szCs w:val="32"/>
          <w:highlight w:val="none"/>
          <w:lang w:val="en-US" w:eastAsia="zh-CN"/>
        </w:rPr>
        <w:t>1414.91</w:t>
      </w:r>
      <w:r>
        <w:rPr>
          <w:rFonts w:hint="eastAsia" w:ascii="仿宋_GB2312" w:eastAsia="仿宋_GB2312" w:cs="DengXian-Regular"/>
          <w:color w:val="auto"/>
          <w:sz w:val="32"/>
          <w:szCs w:val="32"/>
          <w:highlight w:val="none"/>
        </w:rPr>
        <w:t>万元，决算收入</w:t>
      </w:r>
      <w:r>
        <w:rPr>
          <w:rFonts w:hint="eastAsia" w:ascii="仿宋_GB2312" w:eastAsia="仿宋_GB2312" w:cs="DengXian-Regular"/>
          <w:color w:val="auto"/>
          <w:sz w:val="32"/>
          <w:szCs w:val="32"/>
          <w:highlight w:val="none"/>
          <w:lang w:val="en-US" w:eastAsia="zh-CN"/>
        </w:rPr>
        <w:t>1564.53</w:t>
      </w:r>
      <w:r>
        <w:rPr>
          <w:rFonts w:hint="eastAsia" w:ascii="仿宋_GB2312" w:eastAsia="仿宋_GB2312" w:cs="DengXian-Regular"/>
          <w:color w:val="auto"/>
          <w:sz w:val="32"/>
          <w:szCs w:val="32"/>
          <w:highlight w:val="none"/>
        </w:rPr>
        <w:t>万元，预算</w:t>
      </w:r>
      <w:r>
        <w:rPr>
          <w:rFonts w:hint="eastAsia" w:ascii="仿宋_GB2312" w:eastAsia="仿宋_GB2312" w:cs="DengXian-Regular"/>
          <w:color w:val="auto"/>
          <w:sz w:val="32"/>
          <w:szCs w:val="32"/>
          <w:highlight w:val="none"/>
          <w:lang w:eastAsia="zh-CN"/>
        </w:rPr>
        <w:t>调</w:t>
      </w:r>
      <w:r>
        <w:rPr>
          <w:rFonts w:hint="eastAsia" w:ascii="仿宋_GB2312" w:eastAsia="仿宋_GB2312" w:cs="DengXian-Regular"/>
          <w:color w:val="auto"/>
          <w:sz w:val="32"/>
          <w:szCs w:val="32"/>
          <w:highlight w:val="none"/>
          <w:lang w:val="en-US" w:eastAsia="zh-CN"/>
        </w:rPr>
        <w:t>整</w:t>
      </w:r>
      <w:r>
        <w:rPr>
          <w:rFonts w:hint="eastAsia" w:ascii="仿宋_GB2312" w:eastAsia="仿宋_GB2312" w:cs="DengXian-Regular"/>
          <w:color w:val="auto"/>
          <w:sz w:val="32"/>
          <w:szCs w:val="32"/>
          <w:highlight w:val="none"/>
          <w:lang w:eastAsia="zh-CN"/>
        </w:rPr>
        <w:t>增加</w:t>
      </w:r>
      <w:r>
        <w:rPr>
          <w:rFonts w:hint="eastAsia" w:ascii="仿宋_GB2312" w:eastAsia="仿宋_GB2312" w:cs="DengXian-Regular"/>
          <w:color w:val="auto"/>
          <w:sz w:val="32"/>
          <w:szCs w:val="32"/>
          <w:highlight w:val="none"/>
          <w:lang w:val="en-US" w:eastAsia="zh-CN"/>
        </w:rPr>
        <w:t>149.62</w:t>
      </w:r>
      <w:r>
        <w:rPr>
          <w:rFonts w:hint="eastAsia" w:ascii="仿宋_GB2312" w:eastAsia="仿宋_GB2312" w:cs="DengXian-Regular"/>
          <w:color w:val="auto"/>
          <w:sz w:val="32"/>
          <w:szCs w:val="32"/>
          <w:highlight w:val="none"/>
        </w:rPr>
        <w:t>万元，</w:t>
      </w:r>
      <w:r>
        <w:rPr>
          <w:rFonts w:hint="eastAsia" w:ascii="仿宋_GB2312" w:eastAsia="仿宋_GB2312" w:cs="DengXian-Regular"/>
          <w:color w:val="auto"/>
          <w:sz w:val="32"/>
          <w:szCs w:val="32"/>
          <w:highlight w:val="none"/>
          <w:lang w:eastAsia="zh-CN"/>
        </w:rPr>
        <w:t>增加</w:t>
      </w:r>
      <w:r>
        <w:rPr>
          <w:rFonts w:hint="eastAsia" w:ascii="仿宋_GB2312" w:eastAsia="仿宋_GB2312" w:cs="DengXian-Regular"/>
          <w:color w:val="auto"/>
          <w:sz w:val="32"/>
          <w:szCs w:val="32"/>
          <w:highlight w:val="none"/>
        </w:rPr>
        <w:t>比例</w:t>
      </w:r>
      <w:r>
        <w:rPr>
          <w:rFonts w:hint="eastAsia" w:ascii="仿宋_GB2312" w:eastAsia="仿宋_GB2312" w:cs="DengXian-Regular"/>
          <w:color w:val="auto"/>
          <w:sz w:val="32"/>
          <w:szCs w:val="32"/>
          <w:highlight w:val="none"/>
          <w:lang w:val="en-US" w:eastAsia="zh-CN"/>
        </w:rPr>
        <w:t>10.57%</w:t>
      </w:r>
      <w:r>
        <w:rPr>
          <w:rFonts w:hint="eastAsia" w:ascii="仿宋_GB2312" w:eastAsia="仿宋_GB2312" w:cs="DengXian-Regular"/>
          <w:color w:val="auto"/>
          <w:sz w:val="32"/>
          <w:szCs w:val="32"/>
          <w:highlight w:val="none"/>
        </w:rPr>
        <w:t>；决算支出</w:t>
      </w:r>
      <w:r>
        <w:rPr>
          <w:rFonts w:hint="eastAsia" w:ascii="仿宋_GB2312" w:eastAsia="仿宋_GB2312" w:cs="DengXian-Regular"/>
          <w:color w:val="auto"/>
          <w:sz w:val="32"/>
          <w:szCs w:val="32"/>
          <w:highlight w:val="none"/>
          <w:lang w:val="en-US" w:eastAsia="zh-CN"/>
        </w:rPr>
        <w:t>1564.52</w:t>
      </w:r>
      <w:r>
        <w:rPr>
          <w:rFonts w:hint="eastAsia" w:ascii="仿宋_GB2312" w:eastAsia="仿宋_GB2312" w:cs="DengXian-Regular"/>
          <w:color w:val="auto"/>
          <w:sz w:val="32"/>
          <w:szCs w:val="32"/>
          <w:highlight w:val="none"/>
        </w:rPr>
        <w:t>万元，预算</w:t>
      </w:r>
      <w:r>
        <w:rPr>
          <w:rFonts w:hint="eastAsia" w:ascii="仿宋_GB2312" w:eastAsia="仿宋_GB2312" w:cs="DengXian-Regular"/>
          <w:color w:val="auto"/>
          <w:sz w:val="32"/>
          <w:szCs w:val="32"/>
          <w:highlight w:val="none"/>
          <w:lang w:eastAsia="zh-CN"/>
        </w:rPr>
        <w:t>调</w:t>
      </w:r>
      <w:r>
        <w:rPr>
          <w:rFonts w:hint="eastAsia" w:ascii="仿宋_GB2312" w:eastAsia="仿宋_GB2312" w:cs="DengXian-Regular"/>
          <w:color w:val="auto"/>
          <w:sz w:val="32"/>
          <w:szCs w:val="32"/>
          <w:highlight w:val="none"/>
          <w:lang w:val="en-US" w:eastAsia="zh-CN"/>
        </w:rPr>
        <w:t>整</w:t>
      </w:r>
      <w:r>
        <w:rPr>
          <w:rFonts w:hint="eastAsia" w:ascii="仿宋_GB2312" w:eastAsia="仿宋_GB2312" w:cs="DengXian-Regular"/>
          <w:color w:val="auto"/>
          <w:sz w:val="32"/>
          <w:szCs w:val="32"/>
          <w:highlight w:val="none"/>
          <w:lang w:eastAsia="zh-CN"/>
        </w:rPr>
        <w:t>增加</w:t>
      </w:r>
      <w:r>
        <w:rPr>
          <w:rFonts w:hint="eastAsia" w:ascii="仿宋_GB2312" w:eastAsia="仿宋_GB2312" w:cs="DengXian-Regular"/>
          <w:color w:val="auto"/>
          <w:sz w:val="32"/>
          <w:szCs w:val="32"/>
          <w:highlight w:val="none"/>
          <w:lang w:val="en-US" w:eastAsia="zh-CN"/>
        </w:rPr>
        <w:t>149.61</w:t>
      </w:r>
      <w:r>
        <w:rPr>
          <w:rFonts w:hint="eastAsia" w:ascii="仿宋_GB2312" w:eastAsia="仿宋_GB2312" w:cs="DengXian-Regular"/>
          <w:color w:val="auto"/>
          <w:sz w:val="32"/>
          <w:szCs w:val="32"/>
          <w:highlight w:val="none"/>
        </w:rPr>
        <w:t>万元，</w:t>
      </w:r>
      <w:r>
        <w:rPr>
          <w:rFonts w:hint="eastAsia" w:ascii="仿宋_GB2312" w:eastAsia="仿宋_GB2312" w:cs="DengXian-Regular"/>
          <w:color w:val="auto"/>
          <w:sz w:val="32"/>
          <w:szCs w:val="32"/>
          <w:highlight w:val="none"/>
          <w:lang w:eastAsia="zh-CN"/>
        </w:rPr>
        <w:t>增加</w:t>
      </w:r>
      <w:r>
        <w:rPr>
          <w:rFonts w:hint="eastAsia" w:ascii="仿宋_GB2312" w:eastAsia="仿宋_GB2312" w:cs="DengXian-Regular"/>
          <w:color w:val="auto"/>
          <w:sz w:val="32"/>
          <w:szCs w:val="32"/>
          <w:highlight w:val="none"/>
        </w:rPr>
        <w:t>比例</w:t>
      </w:r>
      <w:r>
        <w:rPr>
          <w:rFonts w:hint="eastAsia" w:ascii="仿宋_GB2312" w:eastAsia="仿宋_GB2312" w:cs="DengXian-Regular"/>
          <w:color w:val="auto"/>
          <w:sz w:val="32"/>
          <w:szCs w:val="32"/>
          <w:highlight w:val="none"/>
          <w:lang w:val="en-US" w:eastAsia="zh-CN"/>
        </w:rPr>
        <w:t>10.57%</w:t>
      </w:r>
      <w:r>
        <w:rPr>
          <w:rFonts w:hint="eastAsia" w:ascii="仿宋_GB2312" w:eastAsia="仿宋_GB2312" w:cs="DengXian-Regular"/>
          <w:color w:val="auto"/>
          <w:sz w:val="32"/>
          <w:szCs w:val="32"/>
          <w:highlight w:val="none"/>
        </w:rPr>
        <w:t>。预算</w:t>
      </w:r>
      <w:r>
        <w:rPr>
          <w:rFonts w:hint="eastAsia" w:ascii="仿宋_GB2312" w:eastAsia="仿宋_GB2312" w:cs="DengXian-Regular"/>
          <w:color w:val="auto"/>
          <w:sz w:val="32"/>
          <w:szCs w:val="32"/>
          <w:highlight w:val="none"/>
          <w:lang w:eastAsia="zh-CN"/>
        </w:rPr>
        <w:t>调</w:t>
      </w:r>
      <w:r>
        <w:rPr>
          <w:rFonts w:hint="eastAsia" w:ascii="仿宋_GB2312" w:eastAsia="仿宋_GB2312" w:cs="DengXian-Regular"/>
          <w:color w:val="auto"/>
          <w:sz w:val="32"/>
          <w:szCs w:val="32"/>
          <w:highlight w:val="none"/>
          <w:lang w:val="en-US" w:eastAsia="zh-CN"/>
        </w:rPr>
        <w:t>整</w:t>
      </w:r>
      <w:r>
        <w:rPr>
          <w:rFonts w:hint="eastAsia" w:ascii="仿宋_GB2312" w:eastAsia="仿宋_GB2312" w:cs="DengXian-Regular"/>
          <w:color w:val="auto"/>
          <w:sz w:val="32"/>
          <w:szCs w:val="32"/>
          <w:highlight w:val="none"/>
          <w:lang w:eastAsia="zh-CN"/>
        </w:rPr>
        <w:t>增加</w:t>
      </w:r>
      <w:r>
        <w:rPr>
          <w:rFonts w:hint="eastAsia" w:ascii="仿宋_GB2312" w:eastAsia="仿宋_GB2312" w:cs="DengXian-Regular"/>
          <w:color w:val="auto"/>
          <w:sz w:val="32"/>
          <w:szCs w:val="32"/>
          <w:highlight w:val="none"/>
        </w:rPr>
        <w:t>的主要原因</w:t>
      </w:r>
      <w:r>
        <w:rPr>
          <w:rFonts w:hint="eastAsia" w:ascii="仿宋_GB2312" w:eastAsia="仿宋_GB2312" w:cs="DengXian-Regular"/>
          <w:color w:val="auto"/>
          <w:sz w:val="32"/>
          <w:szCs w:val="32"/>
          <w:highlight w:val="none"/>
          <w:lang w:eastAsia="zh-CN"/>
        </w:rPr>
        <w:t>：</w:t>
      </w:r>
      <w:r>
        <w:rPr>
          <w:rFonts w:hint="eastAsia" w:ascii="仿宋" w:hAnsi="仿宋" w:eastAsia="仿宋" w:cs="仿宋"/>
          <w:sz w:val="32"/>
          <w:szCs w:val="32"/>
          <w:lang w:val="en-US" w:eastAsia="zh-CN"/>
        </w:rPr>
        <w:t>一是人员增加，二是年中项目增加。</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lang w:eastAsia="zh-CN"/>
        </w:rPr>
      </w:pPr>
      <w:r>
        <w:rPr>
          <w:rFonts w:hint="eastAsia" w:ascii="仿宋_GB2312" w:eastAsia="仿宋_GB2312" w:cs="DengXian-Regular"/>
          <w:color w:val="auto"/>
          <w:sz w:val="32"/>
          <w:szCs w:val="32"/>
          <w:highlight w:val="none"/>
          <w:lang w:val="en-US" w:eastAsia="zh-CN"/>
        </w:rPr>
        <w:t>4</w:t>
      </w:r>
      <w:r>
        <w:rPr>
          <w:rFonts w:hint="eastAsia" w:ascii="仿宋_GB2312" w:eastAsia="仿宋_GB2312" w:cs="DengXian-Regular"/>
          <w:color w:val="auto"/>
          <w:sz w:val="32"/>
          <w:szCs w:val="32"/>
          <w:highlight w:val="none"/>
          <w:lang w:eastAsia="zh-CN"/>
        </w:rPr>
        <w:t>.未按预算编制执行政府采购</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eastAsia="zh-CN"/>
        </w:rPr>
        <w:t>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lang w:eastAsia="zh-CN"/>
        </w:rPr>
        <w:t>年，曲阳县应急管理局政府采购预算</w:t>
      </w:r>
      <w:r>
        <w:rPr>
          <w:rFonts w:hint="eastAsia" w:ascii="仿宋_GB2312" w:eastAsia="仿宋_GB2312" w:cs="DengXian-Regular"/>
          <w:color w:val="auto"/>
          <w:sz w:val="32"/>
          <w:szCs w:val="32"/>
          <w:highlight w:val="none"/>
          <w:lang w:val="en-US" w:eastAsia="zh-CN"/>
        </w:rPr>
        <w:t>6.38万元，</w:t>
      </w:r>
      <w:r>
        <w:rPr>
          <w:rFonts w:hint="eastAsia" w:ascii="仿宋_GB2312" w:eastAsia="仿宋_GB2312" w:cs="DengXian-Regular"/>
          <w:color w:val="auto"/>
          <w:sz w:val="32"/>
          <w:szCs w:val="32"/>
          <w:highlight w:val="none"/>
          <w:lang w:eastAsia="zh-CN"/>
        </w:rPr>
        <w:t>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lang w:eastAsia="zh-CN"/>
        </w:rPr>
        <w:t>年度政府实际采购支出合计</w:t>
      </w:r>
      <w:r>
        <w:rPr>
          <w:rFonts w:hint="eastAsia" w:ascii="仿宋_GB2312" w:eastAsia="仿宋_GB2312" w:cs="DengXian-Regular"/>
          <w:color w:val="auto"/>
          <w:sz w:val="32"/>
          <w:szCs w:val="32"/>
          <w:highlight w:val="none"/>
          <w:lang w:val="en-US" w:eastAsia="zh-CN"/>
        </w:rPr>
        <w:t>85</w:t>
      </w:r>
      <w:r>
        <w:rPr>
          <w:rFonts w:hint="eastAsia" w:ascii="仿宋_GB2312" w:eastAsia="仿宋_GB2312" w:cs="DengXian-Regular"/>
          <w:color w:val="auto"/>
          <w:sz w:val="32"/>
          <w:szCs w:val="32"/>
          <w:highlight w:val="none"/>
          <w:lang w:eastAsia="zh-CN"/>
        </w:rPr>
        <w:t>万元，从采购类型来看，政府采购服务支出</w:t>
      </w:r>
      <w:r>
        <w:rPr>
          <w:rFonts w:hint="eastAsia" w:ascii="仿宋_GB2312" w:eastAsia="仿宋_GB2312" w:cs="DengXian-Regular"/>
          <w:color w:val="auto"/>
          <w:sz w:val="32"/>
          <w:szCs w:val="32"/>
          <w:highlight w:val="none"/>
          <w:lang w:val="en-US" w:eastAsia="zh-CN"/>
        </w:rPr>
        <w:t>85</w:t>
      </w:r>
      <w:r>
        <w:rPr>
          <w:rFonts w:hint="eastAsia" w:ascii="仿宋_GB2312" w:eastAsia="仿宋_GB2312" w:cs="DengXian-Regular"/>
          <w:color w:val="auto"/>
          <w:sz w:val="32"/>
          <w:szCs w:val="32"/>
          <w:highlight w:val="none"/>
          <w:lang w:eastAsia="zh-CN"/>
        </w:rPr>
        <w:t>万元，</w:t>
      </w:r>
      <w:r>
        <w:rPr>
          <w:rFonts w:hint="eastAsia" w:ascii="仿宋_GB2312" w:eastAsia="仿宋_GB2312" w:cs="DengXian-Regular"/>
          <w:color w:val="auto"/>
          <w:sz w:val="32"/>
          <w:szCs w:val="32"/>
          <w:highlight w:val="none"/>
        </w:rPr>
        <w:t>本年未按相关规定及预算编制执行政府采购。</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针对此次绩效评价过程中发现的问题，我们建议：</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1.增强绩效指标设置的明确性</w:t>
      </w:r>
    </w:p>
    <w:p>
      <w:pPr>
        <w:spacing w:after="0" w:line="360" w:lineRule="auto"/>
        <w:ind w:firstLine="640" w:firstLineChars="200"/>
        <w:jc w:val="both"/>
        <w:textAlignment w:val="baseline"/>
        <w:rPr>
          <w:rFonts w:hint="default"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将绩效指标进一步细化、量化，以便于绩效考核。</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2.在职人员数量控制在编制人数范围内</w:t>
      </w:r>
    </w:p>
    <w:p>
      <w:pPr>
        <w:spacing w:after="0" w:line="360" w:lineRule="auto"/>
        <w:ind w:firstLine="640" w:firstLineChars="200"/>
        <w:jc w:val="both"/>
        <w:textAlignment w:val="baseline"/>
        <w:rPr>
          <w:rFonts w:hint="default"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建议按照中共曲阳县委办公室及曲阳县人民政府办公室关于印发《曲阳县应急管理局职能配置、内设机构和人员编制规定》的要求，控制在职人员数量。</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3</w:t>
      </w:r>
      <w:r>
        <w:rPr>
          <w:rFonts w:hint="eastAsia" w:ascii="仿宋_GB2312" w:eastAsia="仿宋_GB2312" w:cs="DengXian-Regular"/>
          <w:color w:val="auto"/>
          <w:sz w:val="32"/>
          <w:szCs w:val="32"/>
          <w:highlight w:val="none"/>
        </w:rPr>
        <w:t>.提高预算编制质量</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部门预算编制工作要全面反映和体现部门职责，根据具体情况及时调整预算的编制，缩小预算与决算差额，减少中期预算</w:t>
      </w:r>
      <w:r>
        <w:rPr>
          <w:rFonts w:hint="eastAsia" w:ascii="仿宋_GB2312" w:eastAsia="仿宋_GB2312" w:cs="DengXian-Regular"/>
          <w:color w:val="auto"/>
          <w:sz w:val="32"/>
          <w:szCs w:val="32"/>
          <w:highlight w:val="none"/>
          <w:lang w:eastAsia="zh-CN"/>
        </w:rPr>
        <w:t>调整</w:t>
      </w:r>
      <w:r>
        <w:rPr>
          <w:rFonts w:hint="eastAsia" w:ascii="仿宋_GB2312" w:eastAsia="仿宋_GB2312" w:cs="DengXian-Regular"/>
          <w:color w:val="auto"/>
          <w:sz w:val="32"/>
          <w:szCs w:val="32"/>
          <w:highlight w:val="none"/>
        </w:rPr>
        <w:t>，提高预算编制质量，发挥预算约束作用。</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4</w:t>
      </w:r>
      <w:r>
        <w:rPr>
          <w:rFonts w:hint="eastAsia" w:ascii="仿宋_GB2312" w:eastAsia="仿宋_GB2312" w:cs="DengXian-Regular"/>
          <w:color w:val="auto"/>
          <w:sz w:val="32"/>
          <w:szCs w:val="32"/>
          <w:highlight w:val="none"/>
        </w:rPr>
        <w:t>.强化政府采购执行</w:t>
      </w:r>
    </w:p>
    <w:p>
      <w:pPr>
        <w:spacing w:after="0" w:line="360" w:lineRule="auto"/>
        <w:ind w:firstLine="640" w:firstLineChars="200"/>
        <w:jc w:val="both"/>
        <w:textAlignment w:val="baseline"/>
        <w:rPr>
          <w:rFonts w:asciiTheme="minorEastAsia" w:hAnsiTheme="minorEastAsia" w:eastAsiaTheme="minorEastAsia" w:cstheme="minorEastAsia"/>
          <w:color w:val="auto"/>
          <w:sz w:val="32"/>
          <w:szCs w:val="32"/>
        </w:rPr>
      </w:pPr>
      <w:r>
        <w:rPr>
          <w:rFonts w:hint="eastAsia" w:ascii="仿宋_GB2312" w:eastAsia="仿宋_GB2312" w:cs="DengXian-Regular"/>
          <w:color w:val="auto"/>
          <w:sz w:val="32"/>
          <w:szCs w:val="32"/>
          <w:highlight w:val="none"/>
        </w:rPr>
        <w:t>建议严格按照《中华人民共和国政府采购法》及《河北省政府集中采购目录</w:t>
      </w:r>
      <w:r>
        <w:rPr>
          <w:rFonts w:hint="eastAsia" w:ascii="仿宋_GB2312" w:eastAsia="仿宋_GB2312" w:cs="DengXian-Regular"/>
          <w:color w:val="auto"/>
          <w:sz w:val="32"/>
          <w:szCs w:val="32"/>
          <w:highlight w:val="none"/>
          <w:lang w:val="en-US" w:eastAsia="zh-CN"/>
        </w:rPr>
        <w:t>及</w:t>
      </w:r>
      <w:r>
        <w:rPr>
          <w:rFonts w:hint="eastAsia" w:ascii="仿宋_GB2312" w:eastAsia="仿宋_GB2312" w:cs="DengXian-Regular"/>
          <w:color w:val="auto"/>
          <w:sz w:val="32"/>
          <w:szCs w:val="32"/>
          <w:highlight w:val="none"/>
        </w:rPr>
        <w:t>标准》的相关规定，执行政府采购，加快预算执行进度，提高政府采购效率。</w:t>
      </w:r>
      <w:bookmarkStart w:id="1" w:name="_Toc4346"/>
      <w:r>
        <w:rPr>
          <w:rFonts w:hint="eastAsia" w:asciiTheme="minorEastAsia" w:hAnsiTheme="minorEastAsia" w:eastAsiaTheme="minorEastAsia" w:cstheme="minorEastAsia"/>
          <w:color w:val="auto"/>
          <w:sz w:val="32"/>
          <w:szCs w:val="32"/>
        </w:rPr>
        <w:br w:type="page"/>
      </w:r>
    </w:p>
    <w:p>
      <w:pPr>
        <w:pStyle w:val="4"/>
        <w:spacing w:line="540" w:lineRule="exact"/>
        <w:jc w:val="center"/>
        <w:rPr>
          <w:rFonts w:ascii="黑体" w:hAnsi="黑体"/>
          <w:b w:val="0"/>
          <w:color w:val="auto"/>
        </w:rPr>
      </w:pPr>
      <w:r>
        <w:rPr>
          <w:rFonts w:hint="eastAsia" w:ascii="黑体" w:hAnsi="黑体"/>
          <w:b w:val="0"/>
          <w:color w:val="auto"/>
        </w:rPr>
        <w:t>第二部分   绩效评价报告</w:t>
      </w:r>
      <w:bookmarkEnd w:id="1"/>
    </w:p>
    <w:p>
      <w:pPr>
        <w:pStyle w:val="4"/>
        <w:spacing w:before="0" w:after="0" w:line="360" w:lineRule="auto"/>
        <w:ind w:firstLine="643" w:firstLineChars="200"/>
        <w:rPr>
          <w:rFonts w:ascii="楷体" w:hAnsi="楷体" w:eastAsia="楷体" w:cs="楷体"/>
          <w:color w:val="auto"/>
        </w:rPr>
      </w:pPr>
      <w:bookmarkStart w:id="2" w:name="_Toc427"/>
      <w:bookmarkStart w:id="3" w:name="_Toc492652763"/>
      <w:r>
        <w:rPr>
          <w:rFonts w:hint="eastAsia" w:ascii="楷体" w:hAnsi="楷体" w:eastAsia="楷体" w:cs="楷体"/>
          <w:color w:val="auto"/>
        </w:rPr>
        <w:t>一、</w:t>
      </w:r>
      <w:r>
        <w:rPr>
          <w:rFonts w:hint="eastAsia" w:ascii="楷体" w:hAnsi="楷体" w:eastAsia="楷体" w:cs="楷体"/>
          <w:color w:val="auto"/>
          <w:lang w:eastAsia="zh-CN"/>
        </w:rPr>
        <w:t>曲阳县应急管理局</w:t>
      </w:r>
      <w:r>
        <w:rPr>
          <w:rFonts w:hint="eastAsia" w:ascii="楷体" w:hAnsi="楷体" w:eastAsia="楷体" w:cs="楷体"/>
          <w:color w:val="auto"/>
        </w:rPr>
        <w:t>基本情况</w:t>
      </w:r>
      <w:bookmarkEnd w:id="2"/>
      <w:bookmarkEnd w:id="3"/>
      <w:bookmarkStart w:id="4" w:name="_Toc492652764"/>
    </w:p>
    <w:p>
      <w:pPr>
        <w:pStyle w:val="5"/>
        <w:spacing w:before="0" w:after="0"/>
        <w:ind w:firstLine="643" w:firstLineChars="200"/>
        <w:jc w:val="both"/>
        <w:rPr>
          <w:rFonts w:ascii="仿宋_GB2312" w:hAnsi="Tahoma" w:cs="DengXian-Regular"/>
          <w:color w:val="auto"/>
          <w:sz w:val="32"/>
        </w:rPr>
      </w:pPr>
      <w:bookmarkStart w:id="5" w:name="_Toc11473"/>
      <w:r>
        <w:rPr>
          <w:rFonts w:hint="eastAsia" w:ascii="仿宋_GB2312" w:hAnsi="Tahoma" w:cs="DengXian-Regular"/>
          <w:color w:val="auto"/>
          <w:sz w:val="32"/>
        </w:rPr>
        <w:t>（一）部门职责和工作活动</w:t>
      </w:r>
      <w:bookmarkEnd w:id="4"/>
      <w:bookmarkEnd w:id="5"/>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lang w:eastAsia="zh-CN"/>
        </w:rPr>
      </w:pPr>
      <w:r>
        <w:rPr>
          <w:rFonts w:hint="eastAsia" w:ascii="仿宋_GB2312" w:eastAsia="仿宋_GB2312" w:cs="DengXian-Regular"/>
          <w:color w:val="auto"/>
          <w:sz w:val="32"/>
          <w:szCs w:val="32"/>
          <w:highlight w:val="none"/>
        </w:rPr>
        <w:t>根据中共</w:t>
      </w:r>
      <w:r>
        <w:rPr>
          <w:rFonts w:hint="eastAsia" w:ascii="仿宋_GB2312" w:eastAsia="仿宋_GB2312" w:cs="DengXian-Regular"/>
          <w:color w:val="auto"/>
          <w:sz w:val="32"/>
          <w:szCs w:val="32"/>
          <w:highlight w:val="none"/>
          <w:lang w:val="en-US" w:eastAsia="zh-CN"/>
        </w:rPr>
        <w:t>曲阳县委办公室、曲阳县人民政府办公室</w:t>
      </w:r>
      <w:r>
        <w:rPr>
          <w:rFonts w:hint="eastAsia" w:ascii="仿宋_GB2312" w:eastAsia="仿宋_GB2312" w:cs="DengXian-Regular"/>
          <w:color w:val="auto"/>
          <w:sz w:val="32"/>
          <w:szCs w:val="32"/>
          <w:highlight w:val="none"/>
        </w:rPr>
        <w:t>关于印发《</w:t>
      </w: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rPr>
        <w:t>职能配置</w:t>
      </w:r>
      <w:r>
        <w:rPr>
          <w:rFonts w:hint="eastAsia" w:ascii="仿宋_GB2312" w:eastAsia="仿宋_GB2312" w:cs="DengXian-Regular"/>
          <w:color w:val="auto"/>
          <w:sz w:val="32"/>
          <w:szCs w:val="32"/>
          <w:highlight w:val="none"/>
          <w:lang w:eastAsia="zh-CN"/>
        </w:rPr>
        <w:t>、</w:t>
      </w:r>
      <w:r>
        <w:rPr>
          <w:rFonts w:hint="eastAsia" w:ascii="仿宋_GB2312" w:eastAsia="仿宋_GB2312" w:cs="DengXian-Regular"/>
          <w:color w:val="auto"/>
          <w:sz w:val="32"/>
          <w:szCs w:val="32"/>
          <w:highlight w:val="none"/>
        </w:rPr>
        <w:t>内设机构和人员编制规定》的通知，</w:t>
      </w: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lang w:val="en-US" w:eastAsia="zh-CN"/>
        </w:rPr>
        <w:t>是县政府组成</w:t>
      </w:r>
      <w:r>
        <w:rPr>
          <w:rFonts w:hint="eastAsia" w:ascii="仿宋_GB2312" w:eastAsia="仿宋_GB2312" w:cs="DengXian-Regular"/>
          <w:color w:val="auto"/>
          <w:sz w:val="32"/>
          <w:szCs w:val="32"/>
          <w:highlight w:val="none"/>
        </w:rPr>
        <w:t>部门，正科级单位，下设</w:t>
      </w:r>
      <w:r>
        <w:rPr>
          <w:rFonts w:hint="eastAsia" w:ascii="仿宋_GB2312" w:eastAsia="仿宋_GB2312" w:cs="DengXian-Regular"/>
          <w:color w:val="auto"/>
          <w:sz w:val="32"/>
          <w:szCs w:val="32"/>
          <w:highlight w:val="none"/>
          <w:lang w:val="en-US" w:eastAsia="zh-CN"/>
        </w:rPr>
        <w:t>5</w:t>
      </w:r>
      <w:r>
        <w:rPr>
          <w:rFonts w:hint="eastAsia" w:ascii="仿宋_GB2312" w:eastAsia="仿宋_GB2312" w:cs="DengXian-Regular"/>
          <w:color w:val="auto"/>
          <w:sz w:val="32"/>
          <w:szCs w:val="32"/>
          <w:highlight w:val="none"/>
        </w:rPr>
        <w:t>个股室。</w:t>
      </w: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rPr>
        <w:t>根据绩效预算管理改革的相关要求，按照“部门职责—工作活动绩效目标”的层级设立了绩效预算架构，</w:t>
      </w:r>
      <w:r>
        <w:rPr>
          <w:rFonts w:hint="eastAsia" w:ascii="仿宋_GB2312" w:eastAsia="仿宋_GB2312" w:cs="DengXian-Regular"/>
          <w:color w:val="auto"/>
          <w:sz w:val="32"/>
          <w:szCs w:val="32"/>
          <w:highlight w:val="none"/>
          <w:lang w:val="en-US" w:eastAsia="zh-CN"/>
        </w:rPr>
        <w:t>其</w:t>
      </w:r>
      <w:r>
        <w:rPr>
          <w:rFonts w:hint="eastAsia" w:ascii="仿宋_GB2312" w:eastAsia="仿宋_GB2312" w:cs="DengXian-Regular"/>
          <w:color w:val="auto"/>
          <w:sz w:val="32"/>
          <w:szCs w:val="32"/>
          <w:highlight w:val="none"/>
        </w:rPr>
        <w:t>职责活动包括</w:t>
      </w:r>
      <w:r>
        <w:rPr>
          <w:rFonts w:hint="eastAsia" w:ascii="仿宋_GB2312" w:eastAsia="仿宋_GB2312" w:cs="DengXian-Regular"/>
          <w:color w:val="auto"/>
          <w:sz w:val="32"/>
          <w:szCs w:val="32"/>
          <w:highlight w:val="none"/>
          <w:lang w:eastAsia="zh-CN"/>
        </w:rPr>
        <w:t>：</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负责应急管理工作，指导各乡镇各部门应对安全生产类、自然灾害类等突发事件和综合防灾减灾救灾工作。负责安全生产综合监督管理和工矿商贸行业安全生产监督管理工作。</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2、</w:t>
      </w:r>
      <w:r>
        <w:rPr>
          <w:rFonts w:hint="eastAsia" w:ascii="仿宋_GB2312" w:eastAsia="仿宋_GB2312" w:cs="DengXian-Regular"/>
          <w:color w:val="auto"/>
          <w:sz w:val="32"/>
          <w:szCs w:val="32"/>
          <w:highlight w:val="none"/>
        </w:rPr>
        <w:t>拟订应急管理、安全生产等政策规定，组织编制县应急体系建设、安全生产和综合防灾减灾规划，起草地方性法规和政府规章草案，组织制定相关规程和标准并监督实施。</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3、</w:t>
      </w:r>
      <w:r>
        <w:rPr>
          <w:rFonts w:hint="eastAsia" w:ascii="仿宋_GB2312" w:eastAsia="仿宋_GB2312" w:cs="DengXian-Regular"/>
          <w:color w:val="auto"/>
          <w:sz w:val="32"/>
          <w:szCs w:val="32"/>
          <w:highlight w:val="none"/>
        </w:rPr>
        <w:t>指导应急预案体系建设，建立完善事故灾难和自然灾害分级应对制度，组织编制县总体应急预案和安全生产类、自然灾害类专项预案，综合协调应急预案衔接工作，组织开展预案演练，推动应急避难设施建设。</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4、</w:t>
      </w:r>
      <w:r>
        <w:rPr>
          <w:rFonts w:hint="eastAsia" w:ascii="仿宋_GB2312" w:eastAsia="仿宋_GB2312" w:cs="DengXian-Regular"/>
          <w:color w:val="auto"/>
          <w:sz w:val="32"/>
          <w:szCs w:val="32"/>
          <w:highlight w:val="none"/>
        </w:rPr>
        <w:t>牵头建立统一的全县应急管理信息系统，负责信息传输渠道的规划和布局，建立监测预警和灾情报告制度，健全自然灾害信息资源获取和共享机制，依法统一发布灾情。</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5、</w:t>
      </w:r>
      <w:r>
        <w:rPr>
          <w:rFonts w:hint="eastAsia" w:ascii="仿宋_GB2312" w:eastAsia="仿宋_GB2312" w:cs="DengXian-Regular"/>
          <w:color w:val="auto"/>
          <w:sz w:val="32"/>
          <w:szCs w:val="32"/>
          <w:highlight w:val="none"/>
        </w:rPr>
        <w:t>组织指导协调安全生产类、自然灾害类等突发事件应急救援，承担县应对重大灾害指挥部工作，综合研判突发事件发展态势并提出应对建议，协助县委、县政府指定的负责同志组织重大灾害应急处置工作。</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6、</w:t>
      </w:r>
      <w:r>
        <w:rPr>
          <w:rFonts w:hint="eastAsia" w:ascii="仿宋_GB2312" w:eastAsia="仿宋_GB2312" w:cs="DengXian-Regular"/>
          <w:color w:val="auto"/>
          <w:sz w:val="32"/>
          <w:szCs w:val="32"/>
          <w:highlight w:val="none"/>
        </w:rPr>
        <w:t>统一协调指挥各类应急专业队伍，建立应急协调联动机制，推进指挥平台对接，衔接解放军和武警部队参与应急救援工作。</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7、</w:t>
      </w:r>
      <w:r>
        <w:rPr>
          <w:rFonts w:hint="eastAsia" w:ascii="仿宋_GB2312" w:eastAsia="仿宋_GB2312" w:cs="DengXian-Regular"/>
          <w:color w:val="auto"/>
          <w:sz w:val="32"/>
          <w:szCs w:val="32"/>
          <w:highlight w:val="none"/>
        </w:rPr>
        <w:t>统筹应急救援力量建设，负责消防、森林和草原火灾扑救、抗洪抢险、地震和地质灾害救援、生产安全事故救援等专业应急救援力量建设，管理县综合性应急救援队伍，指导各部门、各乡镇及社会应急救援力量建设。</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8、</w:t>
      </w:r>
      <w:r>
        <w:rPr>
          <w:rFonts w:hint="eastAsia" w:ascii="仿宋_GB2312" w:eastAsia="仿宋_GB2312" w:cs="DengXian-Regular"/>
          <w:color w:val="auto"/>
          <w:sz w:val="32"/>
          <w:szCs w:val="32"/>
          <w:highlight w:val="none"/>
        </w:rPr>
        <w:t>组织协调消防工作，指导各乡镇各部门消防监督、火灾预防、火灾扑救等工作。</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9、</w:t>
      </w:r>
      <w:r>
        <w:rPr>
          <w:rFonts w:hint="eastAsia" w:ascii="仿宋_GB2312" w:eastAsia="仿宋_GB2312" w:cs="DengXian-Regular"/>
          <w:color w:val="auto"/>
          <w:sz w:val="32"/>
          <w:szCs w:val="32"/>
          <w:highlight w:val="none"/>
        </w:rPr>
        <w:t>指导协调森林和草原火灾、水旱灾害、地震和地质灾害等防治工作，负责自然灾害综合监测预警工作，指导开展自然灾害综合风险评估工作。</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10、</w:t>
      </w:r>
      <w:r>
        <w:rPr>
          <w:rFonts w:hint="eastAsia" w:ascii="仿宋_GB2312" w:eastAsia="仿宋_GB2312" w:cs="DengXian-Regular"/>
          <w:color w:val="auto"/>
          <w:sz w:val="32"/>
          <w:szCs w:val="32"/>
          <w:highlight w:val="none"/>
        </w:rPr>
        <w:t>组织协调灾害救助工作，组织指导灾情核查、损失评估、救灾捐赠工作，管理、分配县救灾款物并监督使用。</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11、</w:t>
      </w:r>
      <w:r>
        <w:rPr>
          <w:rFonts w:hint="eastAsia" w:ascii="仿宋_GB2312" w:eastAsia="仿宋_GB2312" w:cs="DengXian-Regular"/>
          <w:color w:val="auto"/>
          <w:sz w:val="32"/>
          <w:szCs w:val="32"/>
          <w:highlight w:val="none"/>
        </w:rPr>
        <w:t>依法行使县安全生产综合监督管理职权，指导协调、监督检查县有关部门和各乡镇政府安全生产工作，组织开展安全生产巡查、考核工作。</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12、</w:t>
      </w:r>
      <w:r>
        <w:rPr>
          <w:rFonts w:hint="eastAsia" w:ascii="仿宋_GB2312" w:eastAsia="仿宋_GB2312" w:cs="DengXian-Regular"/>
          <w:color w:val="auto"/>
          <w:sz w:val="32"/>
          <w:szCs w:val="32"/>
          <w:highlight w:val="none"/>
        </w:rPr>
        <w:t>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安全生产监督管理工作。</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13、</w:t>
      </w:r>
      <w:r>
        <w:rPr>
          <w:rFonts w:hint="eastAsia" w:ascii="仿宋_GB2312" w:eastAsia="仿宋_GB2312" w:cs="DengXian-Regular"/>
          <w:color w:val="auto"/>
          <w:sz w:val="32"/>
          <w:szCs w:val="32"/>
          <w:highlight w:val="none"/>
        </w:rPr>
        <w:t>依法组织指导安全生产事故调查处理，监督事故查处和责任追究落实情况。组织开展自然灾害类突发事件的调查评估工作。</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14、</w:t>
      </w:r>
      <w:r>
        <w:rPr>
          <w:rFonts w:hint="eastAsia" w:ascii="仿宋_GB2312" w:eastAsia="仿宋_GB2312" w:cs="DengXian-Regular"/>
          <w:color w:val="auto"/>
          <w:sz w:val="32"/>
          <w:szCs w:val="32"/>
          <w:highlight w:val="none"/>
        </w:rPr>
        <w:t>制定应急物资储备和应急救援装备规划并组织实施，会同县发展和改革局（县粮食和物资储备局）等部门建立健全应急物资信息平台和调拨制度，在救灾时统一调度。</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15、</w:t>
      </w:r>
      <w:r>
        <w:rPr>
          <w:rFonts w:hint="eastAsia" w:ascii="仿宋_GB2312" w:eastAsia="仿宋_GB2312" w:cs="DengXian-Regular"/>
          <w:color w:val="auto"/>
          <w:sz w:val="32"/>
          <w:szCs w:val="32"/>
          <w:highlight w:val="none"/>
        </w:rPr>
        <w:t>负责应急管理、安全生产宣传教育和培训工作，组织指导应急管理、安全生产的科学技术研究、推广应用和信息化建设工作。</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16、</w:t>
      </w:r>
      <w:r>
        <w:rPr>
          <w:rFonts w:hint="eastAsia" w:ascii="仿宋_GB2312" w:eastAsia="仿宋_GB2312" w:cs="DengXian-Regular"/>
          <w:color w:val="auto"/>
          <w:sz w:val="32"/>
          <w:szCs w:val="32"/>
          <w:highlight w:val="none"/>
        </w:rPr>
        <w:t>负责组织指导协调和监督全县安全生产行政执法检查工作，组织开展对安全生产重点企业的执法检查。</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17、</w:t>
      </w:r>
      <w:r>
        <w:rPr>
          <w:rFonts w:hint="eastAsia" w:ascii="仿宋_GB2312" w:eastAsia="仿宋_GB2312" w:cs="DengXian-Regular"/>
          <w:color w:val="auto"/>
          <w:sz w:val="32"/>
          <w:szCs w:val="32"/>
          <w:highlight w:val="none"/>
        </w:rPr>
        <w:t>负责地震监测、震灾防御和震灾救援指挥工作。</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18、</w:t>
      </w:r>
      <w:r>
        <w:rPr>
          <w:rFonts w:hint="eastAsia" w:ascii="仿宋_GB2312" w:eastAsia="仿宋_GB2312" w:cs="DengXian-Regular"/>
          <w:color w:val="auto"/>
          <w:sz w:val="32"/>
          <w:szCs w:val="32"/>
          <w:highlight w:val="none"/>
        </w:rPr>
        <w:t>完成县委、县政府交办的其他任务。</w:t>
      </w:r>
      <w:bookmarkStart w:id="6" w:name="_Toc465149499"/>
      <w:bookmarkStart w:id="7" w:name="_Toc492652765"/>
    </w:p>
    <w:p>
      <w:pPr>
        <w:pStyle w:val="5"/>
        <w:spacing w:before="0" w:after="0"/>
        <w:ind w:firstLine="643" w:firstLineChars="200"/>
        <w:jc w:val="both"/>
        <w:rPr>
          <w:rFonts w:ascii="仿宋_GB2312" w:hAnsi="Tahoma" w:cs="DengXian-Regular"/>
          <w:color w:val="auto"/>
          <w:sz w:val="32"/>
        </w:rPr>
      </w:pPr>
      <w:bookmarkStart w:id="8" w:name="_Toc7075"/>
      <w:r>
        <w:rPr>
          <w:rFonts w:hint="eastAsia" w:ascii="仿宋_GB2312" w:hAnsi="Tahoma" w:cs="DengXian-Regular"/>
          <w:color w:val="auto"/>
          <w:sz w:val="32"/>
        </w:rPr>
        <w:t>（二）</w:t>
      </w:r>
      <w:bookmarkEnd w:id="6"/>
      <w:r>
        <w:rPr>
          <w:rFonts w:hint="eastAsia" w:ascii="仿宋_GB2312" w:hAnsi="Tahoma" w:cs="DengXian-Regular"/>
          <w:color w:val="auto"/>
          <w:sz w:val="32"/>
        </w:rPr>
        <w:t>部门年度发展规划总体目标和职责分类绩效目标</w:t>
      </w:r>
      <w:bookmarkEnd w:id="7"/>
      <w:bookmarkEnd w:id="8"/>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按照</w:t>
      </w:r>
      <w:r>
        <w:rPr>
          <w:rFonts w:hint="eastAsia" w:ascii="仿宋_GB2312" w:eastAsia="仿宋_GB2312" w:cs="DengXian-Regular"/>
          <w:color w:val="auto"/>
          <w:sz w:val="32"/>
          <w:szCs w:val="32"/>
          <w:lang w:eastAsia="zh-CN"/>
        </w:rPr>
        <w:t>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年绩效预算编制要求，</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设置的年度发展规划总体目标为：</w:t>
      </w:r>
    </w:p>
    <w:p>
      <w:pPr>
        <w:spacing w:after="0" w:line="360" w:lineRule="auto"/>
        <w:ind w:firstLine="640" w:firstLineChars="200"/>
        <w:jc w:val="both"/>
        <w:textAlignment w:val="baseline"/>
        <w:rPr>
          <w:rFonts w:hint="eastAsia" w:ascii="仿宋_GB2312" w:eastAsia="仿宋_GB2312" w:cs="DengXian-Regular"/>
          <w:color w:val="auto"/>
          <w:sz w:val="32"/>
          <w:szCs w:val="32"/>
        </w:rPr>
      </w:pPr>
      <w:r>
        <w:rPr>
          <w:rFonts w:hint="eastAsia" w:ascii="仿宋_GB2312" w:eastAsia="仿宋_GB2312" w:cs="DengXian-Regular"/>
          <w:color w:val="auto"/>
          <w:sz w:val="32"/>
          <w:szCs w:val="32"/>
        </w:rPr>
        <w:t>基本形成较为完善的县、乡和村三级应急管理体系、安全生产监管体系、信息管理体系、重大危险源监测预警体系、宣传培训教育体系和应急救援体系;道路交通、建筑、矿山和危险化学品等行业和领域的安全生产状况明显改善;杜绝特大事故，有效遏制重大事故，尤其是进一步推动应急管理事业改革发展等现实问题，提出了想法和意见。应急管理部系统广大党员纷纷表示，通过集中学习，进一步打牢了忠诚于党、看齐追随的思想根基，进一步增强了知重负重、干事创业的责任担当，进一步提高了保民平安、为民造福的党性觉悟,全县应急管理体系状况进一步好转。</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职责分类绩效目标为：</w:t>
      </w:r>
      <w:bookmarkStart w:id="9" w:name="_Toc1678"/>
      <w:bookmarkStart w:id="10" w:name="_Toc465149500"/>
      <w:bookmarkStart w:id="11" w:name="_Toc492652766"/>
    </w:p>
    <w:p>
      <w:pPr>
        <w:spacing w:after="0" w:line="360" w:lineRule="auto"/>
        <w:ind w:firstLine="640" w:firstLineChars="200"/>
        <w:jc w:val="both"/>
        <w:textAlignment w:val="baseline"/>
        <w:rPr>
          <w:rFonts w:hint="eastAsia" w:ascii="仿宋_GB2312" w:hAnsi="Tahoma" w:eastAsia="仿宋_GB2312" w:cs="DengXian-Regular"/>
          <w:b w:val="0"/>
          <w:bCs w:val="0"/>
          <w:color w:val="auto"/>
          <w:sz w:val="32"/>
          <w:szCs w:val="32"/>
          <w:lang w:val="en-US" w:eastAsia="zh-CN" w:bidi="ar-SA"/>
        </w:rPr>
      </w:pPr>
      <w:r>
        <w:rPr>
          <w:rFonts w:hint="eastAsia" w:ascii="仿宋_GB2312" w:hAnsi="Tahoma" w:eastAsia="仿宋_GB2312" w:cs="DengXian-Regular"/>
          <w:b w:val="0"/>
          <w:bCs w:val="0"/>
          <w:color w:val="auto"/>
          <w:sz w:val="32"/>
          <w:szCs w:val="32"/>
          <w:lang w:val="en-US" w:eastAsia="zh-CN" w:bidi="ar-SA"/>
        </w:rPr>
        <w:t>2021年将进一步根据县委和县政府的安排部署，认真完成好各项任务，充分发挥部门职能，确保单位的正常运转，促进各项工作顺利进行，推动社会稳定和谐发展。</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1、负责应急管理工作，指导各乡镇各部门应对安全生产类、自然灾害类等突发事件和综合防灾减灾救灾工作。负责安全生产综合监督管理和工矿商贸行业安全生产监督管理工作。</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2、拟订应急管理、安全生产等政策规定，组织编制县应急体系建设、安全生产和综合防灾减灾规划，起草地方性法规和政府规章草案，组织制定相关规程和标准并监督实施。</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3、指导应急预案体系建设，建立完善事故灾难和自然灾害分级应对制度，组织编制县总体应急预案和安全生产类、自然灾害类专项预案，综合协调应急预案衔接工作，组织开展预案演练，推动应急避难设施建设。</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4、牵头建立统一的全县应急管理信息系统，负责信息传输渠道的规划和布局，建立监测预警和灾情报告制度，健全自然灾害信息资源获取和共享机制，依法统一发布灾情。</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5、组织指导协调安全生产类、自然灾害类等突发事件应急救援，承担县应对重大灾害指挥部工作，综合研判突发事件发展态势并提出应对建议，协助县委、县政府指定的负责同志组织重大灾害应急处置工作。</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6、统一协调指挥各类应急专业队伍，建立应急协调联动机制，推进指挥平台对接，衔接解放军和武警部队参与应急救援工作。</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7、统筹应急救援力量建设，负责消防、森林和草原火灾扑救、抗洪抢险、地震和地质灾害救援、生产安全事故救援等专业应急救援力量建设，管理县综合性应急救援队伍，指导各部门、各乡镇及社会应急救援力量建设。</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8、组织协调消防工作，指导各乡镇各部门消防监督、火灾预防、火灾扑救等工作。</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9、指导协调森林和草原火灾、水旱灾害、地震和地质灾害等防治工作，负责自然灾害综合监测预警工作，指导开展自然灾害综合风险评估工作。</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10、组织协调灾害救助工作，组织指导灾情核查、损失评估、救灾捐赠工作，管理、分配县救灾款物并监督使用。</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11、依法行使县安全生产综合监督管理职权，指导协调、监督检查县有关部门和各乡镇政府安全生产工作，组织开展安全生产巡查、考核工作。</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12、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安全生产监督管理工作。</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13、依法组织指导安全生产事故调查处理，监督事故查处和责任追究落实情况。组织开展自然灾害类突发事件的调查评估工作。</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14、制定应急物资储备和应急救援装备规划并组织实施，会同县发展和改革局（县粮食和物资储备局）等部门建立健全应急物资信息平台和调拨制度，在救灾时统一调度。</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15、负责应急管理、安全生产宣传教育和培训工作，组织指导应急管理、安全生产的科学技术研究、推广应用和信息化建设工作。</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16、负责组织指导协调和监督全县安全生产行政执法检查工作，组织开展对安全生产重点企业的执法检查。</w:t>
      </w:r>
    </w:p>
    <w:p>
      <w:pPr>
        <w:numPr>
          <w:ilvl w:val="0"/>
          <w:numId w:val="0"/>
        </w:numPr>
        <w:spacing w:after="0" w:line="360" w:lineRule="auto"/>
        <w:ind w:firstLine="640" w:firstLineChars="200"/>
        <w:jc w:val="both"/>
        <w:textAlignment w:val="baseline"/>
        <w:rPr>
          <w:rFonts w:hint="eastAsia" w:ascii="仿宋_GB2312" w:eastAsia="仿宋_GB2312" w:cs="DengXian-Regular"/>
          <w:b w:val="0"/>
          <w:bCs w:val="0"/>
          <w:color w:val="auto"/>
          <w:sz w:val="32"/>
          <w:szCs w:val="32"/>
          <w:lang w:val="en-US" w:eastAsia="zh-CN" w:bidi="ar-SA"/>
        </w:rPr>
      </w:pPr>
      <w:r>
        <w:rPr>
          <w:rFonts w:hint="eastAsia" w:ascii="仿宋_GB2312" w:eastAsia="仿宋_GB2312" w:cs="DengXian-Regular"/>
          <w:b w:val="0"/>
          <w:bCs w:val="0"/>
          <w:color w:val="auto"/>
          <w:sz w:val="32"/>
          <w:szCs w:val="32"/>
          <w:lang w:val="en-US" w:eastAsia="zh-CN" w:bidi="ar-SA"/>
        </w:rPr>
        <w:t>17、负责地震监测、震灾防御和震灾救援指挥工作。</w:t>
      </w:r>
    </w:p>
    <w:p>
      <w:pPr>
        <w:pStyle w:val="5"/>
        <w:keepNext w:val="0"/>
        <w:keepLines w:val="0"/>
        <w:pageBreakBefore w:val="0"/>
        <w:widowControl/>
        <w:kinsoku/>
        <w:wordWrap/>
        <w:overflowPunct/>
        <w:topLinePunct w:val="0"/>
        <w:autoSpaceDE/>
        <w:autoSpaceDN/>
        <w:bidi w:val="0"/>
        <w:adjustRightInd/>
        <w:snapToGrid/>
        <w:spacing w:before="0" w:after="0"/>
        <w:ind w:firstLine="640" w:firstLineChars="200"/>
        <w:jc w:val="both"/>
        <w:textAlignment w:val="baseline"/>
        <w:rPr>
          <w:rFonts w:hint="eastAsia" w:ascii="仿宋_GB2312" w:hAnsi="Tahoma" w:cs="DengXian-Regular"/>
          <w:color w:val="auto"/>
          <w:sz w:val="32"/>
          <w:highlight w:val="yellow"/>
        </w:rPr>
      </w:pPr>
      <w:r>
        <w:rPr>
          <w:rFonts w:hint="eastAsia" w:ascii="仿宋_GB2312" w:eastAsia="仿宋_GB2312" w:cs="DengXian-Regular"/>
          <w:b w:val="0"/>
          <w:bCs w:val="0"/>
          <w:color w:val="auto"/>
          <w:sz w:val="32"/>
          <w:szCs w:val="32"/>
          <w:lang w:val="en-US" w:eastAsia="zh-CN" w:bidi="ar-SA"/>
        </w:rPr>
        <w:t>18、完成县委、县政府交办的其他任务。</w:t>
      </w:r>
    </w:p>
    <w:p>
      <w:pPr>
        <w:pStyle w:val="5"/>
        <w:spacing w:before="0" w:after="0"/>
        <w:ind w:firstLine="643" w:firstLineChars="200"/>
        <w:jc w:val="both"/>
        <w:rPr>
          <w:rFonts w:hint="eastAsia" w:ascii="仿宋_GB2312" w:hAnsi="Tahoma" w:cs="DengXian-Regular"/>
          <w:color w:val="auto"/>
          <w:sz w:val="32"/>
          <w:highlight w:val="none"/>
        </w:rPr>
      </w:pPr>
      <w:r>
        <w:rPr>
          <w:rFonts w:hint="eastAsia" w:ascii="仿宋_GB2312" w:hAnsi="Tahoma" w:cs="DengXian-Regular"/>
          <w:color w:val="auto"/>
          <w:sz w:val="32"/>
          <w:highlight w:val="none"/>
        </w:rPr>
        <w:t>（三）部门预算收入及决算收入</w:t>
      </w:r>
      <w:bookmarkEnd w:id="9"/>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lang w:eastAsia="zh-CN"/>
        </w:rPr>
        <w:t>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预算收入</w:t>
      </w:r>
      <w:r>
        <w:rPr>
          <w:rFonts w:hint="eastAsia" w:ascii="仿宋_GB2312" w:eastAsia="仿宋_GB2312" w:cs="DengXian-Regular"/>
          <w:color w:val="auto"/>
          <w:sz w:val="32"/>
          <w:szCs w:val="32"/>
          <w:lang w:val="en-US" w:eastAsia="zh-CN"/>
        </w:rPr>
        <w:t>1414.91</w:t>
      </w:r>
      <w:r>
        <w:rPr>
          <w:rFonts w:hint="eastAsia" w:ascii="仿宋_GB2312" w:eastAsia="仿宋_GB2312" w:cs="DengXian-Regular"/>
          <w:color w:val="auto"/>
          <w:sz w:val="32"/>
          <w:szCs w:val="32"/>
        </w:rPr>
        <w:t>万元，</w:t>
      </w:r>
      <w:r>
        <w:rPr>
          <w:rFonts w:hint="eastAsia" w:ascii="仿宋_GB2312" w:eastAsia="仿宋_GB2312" w:cs="DengXian-Regular"/>
          <w:color w:val="auto"/>
          <w:sz w:val="32"/>
          <w:szCs w:val="32"/>
          <w:lang w:eastAsia="zh-CN"/>
        </w:rPr>
        <w:t>其中</w:t>
      </w:r>
      <w:r>
        <w:rPr>
          <w:rFonts w:hint="eastAsia" w:ascii="仿宋_GB2312" w:eastAsia="仿宋_GB2312" w:cs="DengXian-Regular"/>
          <w:color w:val="auto"/>
          <w:sz w:val="32"/>
          <w:szCs w:val="32"/>
        </w:rPr>
        <w:t>一般公共预算拨款</w:t>
      </w:r>
      <w:r>
        <w:rPr>
          <w:rFonts w:hint="eastAsia" w:ascii="仿宋_GB2312" w:eastAsia="仿宋_GB2312" w:cs="DengXian-Regular"/>
          <w:color w:val="auto"/>
          <w:sz w:val="32"/>
          <w:szCs w:val="32"/>
          <w:lang w:val="en-US" w:eastAsia="zh-CN"/>
        </w:rPr>
        <w:t>1414.91万元</w:t>
      </w:r>
      <w:r>
        <w:rPr>
          <w:rFonts w:hint="eastAsia" w:ascii="仿宋_GB2312" w:eastAsia="仿宋_GB2312" w:cs="DengXian-Regular"/>
          <w:color w:val="auto"/>
          <w:sz w:val="32"/>
          <w:szCs w:val="32"/>
          <w:highlight w:val="none"/>
          <w:lang w:val="en-US" w:eastAsia="zh-CN"/>
        </w:rPr>
        <w:t>。</w:t>
      </w:r>
      <w:r>
        <w:rPr>
          <w:rFonts w:hint="eastAsia" w:ascii="仿宋_GB2312" w:eastAsia="仿宋_GB2312" w:cs="DengXian-Regular"/>
          <w:color w:val="auto"/>
          <w:sz w:val="32"/>
          <w:szCs w:val="32"/>
          <w:highlight w:val="none"/>
          <w:lang w:eastAsia="zh-CN"/>
        </w:rPr>
        <w:t>一般公共预算拨款中</w:t>
      </w:r>
      <w:r>
        <w:rPr>
          <w:rFonts w:hint="eastAsia" w:ascii="仿宋_GB2312" w:eastAsia="仿宋_GB2312" w:cs="DengXian-Regular"/>
          <w:color w:val="auto"/>
          <w:sz w:val="32"/>
          <w:szCs w:val="32"/>
          <w:highlight w:val="none"/>
        </w:rPr>
        <w:t>财政拨款</w:t>
      </w:r>
      <w:r>
        <w:rPr>
          <w:rFonts w:hint="eastAsia" w:ascii="仿宋_GB2312" w:eastAsia="仿宋_GB2312" w:cs="DengXian-Regular"/>
          <w:color w:val="auto"/>
          <w:sz w:val="32"/>
          <w:szCs w:val="32"/>
          <w:highlight w:val="none"/>
          <w:lang w:val="en-US" w:eastAsia="zh-CN"/>
        </w:rPr>
        <w:t>1414.91</w:t>
      </w:r>
      <w:r>
        <w:rPr>
          <w:rFonts w:hint="eastAsia" w:ascii="仿宋_GB2312" w:eastAsia="仿宋_GB2312" w:cs="DengXian-Regular"/>
          <w:color w:val="auto"/>
          <w:sz w:val="32"/>
          <w:szCs w:val="32"/>
          <w:highlight w:val="none"/>
        </w:rPr>
        <w:t>万元</w:t>
      </w:r>
      <w:r>
        <w:rPr>
          <w:rFonts w:hint="eastAsia" w:ascii="仿宋_GB2312" w:eastAsia="仿宋_GB2312" w:cs="DengXian-Regular"/>
          <w:color w:val="auto"/>
          <w:sz w:val="32"/>
          <w:szCs w:val="32"/>
          <w:highlight w:val="none"/>
          <w:lang w:eastAsia="zh-CN"/>
        </w:rPr>
        <w:t>，上级财政提前通知转移支付</w:t>
      </w:r>
      <w:r>
        <w:rPr>
          <w:rFonts w:hint="eastAsia" w:ascii="仿宋_GB2312" w:eastAsia="仿宋_GB2312" w:cs="DengXian-Regular"/>
          <w:color w:val="auto"/>
          <w:sz w:val="32"/>
          <w:szCs w:val="32"/>
          <w:highlight w:val="none"/>
          <w:lang w:val="en-US" w:eastAsia="zh-CN"/>
        </w:rPr>
        <w:t>0.00万元</w:t>
      </w:r>
      <w:r>
        <w:rPr>
          <w:rFonts w:hint="eastAsia" w:ascii="仿宋_GB2312" w:eastAsia="仿宋_GB2312" w:cs="DengXian-Regular"/>
          <w:color w:val="auto"/>
          <w:sz w:val="32"/>
          <w:szCs w:val="32"/>
          <w:highlight w:val="none"/>
        </w:rPr>
        <w:t>。预算收入按功能分类包含：社会保障和就业支出</w:t>
      </w:r>
      <w:r>
        <w:rPr>
          <w:rFonts w:hint="eastAsia" w:ascii="仿宋_GB2312" w:eastAsia="仿宋_GB2312" w:cs="DengXian-Regular"/>
          <w:color w:val="auto"/>
          <w:sz w:val="32"/>
          <w:szCs w:val="32"/>
          <w:highlight w:val="none"/>
          <w:lang w:val="en-US" w:eastAsia="zh-CN"/>
        </w:rPr>
        <w:t>133.13</w:t>
      </w:r>
      <w:r>
        <w:rPr>
          <w:rFonts w:hint="eastAsia" w:ascii="仿宋_GB2312" w:eastAsia="仿宋_GB2312" w:cs="DengXian-Regular"/>
          <w:color w:val="auto"/>
          <w:sz w:val="32"/>
          <w:szCs w:val="32"/>
          <w:highlight w:val="none"/>
        </w:rPr>
        <w:t>万元，卫生</w:t>
      </w:r>
      <w:r>
        <w:rPr>
          <w:rFonts w:hint="eastAsia" w:ascii="仿宋_GB2312" w:eastAsia="仿宋_GB2312" w:cs="DengXian-Regular"/>
          <w:color w:val="auto"/>
          <w:sz w:val="32"/>
          <w:szCs w:val="32"/>
        </w:rPr>
        <w:t>健康支出</w:t>
      </w:r>
      <w:r>
        <w:rPr>
          <w:rFonts w:hint="eastAsia" w:ascii="仿宋_GB2312" w:eastAsia="仿宋_GB2312" w:cs="DengXian-Regular"/>
          <w:color w:val="auto"/>
          <w:sz w:val="32"/>
          <w:szCs w:val="32"/>
          <w:lang w:val="en-US" w:eastAsia="zh-CN"/>
        </w:rPr>
        <w:t>45.44</w:t>
      </w:r>
      <w:r>
        <w:rPr>
          <w:rFonts w:hint="eastAsia" w:ascii="仿宋_GB2312" w:eastAsia="仿宋_GB2312" w:cs="DengXian-Regular"/>
          <w:color w:val="auto"/>
          <w:sz w:val="32"/>
          <w:szCs w:val="32"/>
        </w:rPr>
        <w:t>万元，住房保障支出</w:t>
      </w:r>
      <w:r>
        <w:rPr>
          <w:rFonts w:hint="eastAsia" w:ascii="仿宋_GB2312" w:eastAsia="仿宋_GB2312" w:cs="DengXian-Regular"/>
          <w:color w:val="auto"/>
          <w:sz w:val="32"/>
          <w:szCs w:val="32"/>
          <w:lang w:eastAsia="zh-CN"/>
        </w:rPr>
        <w:t>75.96</w:t>
      </w:r>
      <w:r>
        <w:rPr>
          <w:rFonts w:hint="eastAsia" w:ascii="仿宋_GB2312" w:eastAsia="仿宋_GB2312" w:cs="DengXian-Regular"/>
          <w:color w:val="auto"/>
          <w:sz w:val="32"/>
          <w:szCs w:val="32"/>
        </w:rPr>
        <w:t>万元</w:t>
      </w:r>
      <w:r>
        <w:rPr>
          <w:rFonts w:hint="eastAsia" w:ascii="仿宋_GB2312" w:eastAsia="仿宋_GB2312" w:cs="DengXian-Regular"/>
          <w:color w:val="auto"/>
          <w:sz w:val="32"/>
          <w:szCs w:val="32"/>
          <w:lang w:eastAsia="zh-CN"/>
        </w:rPr>
        <w:t>，灾害防治及应急管理支出1001.93万元，其他支出158.45万元</w:t>
      </w:r>
      <w:r>
        <w:rPr>
          <w:rFonts w:hint="eastAsia" w:ascii="仿宋_GB2312" w:eastAsia="仿宋_GB2312" w:cs="DengXian-Regular"/>
          <w:color w:val="auto"/>
          <w:sz w:val="32"/>
          <w:szCs w:val="32"/>
        </w:rPr>
        <w:t>。具体预算收入详见</w:t>
      </w:r>
      <w:r>
        <w:rPr>
          <w:rFonts w:hint="eastAsia" w:ascii="仿宋_GB2312" w:eastAsia="仿宋_GB2312" w:cs="DengXian-Regular"/>
          <w:color w:val="auto"/>
          <w:sz w:val="32"/>
          <w:szCs w:val="32"/>
          <w:highlight w:val="none"/>
        </w:rPr>
        <w:t>附件2</w:t>
      </w:r>
      <w:r>
        <w:rPr>
          <w:rFonts w:hint="eastAsia" w:ascii="仿宋_GB2312" w:eastAsia="仿宋_GB2312" w:cs="DengXian-Regular"/>
          <w:color w:val="auto"/>
          <w:sz w:val="32"/>
          <w:szCs w:val="32"/>
        </w:rPr>
        <w:t>。</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lang w:eastAsia="zh-CN"/>
        </w:rPr>
        <w:t>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决算收入</w:t>
      </w:r>
      <w:r>
        <w:rPr>
          <w:rFonts w:hint="eastAsia" w:ascii="仿宋_GB2312" w:eastAsia="仿宋_GB2312" w:cs="DengXian-Regular"/>
          <w:color w:val="auto"/>
          <w:sz w:val="32"/>
          <w:szCs w:val="32"/>
          <w:lang w:val="en-US" w:eastAsia="zh-CN"/>
        </w:rPr>
        <w:t>1564.53</w:t>
      </w:r>
      <w:r>
        <w:rPr>
          <w:rFonts w:hint="eastAsia" w:ascii="仿宋_GB2312" w:eastAsia="仿宋_GB2312" w:cs="DengXian-Regular"/>
          <w:color w:val="auto"/>
          <w:sz w:val="32"/>
          <w:szCs w:val="32"/>
        </w:rPr>
        <w:t>万元，</w:t>
      </w:r>
      <w:r>
        <w:rPr>
          <w:rFonts w:hint="eastAsia" w:ascii="仿宋_GB2312" w:eastAsia="仿宋_GB2312" w:cs="DengXian-Regular"/>
          <w:color w:val="auto"/>
          <w:sz w:val="32"/>
          <w:szCs w:val="32"/>
          <w:highlight w:val="none"/>
        </w:rPr>
        <w:t>其中：财政拨款收入</w:t>
      </w:r>
      <w:r>
        <w:rPr>
          <w:rFonts w:hint="eastAsia" w:ascii="仿宋_GB2312" w:eastAsia="仿宋_GB2312" w:cs="DengXian-Regular"/>
          <w:color w:val="auto"/>
          <w:sz w:val="32"/>
          <w:szCs w:val="32"/>
          <w:highlight w:val="none"/>
          <w:lang w:val="en-US" w:eastAsia="zh-CN"/>
        </w:rPr>
        <w:t>1564.44</w:t>
      </w:r>
      <w:r>
        <w:rPr>
          <w:rFonts w:hint="eastAsia" w:ascii="仿宋_GB2312" w:eastAsia="仿宋_GB2312" w:cs="DengXian-Regular"/>
          <w:color w:val="auto"/>
          <w:sz w:val="32"/>
          <w:szCs w:val="32"/>
          <w:highlight w:val="none"/>
        </w:rPr>
        <w:t>万元，其他收入</w:t>
      </w:r>
      <w:r>
        <w:rPr>
          <w:rFonts w:hint="eastAsia" w:ascii="仿宋_GB2312" w:eastAsia="仿宋_GB2312" w:cs="DengXian-Regular"/>
          <w:color w:val="auto"/>
          <w:sz w:val="32"/>
          <w:szCs w:val="32"/>
          <w:highlight w:val="none"/>
          <w:lang w:val="en-US" w:eastAsia="zh-CN"/>
        </w:rPr>
        <w:t>0.09</w:t>
      </w:r>
      <w:r>
        <w:rPr>
          <w:rFonts w:hint="eastAsia" w:ascii="仿宋_GB2312" w:eastAsia="仿宋_GB2312" w:cs="DengXian-Regular"/>
          <w:color w:val="auto"/>
          <w:sz w:val="32"/>
          <w:szCs w:val="32"/>
          <w:highlight w:val="none"/>
        </w:rPr>
        <w:t>万元（全部为利息收入）。</w:t>
      </w:r>
      <w:r>
        <w:rPr>
          <w:rFonts w:hint="eastAsia" w:ascii="仿宋_GB2312" w:eastAsia="仿宋_GB2312" w:cs="DengXian-Regular"/>
          <w:color w:val="auto"/>
          <w:sz w:val="32"/>
          <w:szCs w:val="32"/>
        </w:rPr>
        <w:t>决算</w:t>
      </w:r>
      <w:r>
        <w:rPr>
          <w:rFonts w:hint="eastAsia" w:ascii="仿宋_GB2312" w:eastAsia="仿宋_GB2312" w:cs="DengXian-Regular"/>
          <w:color w:val="auto"/>
          <w:sz w:val="32"/>
          <w:szCs w:val="32"/>
          <w:highlight w:val="none"/>
        </w:rPr>
        <w:t>收入按功能分类包</w:t>
      </w:r>
      <w:r>
        <w:rPr>
          <w:rFonts w:hint="eastAsia" w:ascii="仿宋_GB2312" w:eastAsia="仿宋_GB2312" w:cs="DengXian-Regular"/>
          <w:color w:val="auto"/>
          <w:sz w:val="32"/>
          <w:szCs w:val="32"/>
        </w:rPr>
        <w:t>含：科学技术支出8.9</w:t>
      </w:r>
      <w:r>
        <w:rPr>
          <w:rFonts w:hint="eastAsia" w:ascii="仿宋_GB2312" w:eastAsia="仿宋_GB2312" w:cs="DengXian-Regular"/>
          <w:color w:val="auto"/>
          <w:sz w:val="32"/>
          <w:szCs w:val="32"/>
          <w:lang w:val="en-US" w:eastAsia="zh-CN"/>
        </w:rPr>
        <w:t>9</w:t>
      </w:r>
      <w:r>
        <w:rPr>
          <w:rFonts w:hint="eastAsia" w:ascii="仿宋_GB2312" w:eastAsia="仿宋_GB2312" w:cs="DengXian-Regular"/>
          <w:color w:val="auto"/>
          <w:sz w:val="32"/>
          <w:szCs w:val="32"/>
        </w:rPr>
        <w:t>万元，占</w:t>
      </w:r>
      <w:r>
        <w:rPr>
          <w:rFonts w:hint="eastAsia" w:ascii="仿宋_GB2312" w:eastAsia="仿宋_GB2312" w:cs="DengXian-Regular"/>
          <w:color w:val="auto"/>
          <w:sz w:val="32"/>
          <w:szCs w:val="32"/>
          <w:highlight w:val="none"/>
        </w:rPr>
        <w:t>0.57%</w:t>
      </w:r>
      <w:r>
        <w:rPr>
          <w:rFonts w:hint="eastAsia" w:ascii="仿宋_GB2312" w:eastAsia="仿宋_GB2312" w:cs="DengXian-Regular"/>
          <w:color w:val="auto"/>
          <w:sz w:val="32"/>
          <w:szCs w:val="32"/>
          <w:lang w:eastAsia="zh-CN"/>
        </w:rPr>
        <w:t>；</w:t>
      </w:r>
      <w:r>
        <w:rPr>
          <w:rFonts w:hint="eastAsia" w:ascii="仿宋_GB2312" w:eastAsia="仿宋_GB2312" w:cs="DengXian-Regular"/>
          <w:color w:val="auto"/>
          <w:sz w:val="32"/>
          <w:szCs w:val="32"/>
        </w:rPr>
        <w:t>社会保障和就业支出216.51万元，占13.8</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%；卫生健康支出44.50万元，占</w:t>
      </w:r>
      <w:r>
        <w:rPr>
          <w:rFonts w:hint="eastAsia" w:ascii="仿宋_GB2312" w:eastAsia="仿宋_GB2312" w:cs="DengXian-Regular"/>
          <w:color w:val="auto"/>
          <w:sz w:val="32"/>
          <w:szCs w:val="32"/>
          <w:lang w:val="en-US" w:eastAsia="zh-CN"/>
        </w:rPr>
        <w:t>2.84</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lang w:val="en-US" w:eastAsia="zh-CN"/>
        </w:rPr>
        <w:t>农林水支出17.80万元，占1.14%；</w:t>
      </w:r>
      <w:r>
        <w:rPr>
          <w:rFonts w:hint="eastAsia" w:ascii="仿宋_GB2312" w:eastAsia="仿宋_GB2312" w:cs="DengXian-Regular"/>
          <w:color w:val="auto"/>
          <w:sz w:val="32"/>
          <w:szCs w:val="32"/>
        </w:rPr>
        <w:t>住房保障支出78.30万元，占 5%。灾害防治及应急管理支出1178.</w:t>
      </w:r>
      <w:r>
        <w:rPr>
          <w:rFonts w:hint="eastAsia" w:ascii="仿宋_GB2312" w:eastAsia="仿宋_GB2312" w:cs="DengXian-Regular"/>
          <w:color w:val="auto"/>
          <w:sz w:val="32"/>
          <w:szCs w:val="32"/>
          <w:lang w:val="en-US" w:eastAsia="zh-CN"/>
        </w:rPr>
        <w:t>49</w:t>
      </w:r>
      <w:r>
        <w:rPr>
          <w:rFonts w:hint="eastAsia" w:ascii="仿宋_GB2312" w:eastAsia="仿宋_GB2312" w:cs="DengXian-Regular"/>
          <w:color w:val="auto"/>
          <w:sz w:val="32"/>
          <w:szCs w:val="32"/>
        </w:rPr>
        <w:t>万元，占75.3</w:t>
      </w:r>
      <w:r>
        <w:rPr>
          <w:rFonts w:hint="eastAsia" w:ascii="仿宋_GB2312" w:eastAsia="仿宋_GB2312" w:cs="DengXian-Regular"/>
          <w:color w:val="auto"/>
          <w:sz w:val="32"/>
          <w:szCs w:val="32"/>
          <w:lang w:val="en-US" w:eastAsia="zh-CN"/>
        </w:rPr>
        <w:t>3</w:t>
      </w:r>
      <w:r>
        <w:rPr>
          <w:rFonts w:hint="eastAsia" w:ascii="仿宋_GB2312" w:eastAsia="仿宋_GB2312" w:cs="DengXian-Regular"/>
          <w:color w:val="auto"/>
          <w:sz w:val="32"/>
          <w:szCs w:val="32"/>
        </w:rPr>
        <w:t>%；其他支出19.94万元，占1.</w:t>
      </w:r>
      <w:r>
        <w:rPr>
          <w:rFonts w:hint="eastAsia" w:ascii="仿宋_GB2312" w:eastAsia="仿宋_GB2312" w:cs="DengXian-Regular"/>
          <w:color w:val="auto"/>
          <w:sz w:val="32"/>
          <w:szCs w:val="32"/>
          <w:lang w:val="en-US" w:eastAsia="zh-CN"/>
        </w:rPr>
        <w:t>27</w:t>
      </w:r>
      <w:r>
        <w:rPr>
          <w:rFonts w:hint="eastAsia" w:ascii="仿宋_GB2312" w:eastAsia="仿宋_GB2312" w:cs="DengXian-Regular"/>
          <w:color w:val="auto"/>
          <w:sz w:val="32"/>
          <w:szCs w:val="32"/>
        </w:rPr>
        <w:t>%。具体决算收入详见附件2。</w:t>
      </w:r>
    </w:p>
    <w:p>
      <w:pPr>
        <w:spacing w:after="0" w:line="360" w:lineRule="auto"/>
        <w:ind w:firstLine="640" w:firstLineChars="200"/>
        <w:jc w:val="both"/>
        <w:textAlignment w:val="baseline"/>
        <w:rPr>
          <w:rFonts w:hint="eastAsia" w:ascii="仿宋_GB2312" w:eastAsia="仿宋_GB2312" w:cs="DengXian-Regular"/>
          <w:color w:val="auto"/>
          <w:sz w:val="32"/>
          <w:szCs w:val="32"/>
        </w:rPr>
      </w:pP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财政拨款决算收入比年初预算</w:t>
      </w:r>
      <w:r>
        <w:rPr>
          <w:rFonts w:hint="eastAsia" w:ascii="仿宋_GB2312" w:eastAsia="仿宋_GB2312" w:cs="DengXian-Regular"/>
          <w:color w:val="auto"/>
          <w:sz w:val="32"/>
          <w:szCs w:val="32"/>
          <w:lang w:eastAsia="zh-CN"/>
        </w:rPr>
        <w:t>增加</w:t>
      </w:r>
      <w:r>
        <w:rPr>
          <w:rFonts w:hint="eastAsia" w:ascii="仿宋_GB2312" w:eastAsia="仿宋_GB2312" w:cs="DengXian-Regular"/>
          <w:color w:val="auto"/>
          <w:sz w:val="32"/>
          <w:szCs w:val="32"/>
          <w:lang w:val="en-US" w:eastAsia="zh-CN"/>
        </w:rPr>
        <w:t>149.62</w:t>
      </w:r>
      <w:r>
        <w:rPr>
          <w:rFonts w:hint="eastAsia" w:ascii="仿宋_GB2312" w:eastAsia="仿宋_GB2312" w:cs="DengXian-Regular"/>
          <w:color w:val="auto"/>
          <w:sz w:val="32"/>
          <w:szCs w:val="32"/>
        </w:rPr>
        <w:t>万元，完成年初预算的</w:t>
      </w:r>
      <w:r>
        <w:rPr>
          <w:rFonts w:hint="eastAsia" w:ascii="仿宋_GB2312" w:eastAsia="仿宋_GB2312" w:cs="DengXian-Regular"/>
          <w:color w:val="auto"/>
          <w:sz w:val="32"/>
          <w:szCs w:val="32"/>
          <w:lang w:val="en-US" w:eastAsia="zh-CN"/>
        </w:rPr>
        <w:t>110.57%</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highlight w:val="none"/>
        </w:rPr>
        <w:t>决算收入</w:t>
      </w:r>
      <w:r>
        <w:rPr>
          <w:rFonts w:hint="eastAsia" w:ascii="仿宋_GB2312" w:eastAsia="仿宋_GB2312" w:cs="DengXian-Regular"/>
          <w:color w:val="auto"/>
          <w:sz w:val="32"/>
          <w:szCs w:val="32"/>
          <w:highlight w:val="none"/>
          <w:lang w:eastAsia="zh-CN"/>
        </w:rPr>
        <w:t>大于</w:t>
      </w:r>
      <w:r>
        <w:rPr>
          <w:rFonts w:hint="eastAsia" w:ascii="仿宋_GB2312" w:eastAsia="仿宋_GB2312" w:cs="DengXian-Regular"/>
          <w:color w:val="auto"/>
          <w:sz w:val="32"/>
          <w:szCs w:val="32"/>
          <w:highlight w:val="none"/>
        </w:rPr>
        <w:t>预算收入的主要原因为</w:t>
      </w:r>
      <w:r>
        <w:rPr>
          <w:rFonts w:hint="eastAsia" w:ascii="仿宋_GB2312" w:eastAsia="仿宋_GB2312" w:cs="DengXian-Regular"/>
          <w:color w:val="auto"/>
          <w:sz w:val="32"/>
          <w:szCs w:val="32"/>
          <w:lang w:eastAsia="zh-CN"/>
        </w:rPr>
        <w:t>社会保障和就业支出</w:t>
      </w:r>
      <w:r>
        <w:rPr>
          <w:rFonts w:hint="eastAsia" w:ascii="仿宋_GB2312" w:eastAsia="仿宋_GB2312" w:cs="DengXian-Regular"/>
          <w:color w:val="auto"/>
          <w:sz w:val="32"/>
          <w:szCs w:val="32"/>
          <w:lang w:val="en-US" w:eastAsia="zh-CN"/>
        </w:rPr>
        <w:t>和</w:t>
      </w:r>
      <w:r>
        <w:rPr>
          <w:rFonts w:hint="eastAsia" w:ascii="仿宋_GB2312" w:eastAsia="仿宋_GB2312" w:cs="DengXian-Regular"/>
          <w:color w:val="auto"/>
          <w:sz w:val="32"/>
          <w:szCs w:val="32"/>
          <w:lang w:eastAsia="zh-CN"/>
        </w:rPr>
        <w:t>灾害防治及应急管理支出</w:t>
      </w:r>
      <w:r>
        <w:rPr>
          <w:rFonts w:hint="eastAsia" w:ascii="仿宋_GB2312" w:eastAsia="仿宋_GB2312" w:cs="DengXian-Regular"/>
          <w:color w:val="auto"/>
          <w:sz w:val="32"/>
          <w:szCs w:val="32"/>
          <w:lang w:val="en-US" w:eastAsia="zh-CN"/>
        </w:rPr>
        <w:t>增加</w:t>
      </w:r>
      <w:r>
        <w:rPr>
          <w:rFonts w:hint="eastAsia" w:ascii="仿宋_GB2312" w:eastAsia="仿宋_GB2312" w:cs="DengXian-Regular"/>
          <w:color w:val="auto"/>
          <w:sz w:val="32"/>
          <w:szCs w:val="32"/>
        </w:rPr>
        <w:t>。预算收入与决算收入对比情况见图</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w:t>
      </w:r>
    </w:p>
    <w:p>
      <w:pPr>
        <w:spacing w:after="0" w:line="360" w:lineRule="auto"/>
        <w:jc w:val="center"/>
        <w:rPr>
          <w:rFonts w:hint="eastAsia" w:asciiTheme="minorEastAsia" w:hAnsiTheme="minorEastAsia" w:eastAsiaTheme="minorEastAsia" w:cstheme="minorEastAsia"/>
          <w:b/>
          <w:color w:val="auto"/>
          <w:sz w:val="32"/>
          <w:szCs w:val="32"/>
          <w:u w:color="000000"/>
        </w:rPr>
      </w:pPr>
      <w:r>
        <w:rPr>
          <w:rFonts w:hint="eastAsia" w:asciiTheme="minorEastAsia" w:hAnsiTheme="minorEastAsia" w:eastAsiaTheme="minorEastAsia" w:cstheme="minorEastAsia"/>
          <w:b/>
          <w:color w:val="auto"/>
          <w:sz w:val="32"/>
          <w:szCs w:val="32"/>
          <w:u w:color="000000"/>
        </w:rPr>
        <w:t>图</w:t>
      </w:r>
      <w:r>
        <w:rPr>
          <w:rFonts w:hint="eastAsia" w:asciiTheme="minorEastAsia" w:hAnsiTheme="minorEastAsia" w:eastAsiaTheme="minorEastAsia" w:cstheme="minorEastAsia"/>
          <w:b/>
          <w:color w:val="auto"/>
          <w:sz w:val="32"/>
          <w:szCs w:val="32"/>
          <w:u w:color="000000"/>
          <w:lang w:val="en-US" w:eastAsia="zh-CN"/>
        </w:rPr>
        <w:t>1</w:t>
      </w:r>
      <w:r>
        <w:rPr>
          <w:rFonts w:hint="eastAsia" w:asciiTheme="minorEastAsia" w:hAnsiTheme="minorEastAsia" w:eastAsiaTheme="minorEastAsia" w:cstheme="minorEastAsia"/>
          <w:b/>
          <w:color w:val="auto"/>
          <w:sz w:val="32"/>
          <w:szCs w:val="32"/>
          <w:u w:color="000000"/>
        </w:rPr>
        <w:t xml:space="preserve">  </w:t>
      </w:r>
      <w:r>
        <w:rPr>
          <w:rFonts w:hint="eastAsia" w:asciiTheme="minorEastAsia" w:hAnsiTheme="minorEastAsia" w:eastAsiaTheme="minorEastAsia" w:cstheme="minorEastAsia"/>
          <w:b/>
          <w:color w:val="auto"/>
          <w:sz w:val="32"/>
          <w:szCs w:val="32"/>
          <w:u w:color="000000"/>
          <w:lang w:eastAsia="zh-CN"/>
        </w:rPr>
        <w:t>202</w:t>
      </w:r>
      <w:r>
        <w:rPr>
          <w:rFonts w:hint="eastAsia" w:asciiTheme="minorEastAsia" w:hAnsiTheme="minorEastAsia" w:eastAsiaTheme="minorEastAsia" w:cstheme="minorEastAsia"/>
          <w:b/>
          <w:color w:val="auto"/>
          <w:sz w:val="32"/>
          <w:szCs w:val="32"/>
          <w:u w:color="000000"/>
          <w:lang w:val="en-US" w:eastAsia="zh-CN"/>
        </w:rPr>
        <w:t>1</w:t>
      </w:r>
      <w:r>
        <w:rPr>
          <w:rFonts w:hint="eastAsia" w:asciiTheme="minorEastAsia" w:hAnsiTheme="minorEastAsia" w:eastAsiaTheme="minorEastAsia" w:cstheme="minorEastAsia"/>
          <w:b/>
          <w:color w:val="auto"/>
          <w:sz w:val="32"/>
          <w:szCs w:val="32"/>
          <w:u w:color="000000"/>
        </w:rPr>
        <w:t>年度</w:t>
      </w:r>
      <w:r>
        <w:rPr>
          <w:rFonts w:hint="eastAsia" w:asciiTheme="minorEastAsia" w:hAnsiTheme="minorEastAsia" w:eastAsiaTheme="minorEastAsia" w:cstheme="minorEastAsia"/>
          <w:b/>
          <w:color w:val="auto"/>
          <w:sz w:val="32"/>
          <w:szCs w:val="32"/>
          <w:u w:color="000000"/>
          <w:lang w:eastAsia="zh-CN"/>
        </w:rPr>
        <w:t>曲阳县应急管理局</w:t>
      </w:r>
      <w:r>
        <w:rPr>
          <w:rFonts w:hint="eastAsia" w:asciiTheme="minorEastAsia" w:hAnsiTheme="minorEastAsia" w:eastAsiaTheme="minorEastAsia" w:cstheme="minorEastAsia"/>
          <w:b/>
          <w:color w:val="auto"/>
          <w:sz w:val="32"/>
          <w:szCs w:val="32"/>
          <w:u w:color="000000"/>
        </w:rPr>
        <w:t>预算收入与决算收入对比图</w:t>
      </w:r>
      <w:bookmarkStart w:id="12" w:name="_Toc18197"/>
    </w:p>
    <w:p>
      <w:pPr>
        <w:spacing w:after="0" w:line="360" w:lineRule="auto"/>
        <w:jc w:val="center"/>
        <w:rPr>
          <w:rFonts w:hint="eastAsia" w:ascii="仿宋_GB2312" w:eastAsia="仿宋_GB2312" w:cs="DengXian-Regular"/>
          <w:color w:val="auto"/>
          <w:sz w:val="32"/>
          <w:szCs w:val="32"/>
          <w:lang w:val="en-US" w:eastAsia="zh-CN"/>
        </w:rPr>
      </w:pPr>
      <w:r>
        <w:rPr>
          <w:rFonts w:hint="eastAsia" w:ascii="仿宋_GB2312" w:eastAsia="仿宋_GB2312" w:cs="DengXian-Regular"/>
          <w:color w:val="auto"/>
          <w:sz w:val="32"/>
          <w:szCs w:val="32"/>
          <w:lang w:val="en-US" w:eastAsia="zh-CN"/>
        </w:rPr>
        <w:t xml:space="preserve">                                   单位：万元</w:t>
      </w:r>
    </w:p>
    <w:p>
      <w:pPr>
        <w:spacing w:after="0" w:line="360" w:lineRule="auto"/>
        <w:jc w:val="center"/>
        <w:rPr>
          <w:rFonts w:hint="eastAsia" w:ascii="仿宋_GB2312" w:hAnsiTheme="minorEastAsia"/>
          <w:color w:val="auto"/>
          <w:sz w:val="32"/>
        </w:rPr>
      </w:pPr>
      <w:r>
        <w:drawing>
          <wp:inline distT="0" distB="0" distL="114300" distR="114300">
            <wp:extent cx="5013325" cy="4685665"/>
            <wp:effectExtent l="4445" t="4445" r="11430" b="5715"/>
            <wp:docPr id="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5"/>
        <w:spacing w:before="0" w:after="0"/>
        <w:ind w:firstLine="643" w:firstLineChars="200"/>
        <w:jc w:val="both"/>
        <w:rPr>
          <w:color w:val="auto"/>
        </w:rPr>
      </w:pPr>
      <w:r>
        <w:rPr>
          <w:rFonts w:hint="eastAsia" w:ascii="仿宋_GB2312" w:hAnsiTheme="minorEastAsia"/>
          <w:color w:val="auto"/>
          <w:sz w:val="32"/>
        </w:rPr>
        <w:t>（四）预算支出及决算</w:t>
      </w:r>
      <w:bookmarkEnd w:id="10"/>
      <w:bookmarkEnd w:id="11"/>
      <w:r>
        <w:rPr>
          <w:rFonts w:hint="eastAsia" w:ascii="仿宋_GB2312" w:hAnsiTheme="minorEastAsia"/>
          <w:color w:val="auto"/>
          <w:sz w:val="32"/>
        </w:rPr>
        <w:t>支出</w:t>
      </w:r>
      <w:bookmarkEnd w:id="12"/>
    </w:p>
    <w:p>
      <w:pPr>
        <w:spacing w:after="0" w:line="360" w:lineRule="auto"/>
        <w:ind w:firstLine="640" w:firstLineChars="200"/>
        <w:jc w:val="both"/>
        <w:rPr>
          <w:rFonts w:hint="eastAsia" w:ascii="仿宋_GB2312" w:eastAsia="仿宋_GB2312" w:cs="Times New Roman" w:hAnsiTheme="minorEastAsia"/>
          <w:color w:val="auto"/>
          <w:sz w:val="32"/>
          <w:szCs w:val="32"/>
          <w:highlight w:val="none"/>
          <w:u w:color="000000"/>
        </w:rPr>
      </w:pPr>
      <w:r>
        <w:rPr>
          <w:rFonts w:hint="eastAsia" w:ascii="仿宋_GB2312" w:eastAsia="仿宋_GB2312" w:cs="Times New Roman" w:hAnsiTheme="minorEastAsia"/>
          <w:color w:val="auto"/>
          <w:sz w:val="32"/>
          <w:szCs w:val="32"/>
          <w:u w:color="000000"/>
          <w:lang w:eastAsia="zh-CN"/>
        </w:rPr>
        <w:t>202</w:t>
      </w:r>
      <w:r>
        <w:rPr>
          <w:rFonts w:hint="eastAsia" w:ascii="仿宋_GB2312" w:eastAsia="仿宋_GB2312" w:cs="Times New Roman" w:hAnsiTheme="minorEastAsia"/>
          <w:color w:val="auto"/>
          <w:sz w:val="32"/>
          <w:szCs w:val="32"/>
          <w:u w:color="000000"/>
          <w:lang w:val="en-US" w:eastAsia="zh-CN"/>
        </w:rPr>
        <w:t>1</w:t>
      </w:r>
      <w:r>
        <w:rPr>
          <w:rFonts w:hint="eastAsia" w:ascii="仿宋_GB2312" w:eastAsia="仿宋_GB2312" w:cs="Times New Roman" w:hAnsiTheme="minorEastAsia"/>
          <w:color w:val="auto"/>
          <w:sz w:val="32"/>
          <w:szCs w:val="32"/>
          <w:u w:color="000000"/>
        </w:rPr>
        <w:t>年</w:t>
      </w:r>
      <w:r>
        <w:rPr>
          <w:rFonts w:hint="eastAsia" w:ascii="仿宋_GB2312" w:eastAsia="仿宋_GB2312" w:cs="Times New Roman" w:hAnsiTheme="minorEastAsia"/>
          <w:color w:val="auto"/>
          <w:sz w:val="32"/>
          <w:szCs w:val="32"/>
          <w:u w:color="000000"/>
          <w:lang w:eastAsia="zh-CN"/>
        </w:rPr>
        <w:t>曲阳县应急管理局</w:t>
      </w:r>
      <w:r>
        <w:rPr>
          <w:rFonts w:hint="eastAsia" w:ascii="仿宋_GB2312" w:eastAsia="仿宋_GB2312" w:cs="Times New Roman" w:hAnsiTheme="minorEastAsia"/>
          <w:color w:val="auto"/>
          <w:sz w:val="32"/>
          <w:szCs w:val="32"/>
          <w:u w:color="000000"/>
        </w:rPr>
        <w:t>预算支出安排</w:t>
      </w:r>
      <w:r>
        <w:rPr>
          <w:rFonts w:hint="eastAsia" w:ascii="仿宋_GB2312" w:eastAsia="仿宋_GB2312" w:cs="Times New Roman" w:hAnsiTheme="minorEastAsia"/>
          <w:color w:val="auto"/>
          <w:sz w:val="32"/>
          <w:szCs w:val="32"/>
          <w:u w:color="000000"/>
          <w:lang w:val="en-US" w:eastAsia="zh-CN"/>
        </w:rPr>
        <w:t>1414.91</w:t>
      </w:r>
      <w:r>
        <w:rPr>
          <w:rFonts w:hint="eastAsia" w:ascii="仿宋_GB2312" w:eastAsia="仿宋_GB2312" w:cs="Times New Roman" w:hAnsiTheme="minorEastAsia"/>
          <w:color w:val="auto"/>
          <w:sz w:val="32"/>
          <w:szCs w:val="32"/>
          <w:u w:color="000000"/>
        </w:rPr>
        <w:t>万元，其中：基本支出</w:t>
      </w:r>
      <w:r>
        <w:rPr>
          <w:rFonts w:hint="eastAsia" w:ascii="仿宋_GB2312" w:eastAsia="仿宋_GB2312" w:cs="Times New Roman" w:hAnsiTheme="minorEastAsia"/>
          <w:color w:val="auto"/>
          <w:sz w:val="32"/>
          <w:szCs w:val="32"/>
          <w:u w:color="000000"/>
          <w:lang w:val="en-US" w:eastAsia="zh-CN"/>
        </w:rPr>
        <w:t>1256.46</w:t>
      </w:r>
      <w:r>
        <w:rPr>
          <w:rFonts w:hint="eastAsia" w:ascii="仿宋_GB2312" w:eastAsia="仿宋_GB2312" w:cs="Times New Roman" w:hAnsiTheme="minorEastAsia"/>
          <w:color w:val="auto"/>
          <w:sz w:val="32"/>
          <w:szCs w:val="32"/>
          <w:u w:color="000000"/>
        </w:rPr>
        <w:t>万元，项目支出</w:t>
      </w:r>
      <w:r>
        <w:rPr>
          <w:rFonts w:hint="eastAsia" w:ascii="仿宋_GB2312" w:eastAsia="仿宋_GB2312" w:cs="Times New Roman" w:hAnsiTheme="minorEastAsia"/>
          <w:color w:val="auto"/>
          <w:sz w:val="32"/>
          <w:szCs w:val="32"/>
          <w:u w:color="000000"/>
          <w:lang w:val="en-US" w:eastAsia="zh-CN"/>
        </w:rPr>
        <w:t>158.45</w:t>
      </w:r>
      <w:r>
        <w:rPr>
          <w:rFonts w:hint="eastAsia" w:ascii="仿宋_GB2312" w:eastAsia="仿宋_GB2312" w:cs="Times New Roman" w:hAnsiTheme="minorEastAsia"/>
          <w:color w:val="auto"/>
          <w:sz w:val="32"/>
          <w:szCs w:val="32"/>
          <w:u w:color="000000"/>
        </w:rPr>
        <w:t>万元。预算支出按功能分类包含：社会保障和就业支出133.13万元；卫生健康支出4</w:t>
      </w:r>
      <w:r>
        <w:rPr>
          <w:rFonts w:hint="eastAsia" w:ascii="仿宋_GB2312" w:eastAsia="仿宋_GB2312" w:cs="Times New Roman" w:hAnsiTheme="minorEastAsia"/>
          <w:color w:val="auto"/>
          <w:sz w:val="32"/>
          <w:szCs w:val="32"/>
          <w:u w:color="000000"/>
          <w:lang w:val="en-US" w:eastAsia="zh-CN"/>
        </w:rPr>
        <w:t>5</w:t>
      </w:r>
      <w:r>
        <w:rPr>
          <w:rFonts w:hint="eastAsia" w:ascii="仿宋_GB2312" w:eastAsia="仿宋_GB2312" w:cs="Times New Roman" w:hAnsiTheme="minorEastAsia"/>
          <w:color w:val="auto"/>
          <w:sz w:val="32"/>
          <w:szCs w:val="32"/>
          <w:u w:color="000000"/>
        </w:rPr>
        <w:t>.44万元；住房保障支出75.96万元；灾害防治及应急管理支出1001.93万元；其他支出158.45万元。具体预算支出</w:t>
      </w:r>
      <w:r>
        <w:rPr>
          <w:rFonts w:hint="eastAsia" w:ascii="仿宋_GB2312" w:eastAsia="仿宋_GB2312" w:cs="Times New Roman" w:hAnsiTheme="minorEastAsia"/>
          <w:color w:val="auto"/>
          <w:sz w:val="32"/>
          <w:szCs w:val="32"/>
          <w:highlight w:val="none"/>
          <w:u w:color="000000"/>
        </w:rPr>
        <w:t>详见附件2。</w:t>
      </w:r>
    </w:p>
    <w:p>
      <w:pPr>
        <w:spacing w:after="0" w:line="360" w:lineRule="auto"/>
        <w:ind w:firstLine="640" w:firstLineChars="200"/>
        <w:jc w:val="both"/>
        <w:rPr>
          <w:color w:val="auto"/>
        </w:rPr>
      </w:pPr>
      <w:r>
        <w:rPr>
          <w:rFonts w:hint="eastAsia" w:ascii="仿宋_GB2312" w:eastAsia="仿宋_GB2312" w:cs="Times New Roman" w:hAnsiTheme="minorEastAsia"/>
          <w:color w:val="auto"/>
          <w:sz w:val="32"/>
          <w:szCs w:val="32"/>
          <w:u w:color="000000"/>
          <w:lang w:eastAsia="zh-CN"/>
        </w:rPr>
        <w:t>202</w:t>
      </w:r>
      <w:r>
        <w:rPr>
          <w:rFonts w:hint="eastAsia" w:ascii="仿宋_GB2312" w:eastAsia="仿宋_GB2312" w:cs="Times New Roman" w:hAnsiTheme="minorEastAsia"/>
          <w:color w:val="auto"/>
          <w:sz w:val="32"/>
          <w:szCs w:val="32"/>
          <w:u w:color="000000"/>
          <w:lang w:val="en-US" w:eastAsia="zh-CN"/>
        </w:rPr>
        <w:t>1</w:t>
      </w:r>
      <w:r>
        <w:rPr>
          <w:rFonts w:hint="eastAsia" w:ascii="仿宋_GB2312" w:eastAsia="仿宋_GB2312" w:cs="Times New Roman" w:hAnsiTheme="minorEastAsia"/>
          <w:color w:val="auto"/>
          <w:sz w:val="32"/>
          <w:szCs w:val="32"/>
          <w:u w:color="000000"/>
        </w:rPr>
        <w:t>年</w:t>
      </w:r>
      <w:r>
        <w:rPr>
          <w:rFonts w:hint="eastAsia" w:ascii="仿宋_GB2312" w:eastAsia="仿宋_GB2312" w:cs="Times New Roman" w:hAnsiTheme="minorEastAsia"/>
          <w:color w:val="auto"/>
          <w:sz w:val="32"/>
          <w:szCs w:val="32"/>
          <w:u w:color="000000"/>
          <w:lang w:eastAsia="zh-CN"/>
        </w:rPr>
        <w:t>曲阳县应急管理局</w:t>
      </w:r>
      <w:r>
        <w:rPr>
          <w:rFonts w:hint="eastAsia" w:ascii="仿宋_GB2312" w:eastAsia="仿宋_GB2312" w:cs="Times New Roman" w:hAnsiTheme="minorEastAsia"/>
          <w:color w:val="auto"/>
          <w:sz w:val="32"/>
          <w:szCs w:val="32"/>
          <w:u w:color="000000"/>
        </w:rPr>
        <w:t>决算支出为</w:t>
      </w:r>
      <w:r>
        <w:rPr>
          <w:rFonts w:hint="eastAsia" w:ascii="仿宋_GB2312" w:eastAsia="仿宋_GB2312" w:cs="Times New Roman" w:hAnsiTheme="minorEastAsia"/>
          <w:color w:val="auto"/>
          <w:sz w:val="32"/>
          <w:szCs w:val="32"/>
          <w:u w:color="000000"/>
          <w:lang w:val="en-US" w:eastAsia="zh-CN"/>
        </w:rPr>
        <w:t>1564.52</w:t>
      </w:r>
      <w:r>
        <w:rPr>
          <w:rFonts w:hint="eastAsia" w:ascii="仿宋_GB2312" w:eastAsia="仿宋_GB2312" w:cs="Times New Roman" w:hAnsiTheme="minorEastAsia"/>
          <w:color w:val="auto"/>
          <w:sz w:val="32"/>
          <w:szCs w:val="32"/>
          <w:u w:color="000000"/>
        </w:rPr>
        <w:t>万元，其中：基本支出</w:t>
      </w:r>
      <w:r>
        <w:rPr>
          <w:rFonts w:hint="eastAsia" w:ascii="仿宋_GB2312" w:eastAsia="仿宋_GB2312" w:cs="Times New Roman" w:hAnsiTheme="minorEastAsia"/>
          <w:color w:val="auto"/>
          <w:sz w:val="32"/>
          <w:szCs w:val="32"/>
          <w:u w:color="000000"/>
          <w:lang w:val="en-US" w:eastAsia="zh-CN"/>
        </w:rPr>
        <w:t>1374.61</w:t>
      </w:r>
      <w:r>
        <w:rPr>
          <w:rFonts w:hint="eastAsia" w:ascii="仿宋_GB2312" w:eastAsia="仿宋_GB2312" w:cs="Times New Roman" w:hAnsiTheme="minorEastAsia"/>
          <w:color w:val="auto"/>
          <w:sz w:val="32"/>
          <w:szCs w:val="32"/>
          <w:u w:color="000000"/>
        </w:rPr>
        <w:t>万元，项目支出</w:t>
      </w:r>
      <w:r>
        <w:rPr>
          <w:rFonts w:hint="eastAsia" w:ascii="仿宋_GB2312" w:eastAsia="仿宋_GB2312" w:cs="Times New Roman" w:hAnsiTheme="minorEastAsia"/>
          <w:color w:val="auto"/>
          <w:sz w:val="32"/>
          <w:szCs w:val="32"/>
          <w:u w:color="000000"/>
          <w:lang w:val="en-US" w:eastAsia="zh-CN"/>
        </w:rPr>
        <w:t>189.91</w:t>
      </w:r>
      <w:r>
        <w:rPr>
          <w:rFonts w:hint="eastAsia" w:ascii="仿宋_GB2312" w:eastAsia="仿宋_GB2312" w:cs="Times New Roman" w:hAnsiTheme="minorEastAsia"/>
          <w:color w:val="auto"/>
          <w:sz w:val="32"/>
          <w:szCs w:val="32"/>
          <w:u w:color="000000"/>
        </w:rPr>
        <w:t>万元。决算支出按功能分类包含：</w:t>
      </w:r>
      <w:r>
        <w:rPr>
          <w:rFonts w:hint="eastAsia" w:ascii="仿宋_GB2312" w:eastAsia="仿宋_GB2312" w:cs="Times New Roman" w:hAnsiTheme="minorEastAsia"/>
          <w:color w:val="auto"/>
          <w:sz w:val="32"/>
          <w:szCs w:val="32"/>
          <w:u w:color="000000"/>
          <w:lang w:val="en-US" w:eastAsia="zh-CN"/>
        </w:rPr>
        <w:t>科学技术支出8.99万元，占比0.57% ；</w:t>
      </w:r>
      <w:r>
        <w:rPr>
          <w:rFonts w:hint="eastAsia" w:ascii="仿宋_GB2312" w:eastAsia="仿宋_GB2312" w:cs="Times New Roman" w:hAnsiTheme="minorEastAsia"/>
          <w:color w:val="auto"/>
          <w:sz w:val="32"/>
          <w:szCs w:val="32"/>
          <w:u w:color="000000"/>
        </w:rPr>
        <w:t>社会保障和就业支出</w:t>
      </w:r>
      <w:r>
        <w:rPr>
          <w:rFonts w:hint="eastAsia" w:ascii="仿宋_GB2312" w:eastAsia="仿宋_GB2312" w:cs="Times New Roman" w:hAnsiTheme="minorEastAsia"/>
          <w:color w:val="auto"/>
          <w:sz w:val="32"/>
          <w:szCs w:val="32"/>
          <w:u w:color="000000"/>
          <w:lang w:val="en-US" w:eastAsia="zh-CN"/>
        </w:rPr>
        <w:t>216.52</w:t>
      </w:r>
      <w:r>
        <w:rPr>
          <w:rFonts w:hint="eastAsia" w:ascii="仿宋_GB2312" w:eastAsia="仿宋_GB2312" w:cs="Times New Roman" w:hAnsiTheme="minorEastAsia"/>
          <w:color w:val="auto"/>
          <w:sz w:val="32"/>
          <w:szCs w:val="32"/>
          <w:u w:color="000000"/>
        </w:rPr>
        <w:t>万元，占比</w:t>
      </w:r>
      <w:r>
        <w:rPr>
          <w:rFonts w:hint="eastAsia" w:ascii="仿宋_GB2312" w:eastAsia="仿宋_GB2312" w:cs="Times New Roman" w:hAnsiTheme="minorEastAsia"/>
          <w:color w:val="auto"/>
          <w:sz w:val="32"/>
          <w:szCs w:val="32"/>
          <w:u w:color="000000"/>
          <w:lang w:val="en-US" w:eastAsia="zh-CN"/>
        </w:rPr>
        <w:t>13.84%</w:t>
      </w:r>
      <w:r>
        <w:rPr>
          <w:rFonts w:hint="eastAsia" w:ascii="仿宋_GB2312" w:eastAsia="仿宋_GB2312" w:cs="Times New Roman" w:hAnsiTheme="minorEastAsia"/>
          <w:color w:val="auto"/>
          <w:sz w:val="32"/>
          <w:szCs w:val="32"/>
          <w:u w:color="000000"/>
        </w:rPr>
        <w:t>；卫生健康支出</w:t>
      </w:r>
      <w:r>
        <w:rPr>
          <w:rFonts w:hint="eastAsia" w:ascii="仿宋_GB2312" w:eastAsia="仿宋_GB2312" w:cs="Times New Roman" w:hAnsiTheme="minorEastAsia"/>
          <w:color w:val="auto"/>
          <w:sz w:val="32"/>
          <w:szCs w:val="32"/>
          <w:u w:color="000000"/>
          <w:lang w:val="en-US" w:eastAsia="zh-CN"/>
        </w:rPr>
        <w:t>44.50</w:t>
      </w:r>
      <w:r>
        <w:rPr>
          <w:rFonts w:hint="eastAsia" w:ascii="仿宋_GB2312" w:eastAsia="仿宋_GB2312" w:cs="Times New Roman" w:hAnsiTheme="minorEastAsia"/>
          <w:color w:val="auto"/>
          <w:sz w:val="32"/>
          <w:szCs w:val="32"/>
          <w:u w:color="000000"/>
        </w:rPr>
        <w:t>万元，占比</w:t>
      </w:r>
      <w:r>
        <w:rPr>
          <w:rFonts w:hint="eastAsia" w:ascii="仿宋_GB2312" w:eastAsia="仿宋_GB2312" w:cs="Times New Roman" w:hAnsiTheme="minorEastAsia"/>
          <w:color w:val="auto"/>
          <w:sz w:val="32"/>
          <w:szCs w:val="32"/>
          <w:u w:color="000000"/>
          <w:lang w:val="en-US" w:eastAsia="zh-CN"/>
        </w:rPr>
        <w:t>2.84</w:t>
      </w:r>
      <w:r>
        <w:rPr>
          <w:rFonts w:hint="eastAsia" w:ascii="仿宋_GB2312" w:eastAsia="仿宋_GB2312" w:cs="Times New Roman" w:hAnsiTheme="minorEastAsia"/>
          <w:color w:val="auto"/>
          <w:sz w:val="32"/>
          <w:szCs w:val="32"/>
          <w:u w:color="000000"/>
        </w:rPr>
        <w:t>%；</w:t>
      </w:r>
      <w:r>
        <w:rPr>
          <w:rFonts w:hint="eastAsia" w:ascii="仿宋_GB2312" w:eastAsia="仿宋_GB2312" w:cs="Times New Roman" w:hAnsiTheme="minorEastAsia"/>
          <w:color w:val="auto"/>
          <w:sz w:val="32"/>
          <w:szCs w:val="32"/>
          <w:u w:color="000000"/>
          <w:lang w:val="en-US" w:eastAsia="zh-CN"/>
        </w:rPr>
        <w:t>农林水</w:t>
      </w:r>
      <w:r>
        <w:rPr>
          <w:rFonts w:hint="eastAsia" w:ascii="仿宋_GB2312" w:eastAsia="仿宋_GB2312" w:cs="Times New Roman" w:hAnsiTheme="minorEastAsia"/>
          <w:color w:val="auto"/>
          <w:sz w:val="32"/>
          <w:szCs w:val="32"/>
          <w:u w:color="000000"/>
          <w:lang w:eastAsia="zh-CN"/>
        </w:rPr>
        <w:t>支出</w:t>
      </w:r>
      <w:r>
        <w:rPr>
          <w:rFonts w:hint="eastAsia" w:ascii="仿宋_GB2312" w:eastAsia="仿宋_GB2312" w:cs="Times New Roman" w:hAnsiTheme="minorEastAsia"/>
          <w:color w:val="auto"/>
          <w:sz w:val="32"/>
          <w:szCs w:val="32"/>
          <w:u w:color="000000"/>
          <w:lang w:val="en-US" w:eastAsia="zh-CN"/>
        </w:rPr>
        <w:t>17.80万元，占比1.14%；</w:t>
      </w:r>
      <w:r>
        <w:rPr>
          <w:rFonts w:hint="eastAsia" w:ascii="仿宋_GB2312" w:eastAsia="仿宋_GB2312" w:cs="Times New Roman" w:hAnsiTheme="minorEastAsia"/>
          <w:color w:val="auto"/>
          <w:sz w:val="32"/>
          <w:szCs w:val="32"/>
          <w:u w:color="000000"/>
        </w:rPr>
        <w:t>住房保障支出</w:t>
      </w:r>
      <w:r>
        <w:rPr>
          <w:rFonts w:hint="eastAsia" w:ascii="仿宋_GB2312" w:eastAsia="仿宋_GB2312" w:cs="Times New Roman" w:hAnsiTheme="minorEastAsia"/>
          <w:color w:val="auto"/>
          <w:sz w:val="32"/>
          <w:szCs w:val="32"/>
          <w:u w:color="000000"/>
          <w:lang w:val="en-US" w:eastAsia="zh-CN"/>
        </w:rPr>
        <w:t>78.30</w:t>
      </w:r>
      <w:r>
        <w:rPr>
          <w:rFonts w:hint="eastAsia" w:ascii="仿宋_GB2312" w:eastAsia="仿宋_GB2312" w:cs="Times New Roman" w:hAnsiTheme="minorEastAsia"/>
          <w:color w:val="auto"/>
          <w:sz w:val="32"/>
          <w:szCs w:val="32"/>
          <w:u w:color="000000"/>
        </w:rPr>
        <w:t>万元，占比</w:t>
      </w:r>
      <w:r>
        <w:rPr>
          <w:rFonts w:hint="eastAsia" w:ascii="仿宋_GB2312" w:eastAsia="仿宋_GB2312" w:cs="Times New Roman" w:hAnsiTheme="minorEastAsia"/>
          <w:color w:val="auto"/>
          <w:sz w:val="32"/>
          <w:szCs w:val="32"/>
          <w:u w:color="000000"/>
          <w:lang w:val="en-US" w:eastAsia="zh-CN"/>
        </w:rPr>
        <w:t>5</w:t>
      </w:r>
      <w:r>
        <w:rPr>
          <w:rFonts w:hint="eastAsia" w:ascii="仿宋_GB2312" w:eastAsia="仿宋_GB2312" w:cs="Times New Roman" w:hAnsiTheme="minorEastAsia"/>
          <w:color w:val="auto"/>
          <w:sz w:val="32"/>
          <w:szCs w:val="32"/>
          <w:u w:color="000000"/>
        </w:rPr>
        <w:t>%</w:t>
      </w:r>
      <w:r>
        <w:rPr>
          <w:rFonts w:hint="eastAsia" w:ascii="仿宋_GB2312" w:eastAsia="仿宋_GB2312" w:cs="Times New Roman" w:hAnsiTheme="minorEastAsia"/>
          <w:color w:val="auto"/>
          <w:sz w:val="32"/>
          <w:szCs w:val="32"/>
          <w:u w:color="000000"/>
          <w:lang w:eastAsia="zh-CN"/>
        </w:rPr>
        <w:t>；</w:t>
      </w:r>
      <w:r>
        <w:rPr>
          <w:rFonts w:hint="eastAsia" w:ascii="仿宋_GB2312" w:eastAsia="仿宋_GB2312" w:cs="Times New Roman" w:hAnsiTheme="minorEastAsia"/>
          <w:color w:val="auto"/>
          <w:sz w:val="32"/>
          <w:szCs w:val="32"/>
          <w:u w:color="000000"/>
          <w:lang w:val="en-US" w:eastAsia="zh-CN"/>
        </w:rPr>
        <w:t>灾害防治及应急管理支出1178.48万元，占比75.33%；其他支出19.94万元，占比1.27%</w:t>
      </w:r>
      <w:r>
        <w:rPr>
          <w:rFonts w:hint="eastAsia" w:ascii="仿宋_GB2312" w:eastAsia="仿宋_GB2312" w:cs="Times New Roman" w:hAnsiTheme="minorEastAsia"/>
          <w:color w:val="auto"/>
          <w:sz w:val="32"/>
          <w:szCs w:val="32"/>
          <w:u w:color="000000"/>
        </w:rPr>
        <w:t>。具体决算支出详见附件2。</w:t>
      </w:r>
    </w:p>
    <w:p>
      <w:pPr>
        <w:spacing w:after="0" w:line="360" w:lineRule="auto"/>
        <w:ind w:firstLine="640" w:firstLineChars="200"/>
        <w:jc w:val="both"/>
        <w:textAlignment w:val="baseline"/>
        <w:rPr>
          <w:rFonts w:ascii="仿宋_GB2312" w:eastAsia="仿宋_GB2312" w:cs="DengXian-Regular"/>
          <w:color w:val="auto"/>
          <w:sz w:val="32"/>
          <w:szCs w:val="32"/>
          <w:highlight w:val="yellow"/>
        </w:rPr>
      </w:pPr>
      <w:r>
        <w:rPr>
          <w:rFonts w:hint="eastAsia" w:ascii="仿宋_GB2312" w:eastAsia="仿宋_GB2312" w:cs="DengXian-Regular"/>
          <w:color w:val="auto"/>
          <w:sz w:val="32"/>
          <w:szCs w:val="32"/>
        </w:rPr>
        <w:t>财政拨款决算支出比年初预算</w:t>
      </w:r>
      <w:r>
        <w:rPr>
          <w:rFonts w:hint="eastAsia" w:ascii="仿宋_GB2312" w:eastAsia="仿宋_GB2312" w:cs="DengXian-Regular"/>
          <w:color w:val="auto"/>
          <w:sz w:val="32"/>
          <w:szCs w:val="32"/>
          <w:lang w:eastAsia="zh-CN"/>
        </w:rPr>
        <w:t>增加</w:t>
      </w:r>
      <w:r>
        <w:rPr>
          <w:rFonts w:hint="eastAsia" w:ascii="仿宋_GB2312" w:eastAsia="仿宋_GB2312" w:cs="DengXian-Regular"/>
          <w:color w:val="auto"/>
          <w:sz w:val="32"/>
          <w:szCs w:val="32"/>
          <w:lang w:val="en-US" w:eastAsia="zh-CN"/>
        </w:rPr>
        <w:t>149.61</w:t>
      </w:r>
      <w:r>
        <w:rPr>
          <w:rFonts w:hint="eastAsia" w:ascii="仿宋_GB2312" w:eastAsia="仿宋_GB2312" w:cs="DengXian-Regular"/>
          <w:color w:val="auto"/>
          <w:sz w:val="32"/>
          <w:szCs w:val="32"/>
        </w:rPr>
        <w:t>万元。决算支出完成年初预算的</w:t>
      </w:r>
      <w:r>
        <w:rPr>
          <w:rFonts w:hint="eastAsia" w:ascii="仿宋_GB2312" w:eastAsia="仿宋_GB2312" w:cs="DengXian-Regular"/>
          <w:color w:val="auto"/>
          <w:sz w:val="32"/>
          <w:szCs w:val="32"/>
          <w:lang w:val="en-US" w:eastAsia="zh-CN"/>
        </w:rPr>
        <w:t>110.57</w:t>
      </w:r>
      <w:r>
        <w:rPr>
          <w:rFonts w:hint="eastAsia" w:ascii="仿宋_GB2312" w:eastAsia="仿宋_GB2312" w:cs="DengXian-Regular"/>
          <w:color w:val="auto"/>
          <w:sz w:val="32"/>
          <w:szCs w:val="32"/>
        </w:rPr>
        <w:t>%。</w:t>
      </w:r>
      <w:r>
        <w:rPr>
          <w:rFonts w:hint="eastAsia" w:ascii="仿宋_GB2312" w:eastAsia="仿宋_GB2312" w:cs="Times New Roman" w:hAnsiTheme="minorEastAsia"/>
          <w:color w:val="auto"/>
          <w:sz w:val="32"/>
          <w:szCs w:val="32"/>
          <w:highlight w:val="none"/>
          <w:u w:color="000000"/>
        </w:rPr>
        <w:t>决算支出</w:t>
      </w:r>
      <w:r>
        <w:rPr>
          <w:rFonts w:hint="eastAsia" w:ascii="仿宋_GB2312" w:eastAsia="仿宋_GB2312" w:cs="Times New Roman" w:hAnsiTheme="minorEastAsia"/>
          <w:color w:val="auto"/>
          <w:sz w:val="32"/>
          <w:szCs w:val="32"/>
          <w:highlight w:val="none"/>
          <w:u w:color="000000"/>
          <w:lang w:eastAsia="zh-CN"/>
        </w:rPr>
        <w:t>大于</w:t>
      </w:r>
      <w:r>
        <w:rPr>
          <w:rFonts w:hint="eastAsia" w:ascii="仿宋_GB2312" w:eastAsia="仿宋_GB2312" w:cs="Times New Roman" w:hAnsiTheme="minorEastAsia"/>
          <w:color w:val="auto"/>
          <w:sz w:val="32"/>
          <w:szCs w:val="32"/>
          <w:highlight w:val="none"/>
          <w:u w:color="000000"/>
        </w:rPr>
        <w:t>预算支出的</w:t>
      </w:r>
      <w:r>
        <w:rPr>
          <w:rFonts w:hint="eastAsia" w:ascii="仿宋_GB2312" w:eastAsia="仿宋_GB2312" w:cs="DengXian-Regular"/>
          <w:color w:val="auto"/>
          <w:sz w:val="32"/>
          <w:szCs w:val="32"/>
          <w:highlight w:val="none"/>
        </w:rPr>
        <w:t>主要原因</w:t>
      </w:r>
      <w:r>
        <w:rPr>
          <w:rFonts w:hint="eastAsia" w:ascii="仿宋_GB2312" w:eastAsia="仿宋_GB2312" w:cs="DengXian-Regular"/>
          <w:color w:val="auto"/>
          <w:sz w:val="32"/>
          <w:szCs w:val="32"/>
          <w:highlight w:val="none"/>
          <w:lang w:eastAsia="zh-CN"/>
        </w:rPr>
        <w:t>：</w:t>
      </w:r>
      <w:r>
        <w:rPr>
          <w:rFonts w:hint="eastAsia" w:ascii="仿宋_GB2312" w:eastAsia="仿宋_GB2312" w:cs="DengXian-Regular"/>
          <w:color w:val="auto"/>
          <w:sz w:val="32"/>
          <w:szCs w:val="32"/>
          <w:lang w:eastAsia="zh-CN"/>
        </w:rPr>
        <w:t>一是人员增加，二是年中项目增加</w:t>
      </w:r>
      <w:r>
        <w:rPr>
          <w:rFonts w:hint="eastAsia" w:ascii="仿宋_GB2312" w:eastAsia="仿宋_GB2312" w:cs="DengXian-Regular"/>
          <w:color w:val="auto"/>
          <w:sz w:val="32"/>
          <w:szCs w:val="32"/>
        </w:rPr>
        <w:t>。</w:t>
      </w:r>
    </w:p>
    <w:p>
      <w:pPr>
        <w:spacing w:after="0" w:line="360" w:lineRule="auto"/>
        <w:ind w:firstLine="640" w:firstLineChars="200"/>
        <w:jc w:val="both"/>
        <w:rPr>
          <w:rFonts w:hint="eastAsia" w:ascii="仿宋" w:hAnsi="仿宋" w:eastAsia="仿宋"/>
          <w:snapToGrid w:val="0"/>
          <w:color w:val="auto"/>
          <w:sz w:val="32"/>
          <w:szCs w:val="32"/>
        </w:rPr>
      </w:pPr>
      <w:r>
        <w:rPr>
          <w:rFonts w:hint="eastAsia" w:ascii="仿宋" w:hAnsi="仿宋" w:eastAsia="仿宋"/>
          <w:snapToGrid w:val="0"/>
          <w:color w:val="auto"/>
          <w:sz w:val="32"/>
          <w:szCs w:val="32"/>
        </w:rPr>
        <w:t>预算支出与决算支出对比情况如图</w:t>
      </w:r>
      <w:r>
        <w:rPr>
          <w:rFonts w:hint="eastAsia" w:ascii="仿宋" w:hAnsi="仿宋" w:eastAsia="仿宋"/>
          <w:snapToGrid w:val="0"/>
          <w:color w:val="auto"/>
          <w:sz w:val="32"/>
          <w:szCs w:val="32"/>
          <w:lang w:val="en-US" w:eastAsia="zh-CN"/>
        </w:rPr>
        <w:t>2</w:t>
      </w:r>
      <w:r>
        <w:rPr>
          <w:rFonts w:hint="eastAsia" w:ascii="仿宋" w:hAnsi="仿宋" w:eastAsia="仿宋"/>
          <w:snapToGrid w:val="0"/>
          <w:color w:val="auto"/>
          <w:sz w:val="32"/>
          <w:szCs w:val="32"/>
        </w:rPr>
        <w:t>。</w:t>
      </w:r>
    </w:p>
    <w:p>
      <w:pPr>
        <w:pStyle w:val="2"/>
        <w:rPr>
          <w:rFonts w:hint="eastAsia"/>
          <w:color w:val="auto"/>
        </w:rPr>
      </w:pPr>
    </w:p>
    <w:p>
      <w:pPr>
        <w:spacing w:after="0" w:line="360" w:lineRule="auto"/>
        <w:jc w:val="cente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图</w:t>
      </w:r>
      <w:r>
        <w:rPr>
          <w:rFonts w:hint="eastAsia" w:asciiTheme="minorEastAsia" w:hAnsiTheme="minorEastAsia" w:eastAsiaTheme="minorEastAsia" w:cstheme="minorEastAsia"/>
          <w:b/>
          <w:bCs/>
          <w:color w:val="auto"/>
          <w:sz w:val="32"/>
          <w:szCs w:val="32"/>
          <w:lang w:val="en-US" w:eastAsia="zh-CN"/>
        </w:rPr>
        <w:t>2</w:t>
      </w:r>
      <w:r>
        <w:rPr>
          <w:rFonts w:hint="eastAsia" w:asciiTheme="minorEastAsia" w:hAnsiTheme="minorEastAsia" w:eastAsiaTheme="minorEastAsia" w:cstheme="minorEastAsia"/>
          <w:b/>
          <w:bCs/>
          <w:color w:val="auto"/>
          <w:sz w:val="32"/>
          <w:szCs w:val="32"/>
        </w:rPr>
        <w:t xml:space="preserve">  </w:t>
      </w:r>
      <w:r>
        <w:rPr>
          <w:rFonts w:hint="eastAsia" w:asciiTheme="minorEastAsia" w:hAnsiTheme="minorEastAsia" w:eastAsiaTheme="minorEastAsia" w:cstheme="minorEastAsia"/>
          <w:b/>
          <w:bCs/>
          <w:color w:val="auto"/>
          <w:sz w:val="32"/>
          <w:szCs w:val="32"/>
          <w:lang w:eastAsia="zh-CN"/>
        </w:rPr>
        <w:t>202</w:t>
      </w:r>
      <w:r>
        <w:rPr>
          <w:rFonts w:hint="eastAsia" w:asciiTheme="minorEastAsia" w:hAnsiTheme="minorEastAsia" w:eastAsiaTheme="minorEastAsia" w:cstheme="minorEastAsia"/>
          <w:b/>
          <w:bCs/>
          <w:color w:val="auto"/>
          <w:sz w:val="32"/>
          <w:szCs w:val="32"/>
          <w:lang w:val="en-US" w:eastAsia="zh-CN"/>
        </w:rPr>
        <w:t>1</w:t>
      </w:r>
      <w:r>
        <w:rPr>
          <w:rFonts w:hint="eastAsia" w:asciiTheme="minorEastAsia" w:hAnsiTheme="minorEastAsia" w:eastAsiaTheme="minorEastAsia" w:cstheme="minorEastAsia"/>
          <w:b/>
          <w:bCs/>
          <w:color w:val="auto"/>
          <w:sz w:val="32"/>
          <w:szCs w:val="32"/>
        </w:rPr>
        <w:t>年</w:t>
      </w:r>
      <w:r>
        <w:rPr>
          <w:rFonts w:hint="eastAsia" w:asciiTheme="minorEastAsia" w:hAnsiTheme="minorEastAsia" w:eastAsiaTheme="minorEastAsia" w:cstheme="minorEastAsia"/>
          <w:b/>
          <w:bCs/>
          <w:color w:val="auto"/>
          <w:sz w:val="32"/>
          <w:szCs w:val="32"/>
          <w:lang w:eastAsia="zh-CN"/>
        </w:rPr>
        <w:t>曲阳县应急管理局</w:t>
      </w:r>
      <w:r>
        <w:rPr>
          <w:rFonts w:hint="eastAsia" w:asciiTheme="minorEastAsia" w:hAnsiTheme="minorEastAsia" w:eastAsiaTheme="minorEastAsia" w:cstheme="minorEastAsia"/>
          <w:b/>
          <w:bCs/>
          <w:color w:val="auto"/>
          <w:sz w:val="32"/>
          <w:szCs w:val="32"/>
        </w:rPr>
        <w:t>预算支出与决算支出</w:t>
      </w:r>
    </w:p>
    <w:p>
      <w:pPr>
        <w:spacing w:after="0" w:line="360" w:lineRule="auto"/>
        <w:jc w:val="cente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对比图</w:t>
      </w:r>
    </w:p>
    <w:p>
      <w:pPr>
        <w:spacing w:after="0" w:line="360" w:lineRule="auto"/>
        <w:jc w:val="center"/>
        <w:rPr>
          <w:rFonts w:hint="eastAsia" w:ascii="仿宋_GB2312" w:eastAsia="仿宋_GB2312" w:cs="DengXian-Regular"/>
          <w:color w:val="auto"/>
          <w:sz w:val="32"/>
          <w:szCs w:val="32"/>
          <w:lang w:val="en-US" w:eastAsia="zh-CN"/>
        </w:rPr>
      </w:pPr>
      <w:r>
        <w:rPr>
          <w:rFonts w:hint="eastAsia" w:ascii="仿宋_GB2312" w:eastAsia="仿宋_GB2312" w:cs="DengXian-Regular"/>
          <w:color w:val="auto"/>
          <w:sz w:val="32"/>
          <w:szCs w:val="32"/>
          <w:lang w:val="en-US" w:eastAsia="zh-CN"/>
        </w:rPr>
        <w:t xml:space="preserve">                           </w:t>
      </w:r>
    </w:p>
    <w:p>
      <w:pPr>
        <w:spacing w:after="0" w:line="360" w:lineRule="auto"/>
        <w:jc w:val="right"/>
        <w:rPr>
          <w:rFonts w:hint="eastAsia" w:ascii="仿宋_GB2312" w:eastAsia="仿宋_GB2312" w:cs="DengXian-Regular"/>
          <w:color w:val="auto"/>
          <w:sz w:val="32"/>
          <w:szCs w:val="32"/>
          <w:lang w:val="en-US" w:eastAsia="zh-CN"/>
        </w:rPr>
      </w:pPr>
      <w:r>
        <w:rPr>
          <w:rFonts w:hint="eastAsia" w:ascii="仿宋_GB2312" w:eastAsia="仿宋_GB2312" w:cs="DengXian-Regular"/>
          <w:color w:val="auto"/>
          <w:sz w:val="32"/>
          <w:szCs w:val="32"/>
          <w:lang w:val="en-US" w:eastAsia="zh-CN"/>
        </w:rPr>
        <w:t xml:space="preserve">     单位：万元</w:t>
      </w:r>
    </w:p>
    <w:p>
      <w:pPr>
        <w:spacing w:after="0" w:line="360" w:lineRule="auto"/>
        <w:jc w:val="center"/>
        <w:rPr>
          <w:rFonts w:hint="eastAsia" w:ascii="仿宋_GB2312" w:eastAsia="仿宋_GB2312" w:cs="DengXian-Regular"/>
          <w:color w:val="auto"/>
          <w:sz w:val="32"/>
          <w:szCs w:val="32"/>
          <w:lang w:val="en-US" w:eastAsia="zh-CN"/>
        </w:rPr>
      </w:pPr>
      <w:r>
        <w:drawing>
          <wp:inline distT="0" distB="0" distL="114300" distR="114300">
            <wp:extent cx="5274945" cy="2854325"/>
            <wp:effectExtent l="4445" t="4445" r="6985" b="825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after="0" w:line="360" w:lineRule="auto"/>
        <w:jc w:val="both"/>
        <w:rPr>
          <w:rFonts w:hint="default"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 xml:space="preserve"> </w:t>
      </w:r>
    </w:p>
    <w:p>
      <w:pPr>
        <w:spacing w:after="0" w:line="360" w:lineRule="auto"/>
        <w:ind w:firstLine="640" w:firstLineChars="200"/>
        <w:jc w:val="both"/>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年实际项目支出</w:t>
      </w:r>
      <w:r>
        <w:rPr>
          <w:rFonts w:hint="eastAsia" w:ascii="仿宋_GB2312" w:eastAsia="仿宋_GB2312" w:cs="DengXian-Regular"/>
          <w:color w:val="auto"/>
          <w:sz w:val="32"/>
          <w:szCs w:val="32"/>
          <w:highlight w:val="none"/>
          <w:lang w:val="en-US" w:eastAsia="zh-CN"/>
        </w:rPr>
        <w:t>189.91</w:t>
      </w:r>
      <w:r>
        <w:rPr>
          <w:rFonts w:hint="eastAsia" w:ascii="仿宋_GB2312" w:eastAsia="仿宋_GB2312" w:cs="DengXian-Regular"/>
          <w:color w:val="auto"/>
          <w:sz w:val="32"/>
          <w:szCs w:val="32"/>
          <w:highlight w:val="none"/>
        </w:rPr>
        <w:t>万元，决算报表中项目支出</w:t>
      </w:r>
      <w:r>
        <w:rPr>
          <w:rFonts w:hint="eastAsia" w:ascii="仿宋_GB2312" w:eastAsia="仿宋_GB2312" w:cs="DengXian-Regular"/>
          <w:color w:val="auto"/>
          <w:sz w:val="32"/>
          <w:szCs w:val="32"/>
          <w:highlight w:val="none"/>
          <w:lang w:val="en-US" w:eastAsia="zh-CN"/>
        </w:rPr>
        <w:t>189.91</w:t>
      </w:r>
      <w:r>
        <w:rPr>
          <w:rFonts w:hint="eastAsia" w:ascii="仿宋_GB2312" w:eastAsia="仿宋_GB2312" w:cs="DengXian-Regular"/>
          <w:color w:val="auto"/>
          <w:sz w:val="32"/>
          <w:szCs w:val="32"/>
          <w:highlight w:val="none"/>
        </w:rPr>
        <w:t>万元，实际支出与决算报表</w:t>
      </w:r>
      <w:r>
        <w:rPr>
          <w:rFonts w:hint="eastAsia" w:ascii="仿宋_GB2312" w:eastAsia="仿宋_GB2312" w:cs="DengXian-Regular"/>
          <w:color w:val="auto"/>
          <w:sz w:val="32"/>
          <w:szCs w:val="32"/>
          <w:highlight w:val="none"/>
          <w:lang w:eastAsia="zh-CN"/>
        </w:rPr>
        <w:t>一致。</w:t>
      </w:r>
    </w:p>
    <w:p>
      <w:pPr>
        <w:pStyle w:val="5"/>
        <w:spacing w:before="0" w:after="0"/>
        <w:ind w:firstLine="643" w:firstLineChars="200"/>
        <w:jc w:val="both"/>
        <w:rPr>
          <w:rFonts w:ascii="仿宋_GB2312" w:hAnsi="Tahoma" w:cs="DengXian-Regular"/>
          <w:color w:val="auto"/>
          <w:sz w:val="32"/>
        </w:rPr>
      </w:pPr>
      <w:bookmarkStart w:id="13" w:name="_Toc19291"/>
      <w:bookmarkStart w:id="14" w:name="_Toc492652769"/>
      <w:bookmarkStart w:id="15" w:name="_Toc465149503"/>
      <w:r>
        <w:rPr>
          <w:rFonts w:hint="eastAsia" w:ascii="仿宋_GB2312" w:hAnsi="Tahoma" w:cs="DengXian-Regular"/>
          <w:color w:val="auto"/>
          <w:sz w:val="32"/>
        </w:rPr>
        <w:t>（五）“三公”经费预算安排及支出情况</w:t>
      </w:r>
      <w:bookmarkEnd w:id="13"/>
      <w:bookmarkEnd w:id="14"/>
      <w:bookmarkEnd w:id="15"/>
    </w:p>
    <w:p>
      <w:pPr>
        <w:spacing w:after="0" w:line="360" w:lineRule="auto"/>
        <w:ind w:firstLine="640" w:firstLineChars="200"/>
        <w:jc w:val="both"/>
        <w:rPr>
          <w:rFonts w:hint="default"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lang w:eastAsia="zh-CN"/>
        </w:rPr>
        <w:t>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“三公”经费预算</w:t>
      </w:r>
      <w:r>
        <w:rPr>
          <w:rFonts w:hint="eastAsia" w:ascii="仿宋_GB2312" w:eastAsia="仿宋_GB2312" w:cs="DengXian-Regular"/>
          <w:color w:val="auto"/>
          <w:sz w:val="32"/>
          <w:szCs w:val="32"/>
          <w:lang w:val="en-US" w:eastAsia="zh-CN"/>
        </w:rPr>
        <w:t>3.6</w:t>
      </w:r>
      <w:r>
        <w:rPr>
          <w:rFonts w:hint="eastAsia" w:ascii="仿宋_GB2312" w:eastAsia="仿宋_GB2312" w:cs="DengXian-Regular"/>
          <w:color w:val="auto"/>
          <w:sz w:val="32"/>
          <w:szCs w:val="32"/>
        </w:rPr>
        <w:t>万元（公务用车运行维护费3.60万元），</w:t>
      </w:r>
      <w:r>
        <w:rPr>
          <w:rFonts w:hint="eastAsia" w:ascii="仿宋_GB2312" w:eastAsia="仿宋_GB2312" w:cs="DengXian-Regular"/>
          <w:color w:val="auto"/>
          <w:sz w:val="32"/>
          <w:szCs w:val="32"/>
          <w:highlight w:val="none"/>
        </w:rPr>
        <w:t>实际支出</w:t>
      </w:r>
      <w:r>
        <w:rPr>
          <w:rFonts w:hint="eastAsia" w:ascii="仿宋_GB2312" w:eastAsia="仿宋_GB2312" w:cs="DengXian-Regular"/>
          <w:color w:val="auto"/>
          <w:sz w:val="32"/>
          <w:szCs w:val="32"/>
          <w:highlight w:val="none"/>
          <w:lang w:val="en-US" w:eastAsia="zh-CN"/>
        </w:rPr>
        <w:t>3.6</w:t>
      </w:r>
      <w:r>
        <w:rPr>
          <w:rFonts w:hint="eastAsia" w:ascii="仿宋_GB2312" w:eastAsia="仿宋_GB2312" w:cs="DengXian-Regular"/>
          <w:color w:val="auto"/>
          <w:sz w:val="32"/>
          <w:szCs w:val="32"/>
          <w:highlight w:val="none"/>
        </w:rPr>
        <w:t>万元（公务用车运行维护费3.60万元），与预算</w:t>
      </w:r>
      <w:r>
        <w:rPr>
          <w:rFonts w:hint="eastAsia" w:ascii="仿宋_GB2312" w:eastAsia="仿宋_GB2312" w:cs="DengXian-Regular"/>
          <w:color w:val="auto"/>
          <w:sz w:val="32"/>
          <w:szCs w:val="32"/>
          <w:highlight w:val="none"/>
          <w:lang w:val="en-US" w:eastAsia="zh-CN"/>
        </w:rPr>
        <w:t>一致</w:t>
      </w:r>
      <w:r>
        <w:rPr>
          <w:rFonts w:hint="eastAsia"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lang w:eastAsia="zh-CN"/>
        </w:rPr>
        <w:t>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年“三公”经费预算数与</w:t>
      </w:r>
      <w:r>
        <w:rPr>
          <w:rFonts w:hint="eastAsia" w:ascii="仿宋_GB2312" w:eastAsia="仿宋_GB2312" w:cs="DengXian-Regular"/>
          <w:color w:val="auto"/>
          <w:sz w:val="32"/>
          <w:szCs w:val="32"/>
          <w:highlight w:val="none"/>
          <w:lang w:eastAsia="zh-CN"/>
        </w:rPr>
        <w:t>20</w:t>
      </w:r>
      <w:r>
        <w:rPr>
          <w:rFonts w:hint="eastAsia" w:ascii="仿宋_GB2312" w:eastAsia="仿宋_GB2312" w:cs="DengXian-Regular"/>
          <w:color w:val="auto"/>
          <w:sz w:val="32"/>
          <w:szCs w:val="32"/>
          <w:highlight w:val="none"/>
          <w:lang w:val="en-US" w:eastAsia="zh-CN"/>
        </w:rPr>
        <w:t>20</w:t>
      </w:r>
      <w:r>
        <w:rPr>
          <w:rFonts w:hint="eastAsia" w:ascii="仿宋_GB2312" w:eastAsia="仿宋_GB2312" w:cs="DengXian-Regular"/>
          <w:color w:val="auto"/>
          <w:sz w:val="32"/>
          <w:szCs w:val="32"/>
          <w:highlight w:val="none"/>
          <w:lang w:eastAsia="zh-CN"/>
        </w:rPr>
        <w:t>年</w:t>
      </w:r>
      <w:r>
        <w:rPr>
          <w:rFonts w:hint="eastAsia" w:ascii="仿宋_GB2312" w:eastAsia="仿宋_GB2312" w:cs="DengXian-Regular"/>
          <w:color w:val="auto"/>
          <w:sz w:val="32"/>
          <w:szCs w:val="32"/>
          <w:highlight w:val="none"/>
        </w:rPr>
        <w:t>预算数</w:t>
      </w:r>
      <w:r>
        <w:rPr>
          <w:rFonts w:hint="eastAsia" w:ascii="仿宋_GB2312" w:eastAsia="仿宋_GB2312" w:cs="DengXian-Regular"/>
          <w:color w:val="auto"/>
          <w:sz w:val="32"/>
          <w:szCs w:val="32"/>
          <w:highlight w:val="none"/>
          <w:lang w:val="en-US" w:eastAsia="zh-CN"/>
        </w:rPr>
        <w:t>相比增加了1.6万元</w:t>
      </w:r>
      <w:r>
        <w:rPr>
          <w:rFonts w:hint="eastAsia"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lang w:val="en-US" w:eastAsia="zh-CN"/>
        </w:rPr>
        <w:t>主要原因为开展应急管理和安全生产检查工作消耗。</w:t>
      </w:r>
    </w:p>
    <w:p>
      <w:pPr>
        <w:spacing w:after="0" w:line="360" w:lineRule="auto"/>
        <w:ind w:firstLine="640" w:firstLineChars="200"/>
        <w:jc w:val="both"/>
        <w:rPr>
          <w:rFonts w:ascii="仿宋_GB2312" w:eastAsia="仿宋_GB2312" w:cs="DengXian-Regular"/>
          <w:color w:val="auto"/>
          <w:sz w:val="32"/>
          <w:szCs w:val="32"/>
        </w:rPr>
      </w:pPr>
      <w:r>
        <w:rPr>
          <w:rFonts w:hint="eastAsia" w:ascii="仿宋_GB2312" w:eastAsia="仿宋_GB2312" w:cs="DengXian-Regular"/>
          <w:color w:val="auto"/>
          <w:sz w:val="32"/>
          <w:szCs w:val="32"/>
          <w:highlight w:val="none"/>
        </w:rPr>
        <w:t>具体详见表1。</w:t>
      </w:r>
    </w:p>
    <w:p>
      <w:pPr>
        <w:spacing w:after="0" w:line="360" w:lineRule="auto"/>
        <w:jc w:val="both"/>
        <w:rPr>
          <w:rFonts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 xml:space="preserve">表1  </w:t>
      </w:r>
      <w:r>
        <w:rPr>
          <w:rFonts w:hint="eastAsia" w:asciiTheme="minorEastAsia" w:hAnsiTheme="minorEastAsia" w:eastAsiaTheme="minorEastAsia" w:cstheme="minorEastAsia"/>
          <w:b/>
          <w:bCs/>
          <w:color w:val="auto"/>
          <w:sz w:val="32"/>
          <w:szCs w:val="32"/>
          <w:lang w:eastAsia="zh-CN"/>
        </w:rPr>
        <w:t>曲阳县应急管理局</w:t>
      </w:r>
      <w:r>
        <w:rPr>
          <w:rFonts w:hint="eastAsia" w:asciiTheme="minorEastAsia" w:hAnsiTheme="minorEastAsia" w:eastAsiaTheme="minorEastAsia" w:cstheme="minorEastAsia"/>
          <w:b/>
          <w:bCs/>
          <w:color w:val="auto"/>
          <w:sz w:val="32"/>
          <w:szCs w:val="32"/>
        </w:rPr>
        <w:t>“三公”经费预算及决算明细表</w:t>
      </w:r>
    </w:p>
    <w:p>
      <w:pPr>
        <w:spacing w:after="0" w:line="540" w:lineRule="exact"/>
        <w:ind w:firstLine="640" w:firstLineChars="200"/>
        <w:jc w:val="both"/>
        <w:rPr>
          <w:rFonts w:hint="eastAsia" w:asciiTheme="minorEastAsia" w:hAnsiTheme="minorEastAsia" w:eastAsiaTheme="minorEastAsia" w:cstheme="minorEastAsia"/>
          <w:color w:val="auto"/>
          <w:sz w:val="21"/>
          <w:szCs w:val="21"/>
        </w:rPr>
      </w:pPr>
      <w:r>
        <w:rPr>
          <w:rFonts w:hint="eastAsia" w:ascii="仿宋_GB2312" w:eastAsia="仿宋_GB2312" w:cs="DengXian-Regular"/>
          <w:color w:val="auto"/>
          <w:sz w:val="32"/>
          <w:szCs w:val="32"/>
        </w:rPr>
        <w:t xml:space="preserve">                                         </w:t>
      </w:r>
      <w:r>
        <w:rPr>
          <w:rFonts w:hint="eastAsia" w:asciiTheme="minorEastAsia" w:hAnsiTheme="minorEastAsia" w:eastAsiaTheme="minorEastAsia" w:cstheme="minorEastAsia"/>
          <w:color w:val="auto"/>
          <w:sz w:val="21"/>
          <w:szCs w:val="21"/>
        </w:rPr>
        <w:t>单位：万元</w:t>
      </w:r>
    </w:p>
    <w:p>
      <w:pPr>
        <w:pStyle w:val="2"/>
        <w:rPr>
          <w:color w:val="auto"/>
        </w:rPr>
      </w:pPr>
    </w:p>
    <w:tbl>
      <w:tblPr>
        <w:tblStyle w:val="23"/>
        <w:tblW w:w="8565" w:type="dxa"/>
        <w:tblInd w:w="0" w:type="dxa"/>
        <w:tblLayout w:type="fixed"/>
        <w:tblCellMar>
          <w:top w:w="0" w:type="dxa"/>
          <w:left w:w="0" w:type="dxa"/>
          <w:bottom w:w="0" w:type="dxa"/>
          <w:right w:w="0" w:type="dxa"/>
        </w:tblCellMar>
      </w:tblPr>
      <w:tblGrid>
        <w:gridCol w:w="549"/>
        <w:gridCol w:w="1818"/>
        <w:gridCol w:w="993"/>
        <w:gridCol w:w="932"/>
        <w:gridCol w:w="1022"/>
        <w:gridCol w:w="947"/>
        <w:gridCol w:w="1149"/>
        <w:gridCol w:w="1155"/>
      </w:tblGrid>
      <w:tr>
        <w:tblPrEx>
          <w:tblCellMar>
            <w:top w:w="0" w:type="dxa"/>
            <w:left w:w="0" w:type="dxa"/>
            <w:bottom w:w="0" w:type="dxa"/>
            <w:right w:w="0" w:type="dxa"/>
          </w:tblCellMar>
        </w:tblPrEx>
        <w:trPr>
          <w:trHeight w:val="626" w:hRule="atLeast"/>
        </w:trPr>
        <w:tc>
          <w:tcPr>
            <w:tcW w:w="549" w:type="dxa"/>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spacing w:after="0"/>
              <w:jc w:val="center"/>
              <w:textAlignment w:val="center"/>
              <w:rPr>
                <w:rFonts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181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宋体" w:hAnsi="宋体" w:eastAsia="宋体" w:cs="宋体"/>
                <w:b/>
                <w:bCs/>
                <w:color w:val="auto"/>
                <w:sz w:val="21"/>
                <w:szCs w:val="21"/>
              </w:rPr>
            </w:pPr>
            <w:r>
              <w:rPr>
                <w:rFonts w:hint="eastAsia" w:ascii="宋体" w:hAnsi="宋体" w:eastAsia="宋体" w:cs="宋体"/>
                <w:b/>
                <w:bCs/>
                <w:color w:val="auto"/>
                <w:sz w:val="21"/>
                <w:szCs w:val="21"/>
              </w:rPr>
              <w:t>支出内容</w:t>
            </w:r>
          </w:p>
        </w:tc>
        <w:tc>
          <w:tcPr>
            <w:tcW w:w="1925"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ind w:firstLine="422" w:firstLineChars="200"/>
              <w:jc w:val="center"/>
              <w:textAlignment w:val="center"/>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20</w:t>
            </w:r>
            <w:r>
              <w:rPr>
                <w:rFonts w:hint="eastAsia" w:ascii="宋体" w:hAnsi="宋体" w:eastAsia="宋体" w:cs="宋体"/>
                <w:b/>
                <w:bCs/>
                <w:color w:val="auto"/>
                <w:sz w:val="21"/>
                <w:szCs w:val="21"/>
                <w:lang w:val="en-US" w:eastAsia="zh-CN"/>
              </w:rPr>
              <w:t>20</w:t>
            </w:r>
            <w:r>
              <w:rPr>
                <w:rFonts w:hint="eastAsia" w:ascii="宋体" w:hAnsi="宋体" w:eastAsia="宋体" w:cs="宋体"/>
                <w:b/>
                <w:bCs/>
                <w:color w:val="auto"/>
                <w:sz w:val="21"/>
                <w:szCs w:val="21"/>
                <w:lang w:eastAsia="zh-CN"/>
              </w:rPr>
              <w:t>年</w:t>
            </w:r>
          </w:p>
        </w:tc>
        <w:tc>
          <w:tcPr>
            <w:tcW w:w="1969"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ind w:firstLine="422" w:firstLineChars="200"/>
              <w:jc w:val="center"/>
              <w:textAlignment w:val="center"/>
              <w:rPr>
                <w:rFonts w:ascii="宋体" w:hAnsi="宋体" w:eastAsia="宋体" w:cs="宋体"/>
                <w:b/>
                <w:bCs/>
                <w:color w:val="auto"/>
                <w:sz w:val="21"/>
                <w:szCs w:val="21"/>
              </w:rPr>
            </w:pPr>
            <w:r>
              <w:rPr>
                <w:rFonts w:hint="eastAsia" w:ascii="宋体" w:hAnsi="宋体" w:eastAsia="宋体" w:cs="宋体"/>
                <w:b/>
                <w:bCs/>
                <w:color w:val="auto"/>
                <w:sz w:val="21"/>
                <w:szCs w:val="21"/>
                <w:lang w:eastAsia="zh-CN"/>
              </w:rPr>
              <w:t>202</w:t>
            </w:r>
            <w:r>
              <w:rPr>
                <w:rFonts w:hint="eastAsia" w:ascii="宋体" w:hAnsi="宋体" w:eastAsia="宋体" w:cs="宋体"/>
                <w:b/>
                <w:bCs/>
                <w:color w:val="auto"/>
                <w:sz w:val="21"/>
                <w:szCs w:val="21"/>
                <w:lang w:val="en-US" w:eastAsia="zh-CN"/>
              </w:rPr>
              <w:t>1</w:t>
            </w:r>
            <w:r>
              <w:rPr>
                <w:rFonts w:hint="eastAsia" w:ascii="宋体" w:hAnsi="宋体" w:eastAsia="宋体" w:cs="宋体"/>
                <w:b/>
                <w:bCs/>
                <w:color w:val="auto"/>
                <w:sz w:val="21"/>
                <w:szCs w:val="21"/>
              </w:rPr>
              <w:t>年</w:t>
            </w:r>
          </w:p>
        </w:tc>
        <w:tc>
          <w:tcPr>
            <w:tcW w:w="2304"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ind w:firstLine="422" w:firstLineChars="200"/>
              <w:jc w:val="center"/>
              <w:textAlignment w:val="center"/>
              <w:rPr>
                <w:rFonts w:ascii="宋体" w:hAnsi="宋体" w:eastAsia="宋体" w:cs="宋体"/>
                <w:b/>
                <w:bCs/>
                <w:color w:val="auto"/>
                <w:sz w:val="21"/>
                <w:szCs w:val="21"/>
              </w:rPr>
            </w:pPr>
            <w:r>
              <w:rPr>
                <w:rFonts w:hint="eastAsia" w:ascii="宋体" w:hAnsi="宋体" w:eastAsia="宋体" w:cs="宋体"/>
                <w:b/>
                <w:bCs/>
                <w:color w:val="auto"/>
                <w:sz w:val="21"/>
                <w:szCs w:val="21"/>
              </w:rPr>
              <w:t>环比情况</w:t>
            </w:r>
          </w:p>
        </w:tc>
      </w:tr>
      <w:tr>
        <w:tblPrEx>
          <w:tblCellMar>
            <w:top w:w="0" w:type="dxa"/>
            <w:left w:w="0" w:type="dxa"/>
            <w:bottom w:w="0" w:type="dxa"/>
            <w:right w:w="0" w:type="dxa"/>
          </w:tblCellMar>
        </w:tblPrEx>
        <w:trPr>
          <w:trHeight w:val="454" w:hRule="atLeast"/>
        </w:trPr>
        <w:tc>
          <w:tcPr>
            <w:tcW w:w="549" w:type="dxa"/>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spacing w:after="0"/>
              <w:ind w:firstLine="422" w:firstLineChars="200"/>
              <w:jc w:val="center"/>
              <w:rPr>
                <w:rFonts w:ascii="宋体" w:hAnsi="宋体" w:eastAsia="宋体" w:cs="宋体"/>
                <w:b/>
                <w:bCs/>
                <w:color w:val="auto"/>
                <w:sz w:val="21"/>
                <w:szCs w:val="21"/>
              </w:rPr>
            </w:pPr>
          </w:p>
        </w:tc>
        <w:tc>
          <w:tcPr>
            <w:tcW w:w="18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ind w:firstLine="422" w:firstLineChars="200"/>
              <w:jc w:val="center"/>
              <w:rPr>
                <w:rFonts w:ascii="宋体" w:hAnsi="宋体" w:eastAsia="宋体" w:cs="宋体"/>
                <w:b/>
                <w:bCs/>
                <w:color w:val="auto"/>
                <w:sz w:val="21"/>
                <w:szCs w:val="21"/>
              </w:rPr>
            </w:pPr>
          </w:p>
        </w:tc>
        <w:tc>
          <w:tcPr>
            <w:tcW w:w="9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宋体" w:hAnsi="宋体" w:eastAsia="宋体" w:cs="宋体"/>
                <w:b/>
                <w:bCs/>
                <w:color w:val="auto"/>
                <w:sz w:val="21"/>
                <w:szCs w:val="21"/>
              </w:rPr>
            </w:pPr>
            <w:r>
              <w:rPr>
                <w:rFonts w:hint="eastAsia" w:ascii="宋体" w:hAnsi="宋体" w:eastAsia="宋体" w:cs="宋体"/>
                <w:b/>
                <w:bCs/>
                <w:color w:val="auto"/>
                <w:sz w:val="21"/>
                <w:szCs w:val="21"/>
              </w:rPr>
              <w:t>预算安排</w:t>
            </w:r>
          </w:p>
        </w:tc>
        <w:tc>
          <w:tcPr>
            <w:tcW w:w="9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宋体" w:hAnsi="宋体" w:eastAsia="宋体" w:cs="宋体"/>
                <w:b/>
                <w:bCs/>
                <w:color w:val="auto"/>
                <w:sz w:val="21"/>
                <w:szCs w:val="21"/>
              </w:rPr>
            </w:pPr>
            <w:r>
              <w:rPr>
                <w:rFonts w:hint="eastAsia" w:ascii="宋体" w:hAnsi="宋体" w:eastAsia="宋体" w:cs="宋体"/>
                <w:b/>
                <w:bCs/>
                <w:color w:val="auto"/>
                <w:sz w:val="21"/>
                <w:szCs w:val="21"/>
              </w:rPr>
              <w:t>实际支出</w:t>
            </w:r>
          </w:p>
        </w:tc>
        <w:tc>
          <w:tcPr>
            <w:tcW w:w="102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宋体" w:hAnsi="宋体" w:eastAsia="宋体" w:cs="宋体"/>
                <w:b/>
                <w:bCs/>
                <w:color w:val="auto"/>
                <w:sz w:val="21"/>
                <w:szCs w:val="21"/>
              </w:rPr>
            </w:pPr>
            <w:r>
              <w:rPr>
                <w:rFonts w:hint="eastAsia" w:ascii="宋体" w:hAnsi="宋体" w:eastAsia="宋体" w:cs="宋体"/>
                <w:b/>
                <w:bCs/>
                <w:color w:val="auto"/>
                <w:sz w:val="21"/>
                <w:szCs w:val="21"/>
              </w:rPr>
              <w:t>预算安排</w:t>
            </w:r>
          </w:p>
        </w:tc>
        <w:tc>
          <w:tcPr>
            <w:tcW w:w="94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宋体" w:hAnsi="宋体" w:eastAsia="宋体" w:cs="宋体"/>
                <w:b/>
                <w:bCs/>
                <w:color w:val="auto"/>
                <w:sz w:val="21"/>
                <w:szCs w:val="21"/>
              </w:rPr>
            </w:pPr>
            <w:r>
              <w:rPr>
                <w:rFonts w:hint="eastAsia" w:ascii="宋体" w:hAnsi="宋体" w:eastAsia="宋体" w:cs="宋体"/>
                <w:b/>
                <w:bCs/>
                <w:color w:val="auto"/>
                <w:sz w:val="21"/>
                <w:szCs w:val="21"/>
              </w:rPr>
              <w:t>实际支出</w:t>
            </w:r>
          </w:p>
        </w:tc>
        <w:tc>
          <w:tcPr>
            <w:tcW w:w="1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宋体" w:hAnsi="宋体" w:eastAsia="宋体" w:cs="宋体"/>
                <w:b/>
                <w:bCs/>
                <w:color w:val="auto"/>
                <w:sz w:val="21"/>
                <w:szCs w:val="21"/>
              </w:rPr>
            </w:pPr>
            <w:r>
              <w:rPr>
                <w:rFonts w:hint="eastAsia" w:ascii="宋体" w:hAnsi="宋体" w:eastAsia="宋体" w:cs="宋体"/>
                <w:b/>
                <w:bCs/>
                <w:color w:val="auto"/>
                <w:sz w:val="21"/>
                <w:szCs w:val="21"/>
              </w:rPr>
              <w:t>较上年预算增减金额</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宋体" w:hAnsi="宋体" w:eastAsia="宋体" w:cs="宋体"/>
                <w:b/>
                <w:bCs/>
                <w:color w:val="auto"/>
                <w:sz w:val="21"/>
                <w:szCs w:val="21"/>
              </w:rPr>
            </w:pPr>
            <w:r>
              <w:rPr>
                <w:rFonts w:hint="eastAsia" w:ascii="宋体" w:hAnsi="宋体" w:eastAsia="宋体" w:cs="宋体"/>
                <w:b/>
                <w:bCs/>
                <w:color w:val="auto"/>
                <w:sz w:val="21"/>
                <w:szCs w:val="21"/>
              </w:rPr>
              <w:t>较上年支出增减金额</w:t>
            </w:r>
          </w:p>
        </w:tc>
      </w:tr>
      <w:tr>
        <w:tblPrEx>
          <w:tblCellMar>
            <w:top w:w="0" w:type="dxa"/>
            <w:left w:w="0" w:type="dxa"/>
            <w:bottom w:w="0" w:type="dxa"/>
            <w:right w:w="0" w:type="dxa"/>
          </w:tblCellMar>
        </w:tblPrEx>
        <w:trPr>
          <w:trHeight w:val="454" w:hRule="atLeast"/>
        </w:trPr>
        <w:tc>
          <w:tcPr>
            <w:tcW w:w="549"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p>
        </w:tc>
        <w:tc>
          <w:tcPr>
            <w:tcW w:w="1818" w:type="dxa"/>
            <w:tcBorders>
              <w:top w:val="single" w:color="auto"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因公出国（境）费</w:t>
            </w:r>
          </w:p>
        </w:tc>
        <w:tc>
          <w:tcPr>
            <w:tcW w:w="993"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ind w:firstLine="420" w:firstLineChars="200"/>
              <w:jc w:val="center"/>
              <w:textAlignment w:val="center"/>
              <w:rPr>
                <w:rFonts w:asciiTheme="minorEastAsia" w:hAnsiTheme="minorEastAsia" w:eastAsiaTheme="minorEastAsia" w:cstheme="minorEastAsia"/>
                <w:color w:val="auto"/>
                <w:sz w:val="21"/>
                <w:szCs w:val="21"/>
                <w:highlight w:val="none"/>
              </w:rPr>
            </w:pPr>
          </w:p>
        </w:tc>
        <w:tc>
          <w:tcPr>
            <w:tcW w:w="932"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ind w:firstLine="420" w:firstLineChars="200"/>
              <w:jc w:val="center"/>
              <w:textAlignment w:val="center"/>
              <w:rPr>
                <w:rFonts w:asciiTheme="minorEastAsia" w:hAnsiTheme="minorEastAsia" w:eastAsiaTheme="minorEastAsia" w:cstheme="minorEastAsia"/>
                <w:color w:val="auto"/>
                <w:sz w:val="21"/>
                <w:szCs w:val="21"/>
                <w:highlight w:val="none"/>
              </w:rPr>
            </w:pPr>
          </w:p>
        </w:tc>
        <w:tc>
          <w:tcPr>
            <w:tcW w:w="1022"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ind w:firstLine="420" w:firstLineChars="200"/>
              <w:jc w:val="center"/>
              <w:textAlignment w:val="center"/>
              <w:rPr>
                <w:rFonts w:asciiTheme="minorEastAsia" w:hAnsiTheme="minorEastAsia" w:eastAsiaTheme="minorEastAsia" w:cstheme="minorEastAsia"/>
                <w:color w:val="auto"/>
                <w:sz w:val="21"/>
                <w:szCs w:val="21"/>
                <w:highlight w:val="none"/>
              </w:rPr>
            </w:pPr>
          </w:p>
        </w:tc>
        <w:tc>
          <w:tcPr>
            <w:tcW w:w="947"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after="0"/>
              <w:jc w:val="center"/>
              <w:textAlignment w:val="center"/>
              <w:rPr>
                <w:rFonts w:hint="eastAsia" w:asciiTheme="minorEastAsia" w:hAnsiTheme="minorEastAsia" w:eastAsiaTheme="minorEastAsia" w:cstheme="minorEastAsia"/>
                <w:color w:val="auto"/>
                <w:sz w:val="21"/>
                <w:szCs w:val="21"/>
                <w:highlight w:val="none"/>
                <w:lang w:val="en-US" w:eastAsia="zh-CN"/>
              </w:rPr>
            </w:pPr>
          </w:p>
        </w:tc>
        <w:tc>
          <w:tcPr>
            <w:tcW w:w="1149"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after="0"/>
              <w:jc w:val="center"/>
              <w:textAlignment w:val="center"/>
              <w:rPr>
                <w:rFonts w:hint="eastAsia" w:asciiTheme="minorEastAsia" w:hAnsiTheme="minorEastAsia" w:eastAsiaTheme="minorEastAsia" w:cstheme="minorEastAsia"/>
                <w:color w:val="auto"/>
                <w:sz w:val="21"/>
                <w:szCs w:val="21"/>
                <w:highlight w:val="none"/>
                <w:lang w:val="en-US" w:eastAsia="zh-CN"/>
              </w:rPr>
            </w:pPr>
          </w:p>
        </w:tc>
        <w:tc>
          <w:tcPr>
            <w:tcW w:w="1155" w:type="dxa"/>
            <w:tcBorders>
              <w:top w:val="single" w:color="auto"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after="0"/>
              <w:jc w:val="center"/>
              <w:textAlignment w:val="center"/>
              <w:rPr>
                <w:rFonts w:hint="eastAsia" w:asciiTheme="minorEastAsia" w:hAnsiTheme="minorEastAsia" w:eastAsiaTheme="minorEastAsia" w:cstheme="minorEastAsia"/>
                <w:color w:val="auto"/>
                <w:sz w:val="21"/>
                <w:szCs w:val="21"/>
                <w:highlight w:val="none"/>
                <w:lang w:val="en-US" w:eastAsia="zh-CN"/>
              </w:rPr>
            </w:pPr>
          </w:p>
        </w:tc>
      </w:tr>
      <w:tr>
        <w:tblPrEx>
          <w:tblCellMar>
            <w:top w:w="0" w:type="dxa"/>
            <w:left w:w="0" w:type="dxa"/>
            <w:bottom w:w="0" w:type="dxa"/>
            <w:right w:w="0" w:type="dxa"/>
          </w:tblCellMar>
        </w:tblPrEx>
        <w:trPr>
          <w:trHeight w:val="454"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p>
        </w:tc>
        <w:tc>
          <w:tcPr>
            <w:tcW w:w="1818"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公务用车购置及运维费</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2.00</w:t>
            </w: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2.00</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3.60</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3.60</w:t>
            </w: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1.60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1.60</w:t>
            </w:r>
          </w:p>
        </w:tc>
      </w:tr>
      <w:tr>
        <w:tblPrEx>
          <w:tblCellMar>
            <w:top w:w="0" w:type="dxa"/>
            <w:left w:w="0" w:type="dxa"/>
            <w:bottom w:w="0" w:type="dxa"/>
            <w:right w:w="0" w:type="dxa"/>
          </w:tblCellMar>
        </w:tblPrEx>
        <w:trPr>
          <w:trHeight w:val="454"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c>
          <w:tcPr>
            <w:tcW w:w="1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公务接待费</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0.00</w:t>
            </w: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0.</w:t>
            </w:r>
            <w:r>
              <w:rPr>
                <w:rFonts w:hint="eastAsia" w:asciiTheme="minorEastAsia" w:hAnsiTheme="minorEastAsia" w:eastAsiaTheme="minorEastAsia" w:cstheme="minorEastAsia"/>
                <w:color w:val="auto"/>
                <w:sz w:val="21"/>
                <w:szCs w:val="21"/>
                <w:highlight w:val="none"/>
                <w:lang w:val="en-US" w:eastAsia="zh-CN"/>
              </w:rPr>
              <w:t>00</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0.00</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0.00</w:t>
            </w: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0.00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0.00</w:t>
            </w:r>
          </w:p>
        </w:tc>
      </w:tr>
      <w:tr>
        <w:tblPrEx>
          <w:tblCellMar>
            <w:top w:w="0" w:type="dxa"/>
            <w:left w:w="0" w:type="dxa"/>
            <w:bottom w:w="0" w:type="dxa"/>
            <w:right w:w="0" w:type="dxa"/>
          </w:tblCellMar>
        </w:tblPrEx>
        <w:trPr>
          <w:trHeight w:val="454"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p>
        </w:tc>
        <w:tc>
          <w:tcPr>
            <w:tcW w:w="1818"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合计</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2.00</w:t>
            </w: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2.00</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3.60</w:t>
            </w:r>
          </w:p>
        </w:tc>
        <w:tc>
          <w:tcPr>
            <w:tcW w:w="94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3.60</w:t>
            </w: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1.60</w:t>
            </w: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spacing w:after="0"/>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1.60</w:t>
            </w:r>
          </w:p>
        </w:tc>
      </w:tr>
    </w:tbl>
    <w:p>
      <w:pPr>
        <w:spacing w:after="0" w:line="360" w:lineRule="auto"/>
        <w:ind w:firstLine="640" w:firstLineChars="200"/>
        <w:jc w:val="both"/>
        <w:rPr>
          <w:rFonts w:hint="eastAsia" w:ascii="仿宋_GB2312" w:eastAsia="仿宋_GB2312" w:cs="DengXian-Regular"/>
          <w:color w:val="auto"/>
          <w:sz w:val="32"/>
          <w:szCs w:val="32"/>
          <w:highlight w:val="yellow"/>
          <w:lang w:eastAsia="zh-CN"/>
        </w:rPr>
      </w:pPr>
      <w:r>
        <w:rPr>
          <w:rFonts w:hint="eastAsia" w:ascii="仿宋_GB2312" w:eastAsia="仿宋_GB2312" w:cs="DengXian-Regular"/>
          <w:color w:val="auto"/>
          <w:sz w:val="32"/>
          <w:szCs w:val="32"/>
        </w:rPr>
        <w:t>1、公务用车：2021年底车辆合计3辆，公务用车运行维护费3.60万元。实际支出3.60万元，</w:t>
      </w:r>
      <w:r>
        <w:rPr>
          <w:rFonts w:hint="eastAsia" w:ascii="仿宋_GB2312" w:eastAsia="仿宋_GB2312" w:cs="DengXian-Regular"/>
          <w:color w:val="auto"/>
          <w:sz w:val="32"/>
          <w:szCs w:val="32"/>
          <w:lang w:val="en-US" w:eastAsia="zh-CN"/>
        </w:rPr>
        <w:t>与</w:t>
      </w:r>
      <w:r>
        <w:rPr>
          <w:rFonts w:hint="eastAsia" w:ascii="仿宋_GB2312" w:eastAsia="仿宋_GB2312" w:cs="DengXian-Regular"/>
          <w:color w:val="auto"/>
          <w:sz w:val="32"/>
          <w:szCs w:val="32"/>
        </w:rPr>
        <w:t>预算持平，2021年预算数与2020年预算相比</w:t>
      </w:r>
      <w:r>
        <w:rPr>
          <w:rFonts w:hint="eastAsia" w:ascii="仿宋_GB2312" w:eastAsia="仿宋_GB2312" w:cs="DengXian-Regular"/>
          <w:color w:val="auto"/>
          <w:sz w:val="32"/>
          <w:szCs w:val="32"/>
          <w:lang w:val="en-US" w:eastAsia="zh-CN"/>
        </w:rPr>
        <w:t>增加了1.6万元</w:t>
      </w:r>
      <w:r>
        <w:rPr>
          <w:rFonts w:hint="eastAsia" w:ascii="仿宋_GB2312" w:eastAsia="仿宋_GB2312" w:cs="DengXian-Regular"/>
          <w:color w:val="auto"/>
          <w:sz w:val="32"/>
          <w:szCs w:val="32"/>
        </w:rPr>
        <w:t>。</w:t>
      </w:r>
    </w:p>
    <w:p>
      <w:pPr>
        <w:pStyle w:val="4"/>
        <w:spacing w:before="0" w:after="0" w:line="360" w:lineRule="auto"/>
        <w:ind w:firstLine="643" w:firstLineChars="200"/>
        <w:rPr>
          <w:rFonts w:ascii="黑体" w:hAnsiTheme="minorEastAsia"/>
          <w:color w:val="auto"/>
          <w:u w:color="000000"/>
        </w:rPr>
      </w:pPr>
      <w:bookmarkStart w:id="16" w:name="_Toc492652770"/>
      <w:bookmarkStart w:id="17" w:name="_Toc20454"/>
      <w:bookmarkStart w:id="18" w:name="_Toc465149504"/>
      <w:r>
        <w:rPr>
          <w:rFonts w:hint="eastAsia" w:ascii="黑体"/>
          <w:color w:val="auto"/>
        </w:rPr>
        <w:t>二、部门整体支出绩效评价指标体系设定情况</w:t>
      </w:r>
      <w:bookmarkEnd w:id="16"/>
      <w:bookmarkEnd w:id="17"/>
    </w:p>
    <w:p>
      <w:pPr>
        <w:spacing w:after="0" w:line="360" w:lineRule="auto"/>
        <w:ind w:firstLine="640" w:firstLineChars="200"/>
        <w:jc w:val="both"/>
        <w:rPr>
          <w:rFonts w:ascii="仿宋_GB2312" w:eastAsia="仿宋_GB2312" w:cs="DengXian-Regular"/>
          <w:color w:val="auto"/>
          <w:sz w:val="32"/>
          <w:szCs w:val="32"/>
        </w:rPr>
      </w:pPr>
      <w:r>
        <w:rPr>
          <w:rFonts w:hint="eastAsia" w:ascii="仿宋_GB2312" w:eastAsia="仿宋_GB2312" w:cs="DengXian-Regular"/>
          <w:color w:val="auto"/>
          <w:sz w:val="32"/>
          <w:szCs w:val="32"/>
        </w:rPr>
        <w:t>根据绩效预算管理改革的有关政策和文件规定，并与</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沟通，绩效评价工作组以绩效预算架构为指导，以部门预算文本及相关资料为基础，制定了部门整体支出绩效评价指标体系。</w:t>
      </w:r>
    </w:p>
    <w:p>
      <w:pPr>
        <w:spacing w:after="0" w:line="360" w:lineRule="auto"/>
        <w:ind w:firstLine="640" w:firstLineChars="200"/>
        <w:jc w:val="both"/>
        <w:rPr>
          <w:rFonts w:ascii="仿宋_GB2312" w:eastAsia="仿宋_GB2312" w:cs="DengXian-Regular"/>
          <w:color w:val="auto"/>
          <w:sz w:val="32"/>
          <w:szCs w:val="32"/>
        </w:rPr>
      </w:pPr>
      <w:r>
        <w:rPr>
          <w:rFonts w:hint="eastAsia" w:ascii="仿宋_GB2312" w:eastAsia="仿宋_GB2312" w:cs="DengXian-Regular"/>
          <w:color w:val="auto"/>
          <w:sz w:val="32"/>
          <w:szCs w:val="32"/>
        </w:rPr>
        <w:t>部门整体支出绩效评价指标体系设置一级指标4个，二级指标7个，三级指标27个（详见附件3）。指标体系设定满分100分，绩效评价分值≥90为“优”；80≤分值＜90为“良”；60≤分值＜80为“中”；60分以下为“差”。评价指标体系具体构成如下：</w:t>
      </w:r>
      <w:bookmarkStart w:id="19" w:name="_Toc9569"/>
      <w:bookmarkStart w:id="20" w:name="_Toc492652771"/>
    </w:p>
    <w:p>
      <w:pPr>
        <w:spacing w:after="0" w:line="360" w:lineRule="auto"/>
        <w:ind w:firstLine="643" w:firstLineChars="200"/>
        <w:jc w:val="both"/>
        <w:rPr>
          <w:rFonts w:ascii="楷体_GB2312" w:eastAsia="楷体_GB2312" w:cs="Times New Roman" w:hAnsiTheme="minorEastAsia"/>
          <w:b/>
          <w:bCs/>
          <w:color w:val="auto"/>
          <w:kern w:val="2"/>
          <w:sz w:val="32"/>
          <w:szCs w:val="32"/>
          <w:u w:color="000000"/>
        </w:rPr>
      </w:pPr>
      <w:r>
        <w:rPr>
          <w:rFonts w:hint="eastAsia" w:ascii="楷体_GB2312" w:eastAsia="楷体_GB2312" w:cs="Times New Roman" w:hAnsiTheme="minorEastAsia"/>
          <w:b/>
          <w:bCs/>
          <w:color w:val="auto"/>
          <w:kern w:val="2"/>
          <w:sz w:val="32"/>
          <w:szCs w:val="32"/>
          <w:u w:color="000000"/>
        </w:rPr>
        <w:t>（一）投入（12分）</w:t>
      </w:r>
      <w:bookmarkEnd w:id="19"/>
      <w:bookmarkEnd w:id="20"/>
    </w:p>
    <w:p>
      <w:pPr>
        <w:spacing w:after="0" w:line="360" w:lineRule="auto"/>
        <w:ind w:firstLine="640" w:firstLineChars="200"/>
        <w:jc w:val="both"/>
        <w:rPr>
          <w:rFonts w:ascii="仿宋_GB2312" w:eastAsia="仿宋_GB2312" w:cs="DengXian-Regular"/>
          <w:color w:val="auto"/>
          <w:sz w:val="32"/>
          <w:szCs w:val="32"/>
        </w:rPr>
      </w:pPr>
      <w:r>
        <w:rPr>
          <w:rFonts w:hint="eastAsia" w:ascii="仿宋_GB2312" w:eastAsia="仿宋_GB2312" w:cs="DengXian-Regular"/>
          <w:color w:val="auto"/>
          <w:sz w:val="32"/>
          <w:szCs w:val="32"/>
        </w:rPr>
        <w:t>主要反映绩效目标设定是否合理、科学，绩效指标的制定是否清晰、可衡量，预算编制是否完整，项目预算是否细化及在职人员控制情况。</w:t>
      </w:r>
    </w:p>
    <w:p>
      <w:pPr>
        <w:keepNext/>
        <w:widowControl w:val="0"/>
        <w:spacing w:after="0" w:line="360" w:lineRule="auto"/>
        <w:ind w:firstLine="640" w:firstLineChars="200"/>
        <w:jc w:val="both"/>
        <w:rPr>
          <w:rFonts w:ascii="仿宋_GB2312" w:eastAsia="仿宋_GB2312" w:cs="DengXian-Regular"/>
          <w:color w:val="auto"/>
          <w:sz w:val="32"/>
          <w:szCs w:val="32"/>
        </w:rPr>
      </w:pPr>
      <w:r>
        <w:rPr>
          <w:rFonts w:hint="eastAsia" w:ascii="仿宋_GB2312" w:eastAsia="仿宋_GB2312" w:cs="DengXian-Regular"/>
          <w:color w:val="auto"/>
          <w:sz w:val="32"/>
          <w:szCs w:val="32"/>
        </w:rPr>
        <w:t>投入指标指标分值为12分，下设2个二级指标：绩效目标设定和预算配置，6个三级指标：绩效目标合理性、绩效目标科学性、绩效指标明确性、预算编制完整性、项目预算细化率、在职人员控制率。</w:t>
      </w:r>
    </w:p>
    <w:p>
      <w:pPr>
        <w:pStyle w:val="5"/>
        <w:spacing w:before="0" w:after="0"/>
        <w:ind w:firstLine="643" w:firstLineChars="200"/>
        <w:jc w:val="both"/>
        <w:rPr>
          <w:rFonts w:ascii="楷体" w:hAnsi="楷体" w:eastAsia="楷体"/>
          <w:color w:val="auto"/>
          <w:sz w:val="32"/>
        </w:rPr>
      </w:pPr>
      <w:bookmarkStart w:id="21" w:name="_Toc30221"/>
      <w:bookmarkStart w:id="22" w:name="_Toc492652772"/>
      <w:r>
        <w:rPr>
          <w:rFonts w:hint="eastAsia" w:ascii="楷体" w:hAnsi="楷体" w:eastAsia="楷体"/>
          <w:color w:val="auto"/>
          <w:kern w:val="2"/>
          <w:sz w:val="32"/>
        </w:rPr>
        <w:t>（二）过程（48分）</w:t>
      </w:r>
      <w:bookmarkEnd w:id="21"/>
      <w:bookmarkEnd w:id="22"/>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主要反映预算调整、收入及支出完成情况，“三公”经费、政府采购执行情况，财务管理是否规范、资金使用是否合规，决算真实性。</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过程指标指标分值为48分，下设3个二级指标：预算执行、预算管理和绩效评价，14个三级指标：预算收入调整率、收入完成率、预算支出调整率、财政拨款支出完成率、“三公”经费控制率、政府采购执行率、资金使用合规性、决算真实性、管理制度健全性、预决算信息公开性、基础信息完整性、资产管理规范性、绩效自评覆盖率、绩效评价优等率。</w:t>
      </w:r>
    </w:p>
    <w:p>
      <w:pPr>
        <w:pStyle w:val="5"/>
        <w:spacing w:before="0" w:after="0"/>
        <w:ind w:firstLine="643" w:firstLineChars="200"/>
        <w:jc w:val="both"/>
        <w:rPr>
          <w:rFonts w:ascii="楷体" w:hAnsi="楷体" w:eastAsia="楷体"/>
          <w:color w:val="auto"/>
          <w:kern w:val="2"/>
          <w:sz w:val="32"/>
          <w:highlight w:val="none"/>
        </w:rPr>
      </w:pPr>
      <w:bookmarkStart w:id="23" w:name="_Toc24932"/>
      <w:bookmarkStart w:id="24" w:name="_Toc492652773"/>
      <w:r>
        <w:rPr>
          <w:rFonts w:hint="eastAsia" w:ascii="楷体" w:hAnsi="楷体" w:eastAsia="楷体"/>
          <w:color w:val="auto"/>
          <w:kern w:val="2"/>
          <w:sz w:val="32"/>
          <w:highlight w:val="none"/>
        </w:rPr>
        <w:t>（三）产出（2</w:t>
      </w:r>
      <w:r>
        <w:rPr>
          <w:rFonts w:hint="eastAsia" w:ascii="楷体" w:hAnsi="楷体" w:eastAsia="楷体"/>
          <w:color w:val="auto"/>
          <w:kern w:val="2"/>
          <w:sz w:val="32"/>
          <w:highlight w:val="none"/>
          <w:lang w:val="en-US" w:eastAsia="zh-CN"/>
        </w:rPr>
        <w:t>0</w:t>
      </w:r>
      <w:r>
        <w:rPr>
          <w:rFonts w:hint="eastAsia" w:ascii="楷体" w:hAnsi="楷体" w:eastAsia="楷体"/>
          <w:color w:val="auto"/>
          <w:kern w:val="2"/>
          <w:sz w:val="32"/>
          <w:highlight w:val="none"/>
        </w:rPr>
        <w:t>分）</w:t>
      </w:r>
      <w:bookmarkEnd w:id="23"/>
      <w:bookmarkEnd w:id="24"/>
    </w:p>
    <w:p>
      <w:pPr>
        <w:spacing w:after="0" w:line="360" w:lineRule="auto"/>
        <w:ind w:firstLine="640" w:firstLineChars="200"/>
        <w:jc w:val="both"/>
        <w:textAlignment w:val="baseline"/>
        <w:rPr>
          <w:rFonts w:ascii="仿宋_GB2312" w:eastAsia="仿宋_GB2312" w:cs="DengXian-Regular"/>
          <w:color w:val="auto"/>
          <w:sz w:val="32"/>
          <w:szCs w:val="32"/>
          <w:highlight w:val="none"/>
        </w:rPr>
      </w:pPr>
      <w:bookmarkStart w:id="25" w:name="_Toc492652774"/>
      <w:r>
        <w:rPr>
          <w:rFonts w:hint="eastAsia" w:ascii="仿宋_GB2312" w:eastAsia="仿宋_GB2312" w:cs="DengXian-Regular"/>
          <w:color w:val="auto"/>
          <w:sz w:val="32"/>
          <w:szCs w:val="32"/>
          <w:highlight w:val="none"/>
        </w:rPr>
        <w:t>主要反映结转结余率，项目资金使用率，</w:t>
      </w:r>
      <w:r>
        <w:rPr>
          <w:rFonts w:hint="eastAsia" w:ascii="仿宋_GB2312" w:eastAsia="仿宋_GB2312" w:cs="DengXian-Regular"/>
          <w:color w:val="auto"/>
          <w:sz w:val="32"/>
          <w:szCs w:val="32"/>
          <w:highlight w:val="none"/>
          <w:lang w:eastAsia="zh-CN"/>
        </w:rPr>
        <w:t>安全生产隐患排查下乡督导检查次数，综合事务办理完成率，资金发放完成率。</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lang w:eastAsia="zh-CN"/>
        </w:rPr>
      </w:pPr>
      <w:r>
        <w:rPr>
          <w:rFonts w:hint="eastAsia" w:ascii="仿宋_GB2312" w:eastAsia="仿宋_GB2312" w:cs="DengXian-Regular"/>
          <w:color w:val="auto"/>
          <w:sz w:val="32"/>
          <w:szCs w:val="32"/>
        </w:rPr>
        <w:t>产出指标指标分值为2</w:t>
      </w:r>
      <w:r>
        <w:rPr>
          <w:rFonts w:hint="eastAsia" w:ascii="仿宋_GB2312" w:eastAsia="仿宋_GB2312" w:cs="DengXian-Regular"/>
          <w:color w:val="auto"/>
          <w:sz w:val="32"/>
          <w:szCs w:val="32"/>
          <w:lang w:val="en-US" w:eastAsia="zh-CN"/>
        </w:rPr>
        <w:t>0</w:t>
      </w:r>
      <w:r>
        <w:rPr>
          <w:rFonts w:hint="eastAsia" w:ascii="仿宋_GB2312" w:eastAsia="仿宋_GB2312" w:cs="DengXian-Regular"/>
          <w:color w:val="auto"/>
          <w:sz w:val="32"/>
          <w:szCs w:val="32"/>
        </w:rPr>
        <w:t>分，下设1个二级指标：责任履行，5个三级指标：结转结余率、项目资金使用率、</w:t>
      </w:r>
      <w:r>
        <w:rPr>
          <w:rFonts w:hint="eastAsia" w:ascii="仿宋_GB2312" w:eastAsia="仿宋_GB2312" w:cs="DengXian-Regular"/>
          <w:color w:val="auto"/>
          <w:sz w:val="32"/>
          <w:szCs w:val="32"/>
          <w:highlight w:val="none"/>
          <w:lang w:eastAsia="zh-CN"/>
        </w:rPr>
        <w:t>安全生产隐患排查下乡督导检查次数，综合事务办理完成率，资金发放完成率。</w:t>
      </w:r>
    </w:p>
    <w:p>
      <w:pPr>
        <w:pStyle w:val="5"/>
        <w:spacing w:before="0" w:after="0"/>
        <w:ind w:firstLine="643" w:firstLineChars="200"/>
        <w:jc w:val="both"/>
        <w:rPr>
          <w:rFonts w:ascii="楷体_GB2312" w:eastAsia="楷体_GB2312" w:hAnsiTheme="minorEastAsia"/>
          <w:color w:val="auto"/>
          <w:sz w:val="32"/>
        </w:rPr>
      </w:pPr>
      <w:bookmarkStart w:id="26" w:name="_Toc21821"/>
      <w:r>
        <w:rPr>
          <w:rFonts w:hint="eastAsia" w:ascii="楷体_GB2312" w:eastAsia="楷体_GB2312" w:hAnsiTheme="minorEastAsia"/>
          <w:color w:val="auto"/>
          <w:kern w:val="2"/>
          <w:sz w:val="32"/>
        </w:rPr>
        <w:t>（四）效果（</w:t>
      </w:r>
      <w:r>
        <w:rPr>
          <w:rFonts w:hint="eastAsia" w:ascii="楷体_GB2312" w:eastAsia="楷体_GB2312" w:hAnsiTheme="minorEastAsia"/>
          <w:color w:val="auto"/>
          <w:kern w:val="2"/>
          <w:sz w:val="32"/>
          <w:lang w:val="en-US" w:eastAsia="zh-CN"/>
        </w:rPr>
        <w:t>20</w:t>
      </w:r>
      <w:r>
        <w:rPr>
          <w:rFonts w:hint="eastAsia" w:ascii="楷体_GB2312" w:eastAsia="楷体_GB2312" w:hAnsiTheme="minorEastAsia"/>
          <w:color w:val="auto"/>
          <w:kern w:val="2"/>
          <w:sz w:val="32"/>
        </w:rPr>
        <w:t>分）</w:t>
      </w:r>
      <w:bookmarkEnd w:id="25"/>
      <w:bookmarkEnd w:id="26"/>
    </w:p>
    <w:p>
      <w:pPr>
        <w:spacing w:after="0" w:line="360" w:lineRule="auto"/>
        <w:ind w:firstLine="640" w:firstLineChars="200"/>
        <w:jc w:val="both"/>
        <w:textAlignment w:val="baseline"/>
        <w:rPr>
          <w:rFonts w:ascii="仿宋_GB2312" w:eastAsia="仿宋_GB2312" w:cs="DengXian-Regular"/>
          <w:color w:val="auto"/>
          <w:sz w:val="32"/>
          <w:szCs w:val="32"/>
        </w:rPr>
      </w:pPr>
      <w:bookmarkStart w:id="27" w:name="_Toc492652775"/>
      <w:r>
        <w:rPr>
          <w:rFonts w:hint="eastAsia" w:ascii="仿宋_GB2312" w:eastAsia="仿宋_GB2312" w:cs="DengXian-Regular"/>
          <w:color w:val="auto"/>
          <w:sz w:val="32"/>
          <w:szCs w:val="32"/>
        </w:rPr>
        <w:t>主要反映部门履行职责对社会发展所带来的直接或间接效益及社会公众或部门的服务对象对部门履职效果的满意程度。</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效果指标指标分值</w:t>
      </w:r>
      <w:r>
        <w:rPr>
          <w:rFonts w:hint="eastAsia" w:ascii="仿宋_GB2312" w:eastAsia="仿宋_GB2312" w:cs="DengXian-Regular"/>
          <w:color w:val="auto"/>
          <w:sz w:val="32"/>
          <w:szCs w:val="32"/>
          <w:lang w:val="en-US" w:eastAsia="zh-CN"/>
        </w:rPr>
        <w:t>20</w:t>
      </w:r>
      <w:r>
        <w:rPr>
          <w:rFonts w:hint="eastAsia" w:ascii="仿宋_GB2312" w:eastAsia="仿宋_GB2312" w:cs="DengXian-Regular"/>
          <w:color w:val="auto"/>
          <w:sz w:val="32"/>
          <w:szCs w:val="32"/>
        </w:rPr>
        <w:t>分，下设1个二级指标：履职效率，2个三级指标：部门整体效益和考核满意度。</w:t>
      </w:r>
    </w:p>
    <w:p>
      <w:pPr>
        <w:pStyle w:val="4"/>
        <w:spacing w:before="0" w:after="0" w:line="360" w:lineRule="auto"/>
        <w:ind w:firstLine="643" w:firstLineChars="200"/>
        <w:rPr>
          <w:rFonts w:ascii="黑体"/>
          <w:color w:val="auto"/>
        </w:rPr>
      </w:pPr>
      <w:bookmarkStart w:id="28" w:name="_Toc11842"/>
      <w:r>
        <w:rPr>
          <w:rFonts w:hint="eastAsia" w:ascii="黑体"/>
          <w:color w:val="auto"/>
        </w:rPr>
        <w:t>三、综合绩效评价工作情况</w:t>
      </w:r>
      <w:bookmarkEnd w:id="18"/>
      <w:bookmarkEnd w:id="27"/>
      <w:bookmarkEnd w:id="28"/>
      <w:bookmarkStart w:id="29" w:name="_Toc465149505"/>
      <w:bookmarkStart w:id="30" w:name="_Toc492652776"/>
    </w:p>
    <w:p>
      <w:pPr>
        <w:pStyle w:val="5"/>
        <w:spacing w:before="0" w:after="0"/>
        <w:ind w:firstLine="643" w:firstLineChars="200"/>
        <w:jc w:val="both"/>
        <w:rPr>
          <w:rFonts w:ascii="楷体_GB2312" w:eastAsia="楷体_GB2312" w:hAnsiTheme="minorEastAsia"/>
          <w:color w:val="auto"/>
          <w:sz w:val="32"/>
        </w:rPr>
      </w:pPr>
      <w:bookmarkStart w:id="31" w:name="_Toc17138"/>
      <w:r>
        <w:rPr>
          <w:rFonts w:hint="eastAsia" w:ascii="楷体_GB2312" w:eastAsia="楷体_GB2312" w:hAnsiTheme="minorEastAsia"/>
          <w:color w:val="auto"/>
          <w:kern w:val="2"/>
          <w:sz w:val="32"/>
        </w:rPr>
        <w:t>（一）绩效评价目的</w:t>
      </w:r>
      <w:bookmarkEnd w:id="29"/>
      <w:bookmarkEnd w:id="30"/>
      <w:bookmarkEnd w:id="31"/>
    </w:p>
    <w:p>
      <w:pPr>
        <w:spacing w:after="0" w:line="360" w:lineRule="auto"/>
        <w:ind w:firstLine="640" w:firstLineChars="200"/>
        <w:jc w:val="both"/>
        <w:textAlignment w:val="baseline"/>
        <w:rPr>
          <w:rFonts w:ascii="仿宋_GB2312" w:eastAsia="仿宋_GB2312" w:cs="DengXian-Regular"/>
          <w:color w:val="auto"/>
          <w:sz w:val="32"/>
          <w:szCs w:val="32"/>
        </w:rPr>
      </w:pPr>
      <w:bookmarkStart w:id="32" w:name="_Toc465149506"/>
      <w:bookmarkStart w:id="33" w:name="_Toc492652777"/>
      <w:r>
        <w:rPr>
          <w:rFonts w:hint="eastAsia" w:ascii="仿宋_GB2312" w:eastAsia="仿宋_GB2312" w:cs="DengXian-Regular"/>
          <w:color w:val="auto"/>
          <w:sz w:val="32"/>
          <w:szCs w:val="32"/>
        </w:rPr>
        <w:t>通过对</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年部门整体支出绩效评价，了解部门整体资金预算情况、实际收支情况及结转结余情况；绩效目标和指标的设置及完成情况；部门履职对社会发展所带来的直接或间接影响及服务对象对部门履职效果的满意程度。</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部门整体支出绩效评价工作促使相关部门根据绩效评价过程中发现的问题，及时整改并总结经验，提高部门管理水平，牢固树立预算绩效理念，强化部门支出责任，提高预算执行效率和财政资金使用效益。</w:t>
      </w:r>
    </w:p>
    <w:p>
      <w:pPr>
        <w:pStyle w:val="5"/>
        <w:spacing w:before="0" w:after="0"/>
        <w:ind w:firstLine="643" w:firstLineChars="200"/>
        <w:jc w:val="both"/>
        <w:rPr>
          <w:rFonts w:ascii="楷体_GB2312" w:eastAsia="楷体_GB2312" w:hAnsiTheme="minorEastAsia"/>
          <w:color w:val="auto"/>
          <w:kern w:val="2"/>
          <w:sz w:val="32"/>
        </w:rPr>
      </w:pPr>
      <w:bookmarkStart w:id="34" w:name="_Toc11607"/>
      <w:r>
        <w:rPr>
          <w:rFonts w:hint="eastAsia" w:ascii="楷体_GB2312" w:eastAsia="楷体_GB2312" w:hAnsiTheme="minorEastAsia"/>
          <w:color w:val="auto"/>
          <w:kern w:val="2"/>
          <w:sz w:val="32"/>
        </w:rPr>
        <w:t>（二）绩效评价依据</w:t>
      </w:r>
      <w:bookmarkEnd w:id="32"/>
      <w:bookmarkEnd w:id="33"/>
      <w:bookmarkEnd w:id="34"/>
    </w:p>
    <w:p>
      <w:pPr>
        <w:spacing w:after="0" w:line="360" w:lineRule="auto"/>
        <w:ind w:firstLine="640" w:firstLineChars="200"/>
        <w:jc w:val="both"/>
        <w:textAlignment w:val="baseline"/>
        <w:rPr>
          <w:rFonts w:ascii="仿宋_GB2312" w:eastAsia="仿宋_GB2312" w:cs="DengXian-Regular"/>
          <w:color w:val="auto"/>
          <w:sz w:val="32"/>
          <w:szCs w:val="32"/>
        </w:rPr>
      </w:pPr>
      <w:bookmarkStart w:id="35" w:name="_Toc465149507"/>
      <w:r>
        <w:rPr>
          <w:rFonts w:hint="eastAsia" w:ascii="仿宋_GB2312" w:eastAsia="仿宋_GB2312" w:cs="DengXian-Regular"/>
          <w:color w:val="auto"/>
          <w:sz w:val="32"/>
          <w:szCs w:val="32"/>
        </w:rPr>
        <w:t>1.</w:t>
      </w:r>
      <w:r>
        <w:rPr>
          <w:rFonts w:ascii="仿宋_GB2312" w:eastAsia="仿宋_GB2312" w:cs="DengXian-Regular"/>
          <w:color w:val="auto"/>
          <w:sz w:val="32"/>
          <w:szCs w:val="32"/>
        </w:rPr>
        <w:t>《中华人民共和国预算法》；</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2.中共中央国务院《关于全面实施预算绩效管理的意见》（中发〔2018〕34号）；</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3.</w:t>
      </w:r>
      <w:r>
        <w:rPr>
          <w:rFonts w:ascii="仿宋_GB2312" w:eastAsia="仿宋_GB2312" w:cs="DengXian-Regular"/>
          <w:color w:val="auto"/>
          <w:sz w:val="32"/>
          <w:szCs w:val="32"/>
        </w:rPr>
        <w:t>《河北省财政支出绩效评价管理办法》（冀财预</w:t>
      </w:r>
      <w:r>
        <w:rPr>
          <w:rFonts w:hint="eastAsia" w:ascii="仿宋_GB2312" w:eastAsia="仿宋_GB2312" w:cs="DengXian-Regular"/>
          <w:color w:val="auto"/>
          <w:sz w:val="32"/>
          <w:szCs w:val="32"/>
        </w:rPr>
        <w:t xml:space="preserve">〔2011〕68号）； </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rPr>
        <w:t>4.中共河北省委</w:t>
      </w:r>
      <w:r>
        <w:rPr>
          <w:rFonts w:hint="eastAsia" w:ascii="仿宋_GB2312" w:eastAsia="仿宋_GB2312" w:cs="DengXian-Regular"/>
          <w:color w:val="auto"/>
          <w:sz w:val="32"/>
          <w:szCs w:val="32"/>
          <w:highlight w:val="none"/>
        </w:rPr>
        <w:t>河北省人民政府</w:t>
      </w:r>
      <w:r>
        <w:rPr>
          <w:rFonts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rPr>
        <w:t>关于全面实施预算绩效管理的实施意见</w:t>
      </w:r>
      <w:r>
        <w:rPr>
          <w:rFonts w:ascii="仿宋_GB2312" w:eastAsia="仿宋_GB2312" w:cs="DengXian-Regular"/>
          <w:color w:val="auto"/>
          <w:sz w:val="32"/>
          <w:szCs w:val="32"/>
          <w:highlight w:val="none"/>
        </w:rPr>
        <w:t>》（冀</w:t>
      </w:r>
      <w:r>
        <w:rPr>
          <w:rFonts w:hint="eastAsia" w:ascii="仿宋_GB2312" w:eastAsia="仿宋_GB2312" w:cs="DengXian-Regular"/>
          <w:color w:val="auto"/>
          <w:sz w:val="32"/>
          <w:szCs w:val="32"/>
          <w:highlight w:val="none"/>
        </w:rPr>
        <w:t>发〔2018〕54</w:t>
      </w:r>
      <w:r>
        <w:rPr>
          <w:rFonts w:ascii="仿宋_GB2312" w:eastAsia="仿宋_GB2312" w:cs="DengXian-Regular"/>
          <w:color w:val="auto"/>
          <w:sz w:val="32"/>
          <w:szCs w:val="32"/>
          <w:highlight w:val="none"/>
        </w:rPr>
        <w:t>号）</w:t>
      </w:r>
      <w:r>
        <w:rPr>
          <w:rFonts w:hint="eastAsia" w:ascii="仿宋_GB2312" w:eastAsia="仿宋_GB2312" w:cs="DengXian-Regular"/>
          <w:color w:val="auto"/>
          <w:sz w:val="32"/>
          <w:szCs w:val="32"/>
          <w:highlight w:val="none"/>
        </w:rPr>
        <w:t>；</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5.曲阳县财政局关于印发《全面实施预算绩效管理推进工作方案》的通知（曲财〔2019〕51号）；</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6.曲阳县财政局关于印发《曲阳县县级部门预算绩效管理办法》的通知（曲财〔2019〕72号）；</w:t>
      </w:r>
    </w:p>
    <w:p>
      <w:pPr>
        <w:spacing w:after="0" w:line="360" w:lineRule="auto"/>
        <w:ind w:firstLine="640" w:firstLineChars="200"/>
        <w:jc w:val="both"/>
        <w:textAlignment w:val="baseline"/>
        <w:rPr>
          <w:rFonts w:hint="eastAsia" w:ascii="仿宋_GB2312" w:eastAsia="仿宋_GB2312" w:cs="DengXian-Regular"/>
          <w:color w:val="auto"/>
          <w:sz w:val="32"/>
          <w:szCs w:val="32"/>
        </w:rPr>
      </w:pPr>
      <w:r>
        <w:rPr>
          <w:rFonts w:hint="eastAsia" w:ascii="仿宋_GB2312" w:eastAsia="仿宋_GB2312" w:cs="DengXian-Regular"/>
          <w:color w:val="auto"/>
          <w:sz w:val="32"/>
          <w:szCs w:val="32"/>
        </w:rPr>
        <w:t>7.《曲阳县财政局关于印发2022年县级财政重点绩效评价计划的通知》（曲财[2022]54号）；</w:t>
      </w:r>
    </w:p>
    <w:p>
      <w:pPr>
        <w:spacing w:after="0" w:line="360" w:lineRule="auto"/>
        <w:ind w:firstLine="640" w:firstLineChars="200"/>
        <w:jc w:val="both"/>
        <w:textAlignment w:val="baseline"/>
        <w:rPr>
          <w:rFonts w:hint="eastAsia" w:ascii="仿宋_GB2312" w:eastAsia="仿宋_GB2312" w:cs="DengXian-Regular"/>
          <w:color w:val="auto"/>
          <w:sz w:val="32"/>
          <w:szCs w:val="32"/>
          <w:lang w:val="en-US" w:eastAsia="zh-CN"/>
        </w:rPr>
      </w:pPr>
      <w:r>
        <w:rPr>
          <w:rFonts w:hint="eastAsia" w:ascii="仿宋_GB2312" w:eastAsia="仿宋_GB2312" w:cs="DengXian-Regular"/>
          <w:color w:val="auto"/>
          <w:sz w:val="32"/>
          <w:szCs w:val="32"/>
          <w:lang w:val="en-US" w:eastAsia="zh-CN"/>
        </w:rPr>
        <w:t>8.《曲阳县应急管理局2021年部门整体支出绩效评价工作方案》；</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lang w:val="en-US" w:eastAsia="zh-CN"/>
        </w:rPr>
        <w:t>9.</w:t>
      </w:r>
      <w:r>
        <w:rPr>
          <w:rFonts w:hint="eastAsia" w:ascii="仿宋_GB2312" w:eastAsia="仿宋_GB2312" w:cs="DengXian-Regular"/>
          <w:color w:val="auto"/>
          <w:sz w:val="32"/>
          <w:szCs w:val="32"/>
        </w:rPr>
        <w:t>其他与部门绩效评价工作相关的文件。</w:t>
      </w:r>
      <w:bookmarkStart w:id="36" w:name="_Toc492652778"/>
    </w:p>
    <w:p>
      <w:pPr>
        <w:pStyle w:val="5"/>
        <w:spacing w:before="0" w:after="0"/>
        <w:ind w:firstLine="643" w:firstLineChars="200"/>
        <w:jc w:val="both"/>
        <w:rPr>
          <w:rFonts w:ascii="楷体_GB2312" w:eastAsia="楷体_GB2312" w:hAnsiTheme="minorEastAsia"/>
          <w:color w:val="auto"/>
          <w:kern w:val="2"/>
          <w:sz w:val="32"/>
        </w:rPr>
      </w:pPr>
      <w:bookmarkStart w:id="37" w:name="_Toc7609"/>
      <w:r>
        <w:rPr>
          <w:rFonts w:hint="eastAsia" w:ascii="楷体_GB2312" w:eastAsia="楷体_GB2312" w:hAnsiTheme="minorEastAsia"/>
          <w:color w:val="auto"/>
          <w:kern w:val="2"/>
          <w:sz w:val="32"/>
        </w:rPr>
        <w:t>（三）绩效评价</w:t>
      </w:r>
      <w:bookmarkEnd w:id="36"/>
      <w:r>
        <w:rPr>
          <w:rFonts w:hint="eastAsia" w:ascii="楷体_GB2312" w:eastAsia="楷体_GB2312" w:hAnsiTheme="minorEastAsia"/>
          <w:color w:val="auto"/>
          <w:kern w:val="2"/>
          <w:sz w:val="32"/>
        </w:rPr>
        <w:t>内容</w:t>
      </w:r>
      <w:bookmarkEnd w:id="37"/>
    </w:p>
    <w:bookmarkEnd w:id="35"/>
    <w:p>
      <w:pPr>
        <w:spacing w:after="0" w:line="360" w:lineRule="auto"/>
        <w:ind w:firstLine="640" w:firstLineChars="200"/>
        <w:jc w:val="both"/>
        <w:textAlignment w:val="baseline"/>
        <w:rPr>
          <w:rFonts w:ascii="仿宋_GB2312" w:eastAsia="仿宋_GB2312" w:cs="DengXian-Regular"/>
          <w:color w:val="auto"/>
          <w:sz w:val="32"/>
          <w:szCs w:val="32"/>
        </w:rPr>
      </w:pPr>
      <w:bookmarkStart w:id="38" w:name="_Toc465149508"/>
      <w:bookmarkStart w:id="39" w:name="_Toc492652779"/>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年部门整体支出绩效目标和指标的设置及完成情况；资金预算情况、实际收支情况及结转结余情况；部门履职对社会发展所带来的直接或间接影响及服务对象对部门履职效果的满意程度。</w:t>
      </w:r>
    </w:p>
    <w:p>
      <w:pPr>
        <w:pStyle w:val="5"/>
        <w:spacing w:before="0" w:after="0"/>
        <w:ind w:firstLine="643" w:firstLineChars="200"/>
        <w:jc w:val="both"/>
        <w:rPr>
          <w:rFonts w:ascii="楷体_GB2312" w:eastAsia="楷体_GB2312" w:hAnsiTheme="minorEastAsia"/>
          <w:color w:val="auto"/>
          <w:kern w:val="2"/>
          <w:sz w:val="32"/>
        </w:rPr>
      </w:pPr>
      <w:bookmarkStart w:id="40" w:name="_Toc789"/>
      <w:r>
        <w:rPr>
          <w:rFonts w:hint="eastAsia" w:ascii="楷体_GB2312" w:eastAsia="楷体_GB2312" w:hAnsiTheme="minorEastAsia"/>
          <w:color w:val="auto"/>
          <w:kern w:val="2"/>
          <w:sz w:val="32"/>
        </w:rPr>
        <w:t>（四）绩效评价原则</w:t>
      </w:r>
      <w:bookmarkEnd w:id="40"/>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1.价值导向原则：财政支出绩效评价体系应能够反映财政支出的经济性、效益性、有效性原则，体现财政部门和项目主管部门的价值导向。</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2.重要性原则：根据指标在整个指标体系中的地位和作用进行筛选，选择最具代表性、最能反映评价要求的指标。</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3.综合性原则：将定性指标和定量指标相结合，定性分析是定量分析的基础，定量分析是定性分析的深化，两者相结合系统反映财政支出所产生的社会效益。</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4.经济性原则：指标的选取要考虑现实条件及可操作性，数据的获得应符合成本效益原则，在合理成本的基础上收集信息。</w:t>
      </w:r>
    </w:p>
    <w:p>
      <w:pPr>
        <w:pStyle w:val="5"/>
        <w:spacing w:before="0" w:after="0"/>
        <w:ind w:firstLine="643" w:firstLineChars="200"/>
        <w:jc w:val="both"/>
        <w:rPr>
          <w:rFonts w:ascii="楷体_GB2312" w:eastAsia="楷体_GB2312" w:hAnsiTheme="minorEastAsia"/>
          <w:color w:val="auto"/>
          <w:kern w:val="2"/>
          <w:sz w:val="32"/>
        </w:rPr>
      </w:pPr>
      <w:bookmarkStart w:id="41" w:name="_Toc8171"/>
      <w:r>
        <w:rPr>
          <w:rFonts w:hint="eastAsia" w:ascii="楷体_GB2312" w:eastAsia="楷体_GB2312" w:hAnsiTheme="minorEastAsia"/>
          <w:color w:val="auto"/>
          <w:kern w:val="2"/>
          <w:sz w:val="32"/>
        </w:rPr>
        <w:t>（五）</w:t>
      </w:r>
      <w:bookmarkEnd w:id="38"/>
      <w:bookmarkStart w:id="42" w:name="_Toc465149509"/>
      <w:r>
        <w:rPr>
          <w:rFonts w:hint="eastAsia" w:ascii="楷体_GB2312" w:eastAsia="楷体_GB2312" w:hAnsiTheme="minorEastAsia"/>
          <w:color w:val="auto"/>
          <w:kern w:val="2"/>
          <w:sz w:val="32"/>
        </w:rPr>
        <w:t>绩效评价方法</w:t>
      </w:r>
      <w:bookmarkEnd w:id="39"/>
      <w:bookmarkEnd w:id="41"/>
      <w:bookmarkEnd w:id="42"/>
    </w:p>
    <w:p>
      <w:pPr>
        <w:spacing w:after="0" w:line="360" w:lineRule="auto"/>
        <w:ind w:firstLine="640" w:firstLineChars="200"/>
        <w:jc w:val="both"/>
        <w:textAlignment w:val="baseline"/>
        <w:rPr>
          <w:rFonts w:ascii="仿宋_GB2312" w:eastAsia="仿宋_GB2312" w:cs="DengXian-Regular"/>
          <w:color w:val="auto"/>
          <w:sz w:val="32"/>
          <w:szCs w:val="32"/>
        </w:rPr>
      </w:pPr>
      <w:bookmarkStart w:id="43" w:name="_Toc422314152"/>
      <w:bookmarkStart w:id="44" w:name="_Toc421623217"/>
      <w:bookmarkStart w:id="45" w:name="_Toc492652780"/>
      <w:bookmarkStart w:id="46" w:name="_Toc465149510"/>
      <w:r>
        <w:rPr>
          <w:rFonts w:ascii="仿宋_GB2312" w:eastAsia="仿宋_GB2312" w:cs="DengXian-Regular"/>
          <w:color w:val="auto"/>
          <w:sz w:val="32"/>
          <w:szCs w:val="32"/>
        </w:rPr>
        <w:t>本次评价采取</w:t>
      </w:r>
      <w:r>
        <w:rPr>
          <w:rFonts w:hint="eastAsia" w:ascii="仿宋_GB2312" w:eastAsia="仿宋_GB2312" w:cs="DengXian-Regular"/>
          <w:color w:val="auto"/>
          <w:sz w:val="32"/>
          <w:szCs w:val="32"/>
        </w:rPr>
        <w:t>目标比较法、</w:t>
      </w:r>
      <w:r>
        <w:rPr>
          <w:rFonts w:ascii="仿宋_GB2312" w:eastAsia="仿宋_GB2312" w:cs="DengXian-Regular"/>
          <w:color w:val="auto"/>
          <w:sz w:val="32"/>
          <w:szCs w:val="32"/>
        </w:rPr>
        <w:t>定量和定性评价相结合和综合评价相结合</w:t>
      </w:r>
      <w:r>
        <w:rPr>
          <w:rFonts w:hint="eastAsia" w:ascii="仿宋_GB2312" w:eastAsia="仿宋_GB2312" w:cs="DengXian-Regular"/>
          <w:color w:val="auto"/>
          <w:sz w:val="32"/>
          <w:szCs w:val="32"/>
        </w:rPr>
        <w:t>的方式</w:t>
      </w:r>
      <w:r>
        <w:rPr>
          <w:rFonts w:ascii="仿宋_GB2312" w:eastAsia="仿宋_GB2312" w:cs="DengXian-Regular"/>
          <w:color w:val="auto"/>
          <w:sz w:val="32"/>
          <w:szCs w:val="32"/>
        </w:rPr>
        <w:t>，运用审查、</w:t>
      </w:r>
      <w:r>
        <w:rPr>
          <w:rFonts w:hint="eastAsia" w:ascii="仿宋_GB2312" w:eastAsia="仿宋_GB2312" w:cs="DengXian-Regular"/>
          <w:color w:val="auto"/>
          <w:sz w:val="32"/>
          <w:szCs w:val="32"/>
        </w:rPr>
        <w:t>询问查证和问卷调查</w:t>
      </w:r>
      <w:r>
        <w:rPr>
          <w:rFonts w:ascii="仿宋_GB2312" w:eastAsia="仿宋_GB2312" w:cs="DengXian-Regular"/>
          <w:color w:val="auto"/>
          <w:sz w:val="32"/>
          <w:szCs w:val="32"/>
        </w:rPr>
        <w:t>等方法开展</w:t>
      </w:r>
      <w:r>
        <w:rPr>
          <w:rFonts w:hint="eastAsia" w:ascii="仿宋_GB2312" w:eastAsia="仿宋_GB2312" w:cs="DengXian-Regular"/>
          <w:color w:val="auto"/>
          <w:sz w:val="32"/>
          <w:szCs w:val="32"/>
        </w:rPr>
        <w:t>绩效</w:t>
      </w:r>
      <w:r>
        <w:rPr>
          <w:rFonts w:ascii="仿宋_GB2312" w:eastAsia="仿宋_GB2312" w:cs="DengXian-Regular"/>
          <w:color w:val="auto"/>
          <w:sz w:val="32"/>
          <w:szCs w:val="32"/>
        </w:rPr>
        <w:t>评价工作。</w:t>
      </w:r>
      <w:bookmarkEnd w:id="43"/>
      <w:bookmarkEnd w:id="44"/>
    </w:p>
    <w:p>
      <w:pPr>
        <w:spacing w:after="0" w:line="360" w:lineRule="auto"/>
        <w:ind w:firstLine="640" w:firstLineChars="200"/>
        <w:jc w:val="both"/>
        <w:textAlignment w:val="baseline"/>
        <w:rPr>
          <w:rFonts w:ascii="仿宋_GB2312" w:eastAsia="仿宋_GB2312" w:cs="DengXian-Regular"/>
          <w:color w:val="auto"/>
          <w:sz w:val="32"/>
          <w:szCs w:val="32"/>
        </w:rPr>
      </w:pPr>
      <w:bookmarkStart w:id="47" w:name="_Toc422314153"/>
      <w:bookmarkStart w:id="48" w:name="_Toc421623218"/>
      <w:r>
        <w:rPr>
          <w:rFonts w:ascii="仿宋_GB2312" w:eastAsia="仿宋_GB2312" w:cs="DengXian-Regular"/>
          <w:color w:val="auto"/>
          <w:sz w:val="32"/>
          <w:szCs w:val="32"/>
        </w:rPr>
        <w:t>1</w:t>
      </w:r>
      <w:r>
        <w:rPr>
          <w:rFonts w:hint="eastAsia" w:ascii="仿宋_GB2312" w:eastAsia="仿宋_GB2312" w:cs="DengXian-Regular"/>
          <w:color w:val="auto"/>
          <w:sz w:val="32"/>
          <w:szCs w:val="32"/>
        </w:rPr>
        <w:t>.</w:t>
      </w:r>
      <w:r>
        <w:rPr>
          <w:rFonts w:ascii="仿宋_GB2312" w:eastAsia="仿宋_GB2312" w:cs="DengXian-Regular"/>
          <w:color w:val="auto"/>
          <w:sz w:val="32"/>
          <w:szCs w:val="32"/>
        </w:rPr>
        <w:t>审查法：通过审查被评价单位的</w:t>
      </w:r>
      <w:r>
        <w:rPr>
          <w:rFonts w:hint="eastAsia" w:ascii="仿宋_GB2312" w:eastAsia="仿宋_GB2312" w:cs="DengXian-Regular"/>
          <w:color w:val="auto"/>
          <w:sz w:val="32"/>
          <w:szCs w:val="32"/>
        </w:rPr>
        <w:t>预算文本</w:t>
      </w:r>
      <w:r>
        <w:rPr>
          <w:rFonts w:ascii="仿宋_GB2312" w:eastAsia="仿宋_GB2312" w:cs="DengXian-Regular"/>
          <w:color w:val="auto"/>
          <w:sz w:val="32"/>
          <w:szCs w:val="32"/>
        </w:rPr>
        <w:t>、</w:t>
      </w:r>
      <w:r>
        <w:rPr>
          <w:rFonts w:hint="eastAsia" w:ascii="仿宋_GB2312" w:eastAsia="仿宋_GB2312" w:cs="DengXian-Regular"/>
          <w:color w:val="auto"/>
          <w:sz w:val="32"/>
          <w:szCs w:val="32"/>
        </w:rPr>
        <w:t>决算文本</w:t>
      </w:r>
      <w:r>
        <w:rPr>
          <w:rFonts w:ascii="仿宋_GB2312" w:eastAsia="仿宋_GB2312" w:cs="DengXian-Regular"/>
          <w:color w:val="auto"/>
          <w:sz w:val="32"/>
          <w:szCs w:val="32"/>
        </w:rPr>
        <w:t>、</w:t>
      </w:r>
      <w:r>
        <w:rPr>
          <w:rFonts w:hint="eastAsia" w:ascii="仿宋_GB2312" w:eastAsia="仿宋_GB2312" w:cs="DengXian-Regular"/>
          <w:color w:val="auto"/>
          <w:sz w:val="32"/>
          <w:szCs w:val="32"/>
        </w:rPr>
        <w:t>会计账簿、支出凭证、项目完成情况</w:t>
      </w:r>
      <w:r>
        <w:rPr>
          <w:rFonts w:ascii="仿宋_GB2312" w:eastAsia="仿宋_GB2312" w:cs="DengXian-Regular"/>
          <w:color w:val="auto"/>
          <w:sz w:val="32"/>
          <w:szCs w:val="32"/>
        </w:rPr>
        <w:t>等</w:t>
      </w:r>
      <w:r>
        <w:rPr>
          <w:rFonts w:hint="eastAsia" w:ascii="仿宋_GB2312" w:eastAsia="仿宋_GB2312" w:cs="DengXian-Regular"/>
          <w:color w:val="auto"/>
          <w:sz w:val="32"/>
          <w:szCs w:val="32"/>
        </w:rPr>
        <w:t>相关</w:t>
      </w:r>
      <w:r>
        <w:rPr>
          <w:rFonts w:ascii="仿宋_GB2312" w:eastAsia="仿宋_GB2312" w:cs="DengXian-Regular"/>
          <w:color w:val="auto"/>
          <w:sz w:val="32"/>
          <w:szCs w:val="32"/>
        </w:rPr>
        <w:t>资料，分析资金</w:t>
      </w:r>
      <w:r>
        <w:rPr>
          <w:rFonts w:hint="eastAsia" w:ascii="仿宋_GB2312" w:eastAsia="仿宋_GB2312" w:cs="DengXian-Regular"/>
          <w:color w:val="auto"/>
          <w:sz w:val="32"/>
          <w:szCs w:val="32"/>
        </w:rPr>
        <w:t>收</w:t>
      </w:r>
      <w:r>
        <w:rPr>
          <w:rFonts w:ascii="仿宋_GB2312" w:eastAsia="仿宋_GB2312" w:cs="DengXian-Regular"/>
          <w:color w:val="auto"/>
          <w:sz w:val="32"/>
          <w:szCs w:val="32"/>
        </w:rPr>
        <w:t>支的合理性</w:t>
      </w:r>
      <w:r>
        <w:rPr>
          <w:rFonts w:hint="eastAsia" w:ascii="仿宋_GB2312" w:eastAsia="仿宋_GB2312" w:cs="DengXian-Regular"/>
          <w:color w:val="auto"/>
          <w:sz w:val="32"/>
          <w:szCs w:val="32"/>
        </w:rPr>
        <w:t>和</w:t>
      </w:r>
      <w:r>
        <w:rPr>
          <w:rFonts w:ascii="仿宋_GB2312" w:eastAsia="仿宋_GB2312" w:cs="DengXian-Regular"/>
          <w:color w:val="auto"/>
          <w:sz w:val="32"/>
          <w:szCs w:val="32"/>
        </w:rPr>
        <w:t>合规性</w:t>
      </w:r>
      <w:r>
        <w:rPr>
          <w:rFonts w:hint="eastAsia" w:ascii="仿宋_GB2312" w:eastAsia="仿宋_GB2312" w:cs="DengXian-Regular"/>
          <w:color w:val="auto"/>
          <w:sz w:val="32"/>
          <w:szCs w:val="32"/>
        </w:rPr>
        <w:t>、预算执行及管理情况、绩效目标和指标的设置及完成情况、部门整体效益</w:t>
      </w:r>
      <w:r>
        <w:rPr>
          <w:rFonts w:ascii="仿宋_GB2312" w:eastAsia="仿宋_GB2312" w:cs="DengXian-Regular"/>
          <w:color w:val="auto"/>
          <w:sz w:val="32"/>
          <w:szCs w:val="32"/>
        </w:rPr>
        <w:t>。</w:t>
      </w:r>
      <w:bookmarkEnd w:id="47"/>
      <w:bookmarkEnd w:id="48"/>
    </w:p>
    <w:p>
      <w:pPr>
        <w:spacing w:after="0" w:line="360" w:lineRule="auto"/>
        <w:ind w:firstLine="640" w:firstLineChars="200"/>
        <w:jc w:val="both"/>
        <w:textAlignment w:val="baseline"/>
        <w:rPr>
          <w:rFonts w:ascii="仿宋_GB2312" w:eastAsia="仿宋_GB2312" w:cs="DengXian-Regular"/>
          <w:color w:val="auto"/>
          <w:sz w:val="32"/>
          <w:szCs w:val="32"/>
        </w:rPr>
      </w:pPr>
      <w:bookmarkStart w:id="49" w:name="_Toc422314155"/>
      <w:bookmarkStart w:id="50" w:name="_Toc421623220"/>
      <w:r>
        <w:rPr>
          <w:rFonts w:hint="eastAsia" w:ascii="仿宋_GB2312" w:eastAsia="仿宋_GB2312" w:cs="DengXian-Regular"/>
          <w:color w:val="auto"/>
          <w:sz w:val="32"/>
          <w:szCs w:val="32"/>
        </w:rPr>
        <w:t>2.询问查证</w:t>
      </w:r>
      <w:r>
        <w:rPr>
          <w:rFonts w:ascii="仿宋_GB2312" w:eastAsia="仿宋_GB2312" w:cs="DengXian-Regular"/>
          <w:color w:val="auto"/>
          <w:sz w:val="32"/>
          <w:szCs w:val="32"/>
        </w:rPr>
        <w:t>法：</w:t>
      </w:r>
      <w:r>
        <w:rPr>
          <w:rFonts w:hint="eastAsia" w:ascii="仿宋_GB2312" w:eastAsia="仿宋_GB2312" w:cs="DengXian-Regular"/>
          <w:color w:val="auto"/>
          <w:sz w:val="32"/>
          <w:szCs w:val="32"/>
        </w:rPr>
        <w:t>在比较分析相关资料的基础上，通过询问的形式，核查项目资料是否真实、合理，从而对部门整体支出情况作出初步的判断和评价</w:t>
      </w:r>
      <w:r>
        <w:rPr>
          <w:rFonts w:ascii="仿宋_GB2312" w:eastAsia="仿宋_GB2312" w:cs="DengXian-Regular"/>
          <w:color w:val="auto"/>
          <w:sz w:val="32"/>
          <w:szCs w:val="32"/>
        </w:rPr>
        <w:t>。</w:t>
      </w:r>
      <w:bookmarkEnd w:id="49"/>
      <w:bookmarkEnd w:id="50"/>
    </w:p>
    <w:p>
      <w:pPr>
        <w:spacing w:after="0" w:line="360" w:lineRule="auto"/>
        <w:ind w:firstLine="640" w:firstLineChars="200"/>
        <w:jc w:val="both"/>
        <w:textAlignment w:val="baseline"/>
        <w:rPr>
          <w:rFonts w:ascii="仿宋_GB2312" w:eastAsia="仿宋_GB2312" w:cs="DengXian-Regular"/>
          <w:color w:val="auto"/>
          <w:sz w:val="32"/>
          <w:szCs w:val="32"/>
        </w:rPr>
      </w:pPr>
      <w:bookmarkStart w:id="51" w:name="_Toc422314156"/>
      <w:bookmarkStart w:id="52" w:name="_Toc421623221"/>
      <w:r>
        <w:rPr>
          <w:rFonts w:hint="eastAsia" w:ascii="仿宋_GB2312" w:eastAsia="仿宋_GB2312" w:cs="DengXian-Regular"/>
          <w:color w:val="auto"/>
          <w:sz w:val="32"/>
          <w:szCs w:val="32"/>
        </w:rPr>
        <w:t>3.问卷调查</w:t>
      </w:r>
      <w:r>
        <w:rPr>
          <w:rFonts w:ascii="仿宋_GB2312" w:eastAsia="仿宋_GB2312" w:cs="DengXian-Regular"/>
          <w:color w:val="auto"/>
          <w:sz w:val="32"/>
          <w:szCs w:val="32"/>
        </w:rPr>
        <w:t>法：通过</w:t>
      </w:r>
      <w:r>
        <w:rPr>
          <w:rFonts w:hint="eastAsia" w:ascii="仿宋_GB2312" w:eastAsia="仿宋_GB2312" w:cs="DengXian-Regular"/>
          <w:color w:val="auto"/>
          <w:sz w:val="32"/>
          <w:szCs w:val="32"/>
        </w:rPr>
        <w:t>设计调查问卷，在一定范围内随机发放，并收集分析调查问卷，</w:t>
      </w:r>
      <w:r>
        <w:rPr>
          <w:rFonts w:ascii="仿宋_GB2312" w:eastAsia="仿宋_GB2312" w:cs="DengXian-Regular"/>
          <w:color w:val="auto"/>
          <w:sz w:val="32"/>
          <w:szCs w:val="32"/>
        </w:rPr>
        <w:t>对财政支出的效果进行</w:t>
      </w:r>
      <w:r>
        <w:rPr>
          <w:rFonts w:hint="eastAsia" w:ascii="仿宋_GB2312" w:eastAsia="仿宋_GB2312" w:cs="DengXian-Regular"/>
          <w:color w:val="auto"/>
          <w:sz w:val="32"/>
          <w:szCs w:val="32"/>
        </w:rPr>
        <w:t>评价</w:t>
      </w:r>
      <w:r>
        <w:rPr>
          <w:rFonts w:ascii="仿宋_GB2312" w:eastAsia="仿宋_GB2312" w:cs="DengXian-Regular"/>
          <w:color w:val="auto"/>
          <w:sz w:val="32"/>
          <w:szCs w:val="32"/>
        </w:rPr>
        <w:t>，</w:t>
      </w:r>
      <w:r>
        <w:rPr>
          <w:rFonts w:hint="eastAsia" w:ascii="仿宋_GB2312" w:eastAsia="仿宋_GB2312" w:cs="DengXian-Regular"/>
          <w:color w:val="auto"/>
          <w:sz w:val="32"/>
          <w:szCs w:val="32"/>
        </w:rPr>
        <w:t>了解服务对象对部门履职效果</w:t>
      </w:r>
      <w:r>
        <w:rPr>
          <w:rFonts w:ascii="仿宋_GB2312" w:eastAsia="仿宋_GB2312" w:cs="DengXian-Regular"/>
          <w:color w:val="auto"/>
          <w:sz w:val="32"/>
          <w:szCs w:val="32"/>
        </w:rPr>
        <w:t>的满意</w:t>
      </w:r>
      <w:r>
        <w:rPr>
          <w:rFonts w:hint="eastAsia" w:ascii="仿宋_GB2312" w:eastAsia="仿宋_GB2312" w:cs="DengXian-Regular"/>
          <w:color w:val="auto"/>
          <w:sz w:val="32"/>
          <w:szCs w:val="32"/>
        </w:rPr>
        <w:t>程</w:t>
      </w:r>
      <w:r>
        <w:rPr>
          <w:rFonts w:ascii="仿宋_GB2312" w:eastAsia="仿宋_GB2312" w:cs="DengXian-Regular"/>
          <w:color w:val="auto"/>
          <w:sz w:val="32"/>
          <w:szCs w:val="32"/>
        </w:rPr>
        <w:t>度。</w:t>
      </w:r>
      <w:bookmarkEnd w:id="51"/>
      <w:bookmarkEnd w:id="52"/>
      <w:bookmarkStart w:id="53" w:name="_Toc20821"/>
    </w:p>
    <w:p>
      <w:pPr>
        <w:spacing w:after="0" w:line="360" w:lineRule="auto"/>
        <w:ind w:firstLine="643" w:firstLineChars="200"/>
        <w:jc w:val="both"/>
        <w:textAlignment w:val="baseline"/>
        <w:rPr>
          <w:rFonts w:ascii="楷体_GB2312" w:eastAsia="楷体_GB2312" w:hAnsiTheme="minorEastAsia"/>
          <w:b/>
          <w:bCs/>
          <w:color w:val="auto"/>
          <w:kern w:val="2"/>
          <w:sz w:val="32"/>
        </w:rPr>
      </w:pPr>
      <w:r>
        <w:rPr>
          <w:rFonts w:hint="eastAsia" w:ascii="楷体_GB2312" w:eastAsia="楷体_GB2312" w:hAnsiTheme="minorEastAsia"/>
          <w:b/>
          <w:bCs/>
          <w:color w:val="auto"/>
          <w:kern w:val="2"/>
          <w:sz w:val="32"/>
        </w:rPr>
        <w:t>（六）绩效评价工作过程</w:t>
      </w:r>
      <w:bookmarkEnd w:id="45"/>
      <w:bookmarkEnd w:id="46"/>
      <w:bookmarkEnd w:id="53"/>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本次绩效评价工作经过了前期准备、绩效评价实施方案和指标体系制定、组织实施、绩效评价报告撰写四个阶段。</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1.前期准备阶段</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经与</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充分沟通，并充分收集相关资料，主要包括部门职责、工作活动、预决算文本、相关管理制度、资金使用等相关资料，为制定绩效评价实施方案和指标体系奠定了基础。</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2.制定绩效评价实施方案和体系</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基于对</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的沟通了解及相关资料的收集，制定绩效评价实施方案和体系，由保定市徐水区财政局相关人员对评价方案及评价体系进行修正，确定最终方案。</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3.组织实施阶段</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根据绩效评价实施方案和指标体系，对</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开展现场评价工作，包括查看预决算文本及部门工作活动绩效目标和指标；比对预决算的调整及执行情况；核查固定资产管理的规范性；核查明细账与决算报表项目的一致性；对项目产出情况进行了解查看；随机选取服务对象进行满意度调查；对一些专业的问题咨询相关专家等。根据收集的数据、资料进行核对、比较、计算，对部门整体支出进行评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4.撰写绩效评价报告</w:t>
      </w:r>
      <w:bookmarkStart w:id="54" w:name="_Toc465149511"/>
      <w:bookmarkStart w:id="55" w:name="_Toc492652781"/>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在完成对各评价指标评分定级的基础上，开始进行报告撰写工作。在该阶段，我们对所有的指标评分值进行了重新复核，确保其一致性。报告撰写完成后经过内部讨论、与委托方交换沟通、审核修改报告，最终形成正式报告。</w:t>
      </w:r>
    </w:p>
    <w:p>
      <w:pPr>
        <w:pStyle w:val="4"/>
        <w:spacing w:before="0" w:after="0" w:line="360" w:lineRule="auto"/>
        <w:ind w:firstLine="643" w:firstLineChars="200"/>
        <w:rPr>
          <w:rFonts w:ascii="黑体"/>
          <w:color w:val="auto"/>
        </w:rPr>
      </w:pPr>
      <w:bookmarkStart w:id="56" w:name="_Toc6467"/>
      <w:r>
        <w:rPr>
          <w:rFonts w:hint="eastAsia" w:ascii="黑体"/>
          <w:color w:val="auto"/>
        </w:rPr>
        <w:t>四、</w:t>
      </w:r>
      <w:bookmarkEnd w:id="54"/>
      <w:bookmarkEnd w:id="55"/>
      <w:bookmarkStart w:id="57" w:name="_Toc492652782"/>
      <w:r>
        <w:rPr>
          <w:rFonts w:hint="eastAsia" w:ascii="黑体"/>
          <w:color w:val="auto"/>
        </w:rPr>
        <w:t>绩效评价评分情况</w:t>
      </w:r>
      <w:bookmarkEnd w:id="56"/>
    </w:p>
    <w:bookmarkEnd w:id="57"/>
    <w:p>
      <w:pPr>
        <w:spacing w:after="0" w:line="360" w:lineRule="auto"/>
        <w:ind w:firstLine="640" w:firstLineChars="200"/>
        <w:jc w:val="both"/>
        <w:textAlignment w:val="baseline"/>
        <w:rPr>
          <w:rFonts w:ascii="仿宋_GB2312" w:eastAsia="仿宋_GB2312" w:cs="Times New Roman" w:hAnsiTheme="minorEastAsia"/>
          <w:color w:val="auto"/>
          <w:sz w:val="32"/>
          <w:szCs w:val="32"/>
          <w:highlight w:val="none"/>
          <w:u w:color="000000"/>
        </w:rPr>
      </w:pP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rPr>
        <w:t>部门整体支出绩效评价总得分为</w:t>
      </w:r>
      <w:r>
        <w:rPr>
          <w:rFonts w:hint="eastAsia" w:ascii="仿宋_GB2312" w:eastAsia="仿宋_GB2312" w:cs="DengXian-Regular"/>
          <w:color w:val="auto"/>
          <w:sz w:val="32"/>
          <w:szCs w:val="32"/>
          <w:highlight w:val="none"/>
          <w:lang w:val="en-US" w:eastAsia="zh-CN"/>
        </w:rPr>
        <w:t>91分</w:t>
      </w:r>
      <w:r>
        <w:rPr>
          <w:rFonts w:hint="eastAsia" w:ascii="仿宋_GB2312" w:eastAsia="仿宋_GB2312" w:cs="DengXian-Regular"/>
          <w:color w:val="auto"/>
          <w:sz w:val="32"/>
          <w:szCs w:val="32"/>
          <w:highlight w:val="none"/>
        </w:rPr>
        <w:t>，综合绩效评价等级为“</w:t>
      </w:r>
      <w:r>
        <w:rPr>
          <w:rFonts w:hint="eastAsia" w:ascii="仿宋_GB2312" w:eastAsia="仿宋_GB2312" w:cs="DengXian-Regular"/>
          <w:color w:val="auto"/>
          <w:sz w:val="32"/>
          <w:szCs w:val="32"/>
          <w:highlight w:val="none"/>
          <w:lang w:val="en-US" w:eastAsia="zh-CN"/>
        </w:rPr>
        <w:t>优</w:t>
      </w:r>
      <w:r>
        <w:rPr>
          <w:rFonts w:hint="eastAsia" w:ascii="仿宋_GB2312" w:eastAsia="仿宋_GB2312" w:cs="DengXian-Regular"/>
          <w:color w:val="auto"/>
          <w:sz w:val="32"/>
          <w:szCs w:val="32"/>
          <w:highlight w:val="none"/>
        </w:rPr>
        <w:t>”。各项得分情况如下</w:t>
      </w:r>
      <w:r>
        <w:rPr>
          <w:rFonts w:hint="eastAsia" w:ascii="仿宋_GB2312" w:eastAsia="仿宋_GB2312" w:cs="Times New Roman" w:hAnsiTheme="minorEastAsia"/>
          <w:color w:val="auto"/>
          <w:sz w:val="32"/>
          <w:szCs w:val="32"/>
          <w:highlight w:val="none"/>
          <w:u w:color="000000"/>
        </w:rPr>
        <w:t>：</w:t>
      </w:r>
      <w:r>
        <w:rPr>
          <w:rFonts w:ascii="仿宋_GB2312" w:eastAsia="仿宋_GB2312" w:cs="Times New Roman" w:hAnsiTheme="minorEastAsia"/>
          <w:color w:val="auto"/>
          <w:sz w:val="32"/>
          <w:szCs w:val="32"/>
          <w:highlight w:val="none"/>
          <w:u w:color="000000"/>
        </w:rPr>
        <w:t xml:space="preserve"> </w:t>
      </w:r>
    </w:p>
    <w:p>
      <w:pPr>
        <w:pStyle w:val="5"/>
        <w:spacing w:before="0" w:after="0"/>
        <w:ind w:firstLine="643" w:firstLineChars="200"/>
        <w:jc w:val="both"/>
        <w:rPr>
          <w:rFonts w:ascii="楷体_GB2312" w:eastAsia="楷体_GB2312" w:hAnsiTheme="minorEastAsia"/>
          <w:color w:val="auto"/>
          <w:kern w:val="2"/>
          <w:sz w:val="32"/>
        </w:rPr>
      </w:pPr>
      <w:bookmarkStart w:id="58" w:name="_Toc492652783"/>
      <w:bookmarkStart w:id="59" w:name="_Toc4390"/>
      <w:r>
        <w:rPr>
          <w:rFonts w:hint="eastAsia" w:ascii="楷体_GB2312" w:eastAsia="楷体_GB2312" w:hAnsiTheme="minorEastAsia"/>
          <w:color w:val="auto"/>
          <w:kern w:val="2"/>
          <w:sz w:val="32"/>
        </w:rPr>
        <w:t>（一）</w:t>
      </w:r>
      <w:bookmarkEnd w:id="58"/>
      <w:r>
        <w:rPr>
          <w:rFonts w:hint="eastAsia" w:ascii="楷体_GB2312" w:eastAsia="楷体_GB2312" w:hAnsiTheme="minorEastAsia"/>
          <w:color w:val="auto"/>
          <w:kern w:val="2"/>
          <w:sz w:val="32"/>
        </w:rPr>
        <w:t>投入（12分）</w:t>
      </w:r>
      <w:bookmarkEnd w:id="59"/>
    </w:p>
    <w:p>
      <w:pPr>
        <w:spacing w:after="0" w:line="360" w:lineRule="auto"/>
        <w:ind w:firstLine="640" w:firstLineChars="200"/>
        <w:jc w:val="both"/>
        <w:textAlignment w:val="baseline"/>
        <w:rPr>
          <w:rFonts w:hint="eastAsia" w:ascii="仿宋_GB2312" w:eastAsia="仿宋_GB2312" w:cs="Times New Roman" w:hAnsiTheme="minorEastAsia"/>
          <w:color w:val="auto"/>
          <w:sz w:val="32"/>
          <w:szCs w:val="32"/>
          <w:u w:color="000000"/>
        </w:rPr>
      </w:pPr>
      <w:r>
        <w:rPr>
          <w:rFonts w:hint="eastAsia" w:ascii="仿宋_GB2312" w:eastAsia="仿宋_GB2312" w:cs="DengXian-Regular"/>
          <w:color w:val="auto"/>
          <w:sz w:val="32"/>
          <w:szCs w:val="32"/>
        </w:rPr>
        <w:t>该一级指标包含绩效目标设定和预算配置两个二级指标，主要反映绩效目标设定是否合理、科学，绩效指标的制定是否清晰、可衡量，预算编制是否完整，项目预算是否细化及在职人员控制情况。</w:t>
      </w:r>
      <w:r>
        <w:rPr>
          <w:rFonts w:hint="eastAsia" w:ascii="仿宋_GB2312" w:eastAsia="仿宋_GB2312" w:cs="Times New Roman" w:hAnsiTheme="minorEastAsia"/>
          <w:color w:val="auto"/>
          <w:sz w:val="32"/>
          <w:szCs w:val="32"/>
          <w:u w:color="000000"/>
        </w:rPr>
        <w:tab/>
      </w:r>
    </w:p>
    <w:p>
      <w:pPr>
        <w:spacing w:after="0" w:line="360" w:lineRule="auto"/>
        <w:jc w:val="center"/>
        <w:textAlignment w:val="baseline"/>
        <w:rPr>
          <w:rFonts w:asciiTheme="minorEastAsia" w:hAnsiTheme="minorEastAsia" w:eastAsiaTheme="minorEastAsia" w:cstheme="minorEastAsia"/>
          <w:b/>
          <w:bCs/>
          <w:color w:val="auto"/>
          <w:sz w:val="32"/>
          <w:szCs w:val="32"/>
          <w:u w:color="000000"/>
        </w:rPr>
      </w:pPr>
      <w:r>
        <w:rPr>
          <w:rFonts w:hint="eastAsia" w:asciiTheme="minorEastAsia" w:hAnsiTheme="minorEastAsia" w:eastAsiaTheme="minorEastAsia" w:cstheme="minorEastAsia"/>
          <w:b/>
          <w:bCs/>
          <w:color w:val="auto"/>
          <w:sz w:val="32"/>
          <w:szCs w:val="32"/>
          <w:u w:color="000000"/>
        </w:rPr>
        <w:t>表2  投入指标及得分情况表</w:t>
      </w:r>
    </w:p>
    <w:tbl>
      <w:tblPr>
        <w:tblStyle w:val="23"/>
        <w:tblW w:w="0" w:type="auto"/>
        <w:tblInd w:w="7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59"/>
        <w:gridCol w:w="1418"/>
        <w:gridCol w:w="1701"/>
        <w:gridCol w:w="1276"/>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exact"/>
        </w:trPr>
        <w:tc>
          <w:tcPr>
            <w:tcW w:w="1559" w:type="dxa"/>
            <w:vAlign w:val="center"/>
          </w:tcPr>
          <w:p>
            <w:pPr>
              <w:spacing w:line="420" w:lineRule="exact"/>
              <w:jc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一级指标</w:t>
            </w:r>
          </w:p>
        </w:tc>
        <w:tc>
          <w:tcPr>
            <w:tcW w:w="1418" w:type="dxa"/>
            <w:vAlign w:val="center"/>
          </w:tcPr>
          <w:p>
            <w:pPr>
              <w:spacing w:line="420" w:lineRule="exact"/>
              <w:jc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二级指标</w:t>
            </w:r>
          </w:p>
        </w:tc>
        <w:tc>
          <w:tcPr>
            <w:tcW w:w="1701" w:type="dxa"/>
            <w:vAlign w:val="center"/>
          </w:tcPr>
          <w:p>
            <w:pPr>
              <w:spacing w:line="420" w:lineRule="exact"/>
              <w:jc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三级指标</w:t>
            </w:r>
          </w:p>
        </w:tc>
        <w:tc>
          <w:tcPr>
            <w:tcW w:w="1276" w:type="dxa"/>
            <w:vAlign w:val="center"/>
          </w:tcPr>
          <w:p>
            <w:pPr>
              <w:spacing w:line="420" w:lineRule="exact"/>
              <w:jc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分值权重</w:t>
            </w:r>
          </w:p>
        </w:tc>
        <w:tc>
          <w:tcPr>
            <w:tcW w:w="1134" w:type="dxa"/>
            <w:vAlign w:val="center"/>
          </w:tcPr>
          <w:p>
            <w:pPr>
              <w:spacing w:line="420" w:lineRule="exact"/>
              <w:jc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559" w:type="dxa"/>
            <w:vMerge w:val="restart"/>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投入</w:t>
            </w:r>
          </w:p>
          <w:p>
            <w:pPr>
              <w:spacing w:line="420" w:lineRule="exact"/>
              <w:jc w:val="center"/>
              <w:rPr>
                <w:rFonts w:cs="宋体" w:asciiTheme="minorEastAsia" w:hAnsiTheme="minorEastAsia" w:eastAsiaTheme="minorEastAsia"/>
                <w:color w:val="auto"/>
                <w:sz w:val="21"/>
                <w:szCs w:val="21"/>
                <w:highlight w:val="yellow"/>
              </w:rPr>
            </w:pPr>
            <w:r>
              <w:rPr>
                <w:rFonts w:hint="eastAsia" w:cs="宋体" w:asciiTheme="minorEastAsia" w:hAnsiTheme="minorEastAsia" w:eastAsiaTheme="minorEastAsia"/>
                <w:color w:val="auto"/>
                <w:sz w:val="21"/>
                <w:szCs w:val="21"/>
              </w:rPr>
              <w:t>（12分）</w:t>
            </w:r>
          </w:p>
        </w:tc>
        <w:tc>
          <w:tcPr>
            <w:tcW w:w="1418" w:type="dxa"/>
            <w:vMerge w:val="restart"/>
            <w:vAlign w:val="center"/>
          </w:tcPr>
          <w:p>
            <w:pPr>
              <w:spacing w:line="420" w:lineRule="exact"/>
              <w:jc w:val="center"/>
              <w:rPr>
                <w:rFonts w:cs="宋体" w:asciiTheme="minorEastAsia" w:hAnsiTheme="minorEastAsia" w:eastAsiaTheme="minorEastAsia"/>
                <w:color w:val="auto"/>
                <w:sz w:val="21"/>
                <w:szCs w:val="21"/>
                <w:highlight w:val="yellow"/>
              </w:rPr>
            </w:pPr>
            <w:r>
              <w:rPr>
                <w:rFonts w:hint="eastAsia" w:cs="宋体" w:asciiTheme="minorEastAsia" w:hAnsiTheme="minorEastAsia" w:eastAsiaTheme="minorEastAsia"/>
                <w:color w:val="auto"/>
                <w:sz w:val="21"/>
                <w:szCs w:val="21"/>
              </w:rPr>
              <w:t>绩效目标设置定（6分）</w:t>
            </w:r>
          </w:p>
        </w:tc>
        <w:tc>
          <w:tcPr>
            <w:tcW w:w="1701"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绩效目标合理性</w:t>
            </w:r>
          </w:p>
        </w:tc>
        <w:tc>
          <w:tcPr>
            <w:tcW w:w="1276"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c>
          <w:tcPr>
            <w:tcW w:w="1134"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559" w:type="dxa"/>
            <w:vMerge w:val="continue"/>
            <w:vAlign w:val="center"/>
          </w:tcPr>
          <w:p>
            <w:pPr>
              <w:spacing w:line="420" w:lineRule="exact"/>
              <w:ind w:firstLine="420" w:firstLineChars="200"/>
              <w:jc w:val="center"/>
              <w:rPr>
                <w:rFonts w:cs="宋体" w:asciiTheme="minorEastAsia" w:hAnsiTheme="minorEastAsia" w:eastAsiaTheme="minorEastAsia"/>
                <w:color w:val="auto"/>
                <w:sz w:val="21"/>
                <w:szCs w:val="21"/>
                <w:highlight w:val="yellow"/>
              </w:rPr>
            </w:pPr>
          </w:p>
        </w:tc>
        <w:tc>
          <w:tcPr>
            <w:tcW w:w="1418" w:type="dxa"/>
            <w:vMerge w:val="continue"/>
            <w:vAlign w:val="center"/>
          </w:tcPr>
          <w:p>
            <w:pPr>
              <w:spacing w:line="420" w:lineRule="exact"/>
              <w:ind w:firstLine="420" w:firstLineChars="200"/>
              <w:jc w:val="center"/>
              <w:rPr>
                <w:rFonts w:cs="宋体" w:asciiTheme="minorEastAsia" w:hAnsiTheme="minorEastAsia" w:eastAsiaTheme="minorEastAsia"/>
                <w:color w:val="auto"/>
                <w:sz w:val="21"/>
                <w:szCs w:val="21"/>
                <w:highlight w:val="yellow"/>
              </w:rPr>
            </w:pPr>
          </w:p>
        </w:tc>
        <w:tc>
          <w:tcPr>
            <w:tcW w:w="1701"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绩效目标科学性</w:t>
            </w:r>
          </w:p>
        </w:tc>
        <w:tc>
          <w:tcPr>
            <w:tcW w:w="1276"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c>
          <w:tcPr>
            <w:tcW w:w="1134"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559" w:type="dxa"/>
            <w:vMerge w:val="continue"/>
            <w:vAlign w:val="center"/>
          </w:tcPr>
          <w:p>
            <w:pPr>
              <w:spacing w:line="420" w:lineRule="exact"/>
              <w:ind w:firstLine="420" w:firstLineChars="200"/>
              <w:jc w:val="center"/>
              <w:rPr>
                <w:rFonts w:cs="宋体" w:asciiTheme="minorEastAsia" w:hAnsiTheme="minorEastAsia" w:eastAsiaTheme="minorEastAsia"/>
                <w:color w:val="auto"/>
                <w:sz w:val="21"/>
                <w:szCs w:val="21"/>
                <w:highlight w:val="yellow"/>
              </w:rPr>
            </w:pPr>
          </w:p>
        </w:tc>
        <w:tc>
          <w:tcPr>
            <w:tcW w:w="1418" w:type="dxa"/>
            <w:vMerge w:val="continue"/>
            <w:vAlign w:val="center"/>
          </w:tcPr>
          <w:p>
            <w:pPr>
              <w:spacing w:line="420" w:lineRule="exact"/>
              <w:ind w:firstLine="420" w:firstLineChars="200"/>
              <w:jc w:val="center"/>
              <w:rPr>
                <w:rFonts w:cs="宋体" w:asciiTheme="minorEastAsia" w:hAnsiTheme="minorEastAsia" w:eastAsiaTheme="minorEastAsia"/>
                <w:color w:val="auto"/>
                <w:sz w:val="21"/>
                <w:szCs w:val="21"/>
                <w:highlight w:val="yellow"/>
              </w:rPr>
            </w:pPr>
          </w:p>
        </w:tc>
        <w:tc>
          <w:tcPr>
            <w:tcW w:w="1701"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绩效指标明确性</w:t>
            </w:r>
          </w:p>
        </w:tc>
        <w:tc>
          <w:tcPr>
            <w:tcW w:w="1276"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c>
          <w:tcPr>
            <w:tcW w:w="1134" w:type="dxa"/>
            <w:vAlign w:val="center"/>
          </w:tcPr>
          <w:p>
            <w:pPr>
              <w:spacing w:line="420" w:lineRule="exact"/>
              <w:jc w:val="center"/>
              <w:rPr>
                <w:rFonts w:hint="eastAsia" w:cs="宋体" w:asciiTheme="minorEastAsia" w:hAnsiTheme="minorEastAsia" w:eastAsiaTheme="minorEastAsia"/>
                <w:color w:val="auto"/>
                <w:sz w:val="21"/>
                <w:szCs w:val="21"/>
                <w:lang w:eastAsia="zh-CN"/>
              </w:rPr>
            </w:pPr>
            <w:r>
              <w:rPr>
                <w:rFonts w:hint="eastAsia" w:cs="宋体" w:asciiTheme="minorEastAsia" w:hAnsiTheme="minorEastAsia" w:eastAsiaTheme="minorEastAsia"/>
                <w:color w:val="auto"/>
                <w:sz w:val="21"/>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559" w:type="dxa"/>
            <w:vMerge w:val="continue"/>
            <w:vAlign w:val="center"/>
          </w:tcPr>
          <w:p>
            <w:pPr>
              <w:spacing w:line="420" w:lineRule="exact"/>
              <w:ind w:firstLine="420" w:firstLineChars="200"/>
              <w:jc w:val="center"/>
              <w:rPr>
                <w:rFonts w:cs="宋体" w:asciiTheme="minorEastAsia" w:hAnsiTheme="minorEastAsia" w:eastAsiaTheme="minorEastAsia"/>
                <w:color w:val="auto"/>
                <w:sz w:val="21"/>
                <w:szCs w:val="21"/>
                <w:highlight w:val="yellow"/>
              </w:rPr>
            </w:pPr>
          </w:p>
        </w:tc>
        <w:tc>
          <w:tcPr>
            <w:tcW w:w="1418" w:type="dxa"/>
            <w:vMerge w:val="restart"/>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预算配置</w:t>
            </w:r>
          </w:p>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（6分）</w:t>
            </w:r>
          </w:p>
        </w:tc>
        <w:tc>
          <w:tcPr>
            <w:tcW w:w="1701"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预算编制完整性</w:t>
            </w:r>
          </w:p>
        </w:tc>
        <w:tc>
          <w:tcPr>
            <w:tcW w:w="1276"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c>
          <w:tcPr>
            <w:tcW w:w="1134"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559" w:type="dxa"/>
            <w:vMerge w:val="continue"/>
            <w:vAlign w:val="center"/>
          </w:tcPr>
          <w:p>
            <w:pPr>
              <w:spacing w:line="420" w:lineRule="exact"/>
              <w:ind w:firstLine="420" w:firstLineChars="200"/>
              <w:jc w:val="center"/>
              <w:rPr>
                <w:rFonts w:cs="宋体" w:asciiTheme="minorEastAsia" w:hAnsiTheme="minorEastAsia" w:eastAsiaTheme="minorEastAsia"/>
                <w:color w:val="auto"/>
                <w:sz w:val="21"/>
                <w:szCs w:val="21"/>
                <w:highlight w:val="yellow"/>
              </w:rPr>
            </w:pPr>
          </w:p>
        </w:tc>
        <w:tc>
          <w:tcPr>
            <w:tcW w:w="1418" w:type="dxa"/>
            <w:vMerge w:val="continue"/>
            <w:vAlign w:val="center"/>
          </w:tcPr>
          <w:p>
            <w:pPr>
              <w:spacing w:line="420" w:lineRule="exact"/>
              <w:ind w:firstLine="420" w:firstLineChars="200"/>
              <w:jc w:val="center"/>
              <w:rPr>
                <w:rFonts w:cs="宋体" w:asciiTheme="minorEastAsia" w:hAnsiTheme="minorEastAsia" w:eastAsiaTheme="minorEastAsia"/>
                <w:color w:val="auto"/>
                <w:sz w:val="21"/>
                <w:szCs w:val="21"/>
                <w:highlight w:val="yellow"/>
              </w:rPr>
            </w:pPr>
          </w:p>
        </w:tc>
        <w:tc>
          <w:tcPr>
            <w:tcW w:w="1701"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项目预算细化率</w:t>
            </w:r>
          </w:p>
        </w:tc>
        <w:tc>
          <w:tcPr>
            <w:tcW w:w="1276"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c>
          <w:tcPr>
            <w:tcW w:w="1134"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559" w:type="dxa"/>
            <w:vMerge w:val="continue"/>
            <w:vAlign w:val="center"/>
          </w:tcPr>
          <w:p>
            <w:pPr>
              <w:spacing w:line="420" w:lineRule="exact"/>
              <w:ind w:firstLine="420" w:firstLineChars="200"/>
              <w:jc w:val="center"/>
              <w:rPr>
                <w:rFonts w:cs="宋体" w:asciiTheme="minorEastAsia" w:hAnsiTheme="minorEastAsia" w:eastAsiaTheme="minorEastAsia"/>
                <w:color w:val="auto"/>
                <w:sz w:val="21"/>
                <w:szCs w:val="21"/>
                <w:highlight w:val="yellow"/>
              </w:rPr>
            </w:pPr>
          </w:p>
        </w:tc>
        <w:tc>
          <w:tcPr>
            <w:tcW w:w="1418" w:type="dxa"/>
            <w:vMerge w:val="continue"/>
            <w:vAlign w:val="center"/>
          </w:tcPr>
          <w:p>
            <w:pPr>
              <w:spacing w:line="420" w:lineRule="exact"/>
              <w:ind w:firstLine="420" w:firstLineChars="200"/>
              <w:jc w:val="center"/>
              <w:rPr>
                <w:rFonts w:cs="宋体" w:asciiTheme="minorEastAsia" w:hAnsiTheme="minorEastAsia" w:eastAsiaTheme="minorEastAsia"/>
                <w:color w:val="auto"/>
                <w:sz w:val="21"/>
                <w:szCs w:val="21"/>
                <w:highlight w:val="yellow"/>
              </w:rPr>
            </w:pPr>
          </w:p>
        </w:tc>
        <w:tc>
          <w:tcPr>
            <w:tcW w:w="1701"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在职人员控制率</w:t>
            </w:r>
          </w:p>
        </w:tc>
        <w:tc>
          <w:tcPr>
            <w:tcW w:w="1276"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c>
          <w:tcPr>
            <w:tcW w:w="1134" w:type="dxa"/>
            <w:vAlign w:val="center"/>
          </w:tcPr>
          <w:p>
            <w:pPr>
              <w:spacing w:line="420" w:lineRule="exact"/>
              <w:jc w:val="center"/>
              <w:rPr>
                <w:rFonts w:hint="eastAsia" w:cs="宋体" w:asciiTheme="minorEastAsia" w:hAnsiTheme="minorEastAsia" w:eastAsiaTheme="minorEastAsia"/>
                <w:color w:val="auto"/>
                <w:sz w:val="21"/>
                <w:szCs w:val="21"/>
                <w:lang w:eastAsia="zh-CN"/>
              </w:rPr>
            </w:pPr>
            <w:r>
              <w:rPr>
                <w:rFonts w:hint="eastAsia" w:cs="宋体" w:asciiTheme="minorEastAsia" w:hAnsiTheme="minorEastAsia" w:eastAsiaTheme="minorEastAsia"/>
                <w:color w:val="auto"/>
                <w:sz w:val="21"/>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2977" w:type="dxa"/>
            <w:gridSpan w:val="2"/>
            <w:vAlign w:val="center"/>
          </w:tcPr>
          <w:p>
            <w:pPr>
              <w:spacing w:line="420" w:lineRule="exact"/>
              <w:ind w:firstLine="420" w:firstLineChars="200"/>
              <w:jc w:val="center"/>
              <w:rPr>
                <w:rFonts w:cs="宋体" w:asciiTheme="minorEastAsia" w:hAnsiTheme="minorEastAsia" w:eastAsiaTheme="minorEastAsia"/>
                <w:color w:val="auto"/>
                <w:sz w:val="21"/>
                <w:szCs w:val="21"/>
                <w:highlight w:val="yellow"/>
              </w:rPr>
            </w:pPr>
            <w:r>
              <w:rPr>
                <w:rFonts w:hint="eastAsia" w:cs="宋体" w:asciiTheme="minorEastAsia" w:hAnsiTheme="minorEastAsia" w:eastAsiaTheme="minorEastAsia"/>
                <w:color w:val="auto"/>
                <w:sz w:val="21"/>
                <w:szCs w:val="21"/>
              </w:rPr>
              <w:t>合计</w:t>
            </w:r>
          </w:p>
        </w:tc>
        <w:tc>
          <w:tcPr>
            <w:tcW w:w="1701" w:type="dxa"/>
            <w:vAlign w:val="center"/>
          </w:tcPr>
          <w:p>
            <w:pPr>
              <w:spacing w:line="420" w:lineRule="exact"/>
              <w:ind w:firstLine="420" w:firstLineChars="200"/>
              <w:jc w:val="center"/>
              <w:rPr>
                <w:rFonts w:cs="宋体" w:asciiTheme="minorEastAsia" w:hAnsiTheme="minorEastAsia" w:eastAsiaTheme="minorEastAsia"/>
                <w:color w:val="auto"/>
                <w:sz w:val="21"/>
                <w:szCs w:val="21"/>
                <w:highlight w:val="yellow"/>
              </w:rPr>
            </w:pPr>
          </w:p>
        </w:tc>
        <w:tc>
          <w:tcPr>
            <w:tcW w:w="1276"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12</w:t>
            </w:r>
          </w:p>
        </w:tc>
        <w:tc>
          <w:tcPr>
            <w:tcW w:w="1134" w:type="dxa"/>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9</w:t>
            </w:r>
          </w:p>
        </w:tc>
      </w:tr>
    </w:tbl>
    <w:p>
      <w:pPr>
        <w:spacing w:after="0" w:line="360" w:lineRule="auto"/>
        <w:ind w:firstLine="640" w:firstLineChars="200"/>
        <w:jc w:val="both"/>
        <w:textAlignment w:val="baseline"/>
        <w:rPr>
          <w:rFonts w:ascii="仿宋_GB2312" w:eastAsia="仿宋_GB2312" w:cs="DengXian-Regular"/>
          <w:color w:val="auto"/>
          <w:sz w:val="32"/>
          <w:szCs w:val="32"/>
        </w:rPr>
      </w:pPr>
      <w:bookmarkStart w:id="60" w:name="_Toc465149513"/>
      <w:bookmarkStart w:id="61" w:name="_Toc464638478"/>
      <w:r>
        <w:rPr>
          <w:rFonts w:hint="eastAsia" w:ascii="仿宋_GB2312" w:eastAsia="仿宋_GB2312" w:cs="DengXian-Regular"/>
          <w:color w:val="auto"/>
          <w:sz w:val="32"/>
          <w:szCs w:val="32"/>
        </w:rPr>
        <w:t>1.绩效目标设定（6分）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（1）绩效目标合理性(2分)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部门的职责设定是否符合“三定”方案中所赋予的职责；工作活动是否与部门职责、工作规划和重点工作相关；工作活动项下确定的预算项目是否合理，是否与工作活动密切相关；工作活动和项目预算安排是否合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通过对比</w:t>
      </w:r>
      <w:r>
        <w:rPr>
          <w:rFonts w:hint="eastAsia" w:ascii="仿宋_GB2312" w:eastAsia="仿宋_GB2312" w:cs="DengXian-Regular"/>
          <w:color w:val="auto"/>
          <w:sz w:val="32"/>
          <w:szCs w:val="32"/>
          <w:lang w:val="en-US" w:eastAsia="zh-CN"/>
        </w:rPr>
        <w:t>中共曲阳县</w:t>
      </w:r>
      <w:r>
        <w:rPr>
          <w:rFonts w:hint="eastAsia" w:ascii="仿宋_GB2312" w:eastAsia="仿宋_GB2312" w:cs="DengXian-Regular"/>
          <w:color w:val="auto"/>
          <w:sz w:val="32"/>
          <w:szCs w:val="32"/>
        </w:rPr>
        <w:t>委办公室及</w:t>
      </w:r>
      <w:r>
        <w:rPr>
          <w:rFonts w:hint="eastAsia" w:ascii="仿宋_GB2312" w:eastAsia="仿宋_GB2312" w:cs="DengXian-Regular"/>
          <w:color w:val="auto"/>
          <w:sz w:val="32"/>
          <w:szCs w:val="32"/>
          <w:lang w:val="en-US" w:eastAsia="zh-CN"/>
        </w:rPr>
        <w:t>曲阳县</w:t>
      </w:r>
      <w:r>
        <w:rPr>
          <w:rFonts w:hint="eastAsia" w:ascii="仿宋_GB2312" w:eastAsia="仿宋_GB2312" w:cs="DengXian-Regular"/>
          <w:color w:val="auto"/>
          <w:sz w:val="32"/>
          <w:szCs w:val="32"/>
        </w:rPr>
        <w:t>人民政府办公室印发的《</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职能配置</w:t>
      </w:r>
      <w:r>
        <w:rPr>
          <w:rFonts w:hint="eastAsia" w:ascii="仿宋_GB2312" w:eastAsia="仿宋_GB2312" w:cs="DengXian-Regular"/>
          <w:color w:val="auto"/>
          <w:sz w:val="32"/>
          <w:szCs w:val="32"/>
          <w:lang w:eastAsia="zh-CN"/>
        </w:rPr>
        <w:t>、</w:t>
      </w:r>
      <w:r>
        <w:rPr>
          <w:rFonts w:hint="eastAsia" w:ascii="仿宋_GB2312" w:eastAsia="仿宋_GB2312" w:cs="DengXian-Regular"/>
          <w:color w:val="auto"/>
          <w:sz w:val="32"/>
          <w:szCs w:val="32"/>
        </w:rPr>
        <w:t>内设机构和人员编制规定》和</w:t>
      </w: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年预算文本—部门职责工作活动绩效目标</w:t>
      </w:r>
      <w:r>
        <w:rPr>
          <w:rFonts w:hint="eastAsia" w:ascii="仿宋_GB2312" w:eastAsia="仿宋_GB2312" w:cs="DengXian-Regular"/>
          <w:color w:val="auto"/>
          <w:sz w:val="32"/>
          <w:szCs w:val="32"/>
        </w:rPr>
        <w:t>，评价工作组认为</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部门职责符合“三定”方案中所赋予的职责，绩效目标设立依据充分，符合客观实际，与部门职责、工作规划和重点工作相关，工作活动和项目预算安排合理。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该指标实际得分2分。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（2）绩效目标科学性（2分）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预算批复的部门年度发展规划目标和部门职责分类绩效目标是否充分，是否与部门履职、年度工作任务相符；工作活动是否有明确的绩效目标，绩效目标是否与部门职责目标、部门年度工作目标一致，是否能体现工作活动的产出和效果。</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根据</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w:t>
      </w:r>
      <w:r>
        <w:rPr>
          <w:rFonts w:hint="eastAsia" w:ascii="仿宋_GB2312" w:eastAsia="仿宋_GB2312" w:cs="DengXian-Regular"/>
          <w:color w:val="auto"/>
          <w:sz w:val="32"/>
          <w:szCs w:val="32"/>
          <w:highlight w:val="none"/>
        </w:rPr>
        <w:t>预算文本—部门职责工作活动绩效目标，</w:t>
      </w:r>
      <w:r>
        <w:rPr>
          <w:rFonts w:hint="eastAsia" w:ascii="仿宋_GB2312" w:eastAsia="仿宋_GB2312" w:cs="DengXian-Regular"/>
          <w:color w:val="auto"/>
          <w:sz w:val="32"/>
          <w:szCs w:val="32"/>
        </w:rPr>
        <w:t>绩效目标与部门履职、年度工作任务相符；工作活动有明确的绩效目标，绩效目标与部门职责目标、部门年度工作目标一致。</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该项指标实际得分2分。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（3）绩效目标明确性（2分）</w:t>
      </w:r>
    </w:p>
    <w:p>
      <w:pPr>
        <w:spacing w:after="0" w:line="360" w:lineRule="auto"/>
        <w:ind w:firstLine="640" w:firstLineChars="200"/>
        <w:jc w:val="both"/>
        <w:textAlignment w:val="baseline"/>
        <w:rPr>
          <w:rFonts w:ascii="仿宋_GB2312" w:eastAsia="仿宋_GB2312" w:cs="DengXian-Regular"/>
          <w:color w:val="auto"/>
          <w:sz w:val="32"/>
          <w:szCs w:val="32"/>
          <w:highlight w:val="yellow"/>
        </w:rPr>
      </w:pPr>
      <w:r>
        <w:rPr>
          <w:rFonts w:hint="eastAsia" w:ascii="仿宋_GB2312" w:eastAsia="仿宋_GB2312" w:cs="DengXian-Regular"/>
          <w:color w:val="auto"/>
          <w:sz w:val="32"/>
          <w:szCs w:val="32"/>
        </w:rPr>
        <w:t>该指标主要评价是否将部门整体的绩效目标细化分解为具体的工作任务，工作活动、预算项目绩效指标是否清晰、细化、可评价、可衡量；工作活动、预算项目绩效指标的评价标准是否清晰、可衡量；是否与部门年度的任务数或计划数相对应。</w:t>
      </w:r>
    </w:p>
    <w:p>
      <w:pPr>
        <w:spacing w:after="0" w:line="360" w:lineRule="auto"/>
        <w:ind w:firstLine="640" w:firstLineChars="200"/>
        <w:jc w:val="both"/>
        <w:textAlignment w:val="baseline"/>
        <w:rPr>
          <w:rFonts w:ascii="仿宋_GB2312" w:eastAsia="仿宋_GB2312" w:cs="DengXian-Regular"/>
          <w:color w:val="auto"/>
          <w:sz w:val="32"/>
          <w:szCs w:val="32"/>
          <w:highlight w:val="yellow"/>
        </w:rPr>
      </w:pPr>
      <w:r>
        <w:rPr>
          <w:rFonts w:hint="eastAsia" w:ascii="仿宋_GB2312" w:eastAsia="仿宋_GB2312" w:cs="DengXian-Regular"/>
          <w:color w:val="auto"/>
          <w:sz w:val="32"/>
          <w:szCs w:val="32"/>
        </w:rPr>
        <w:t>根据</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highlight w:val="none"/>
          <w:lang w:eastAsia="zh-CN"/>
        </w:rPr>
        <w:t>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年预算文本—</w:t>
      </w:r>
      <w:r>
        <w:rPr>
          <w:rFonts w:hint="eastAsia" w:ascii="仿宋_GB2312" w:eastAsia="仿宋_GB2312" w:cs="DengXian-Regular"/>
          <w:color w:val="auto"/>
          <w:sz w:val="32"/>
          <w:szCs w:val="32"/>
          <w:highlight w:val="none"/>
          <w:lang w:val="en-US" w:eastAsia="zh-CN"/>
        </w:rPr>
        <w:t>分项</w:t>
      </w:r>
      <w:r>
        <w:rPr>
          <w:rFonts w:hint="eastAsia" w:ascii="仿宋_GB2312" w:eastAsia="仿宋_GB2312" w:cs="DengXian-Regular"/>
          <w:color w:val="auto"/>
          <w:sz w:val="32"/>
          <w:szCs w:val="32"/>
          <w:highlight w:val="none"/>
        </w:rPr>
        <w:t>绩效目标，绩效目标将部门整体的绩</w:t>
      </w:r>
      <w:r>
        <w:rPr>
          <w:rFonts w:hint="eastAsia" w:ascii="仿宋_GB2312" w:eastAsia="仿宋_GB2312" w:cs="DengXian-Regular"/>
          <w:color w:val="auto"/>
          <w:sz w:val="32"/>
          <w:szCs w:val="32"/>
        </w:rPr>
        <w:t>效目标细化分解为具体的工作任务，</w:t>
      </w:r>
      <w:r>
        <w:rPr>
          <w:rFonts w:hint="eastAsia" w:ascii="仿宋_GB2312" w:eastAsia="仿宋_GB2312" w:cs="DengXian-Regular"/>
          <w:color w:val="auto"/>
          <w:sz w:val="32"/>
          <w:szCs w:val="32"/>
          <w:lang w:val="en-US" w:eastAsia="zh-CN"/>
        </w:rPr>
        <w:t>但</w:t>
      </w:r>
      <w:r>
        <w:rPr>
          <w:rFonts w:hint="eastAsia" w:ascii="仿宋_GB2312" w:eastAsia="仿宋_GB2312" w:cs="DengXian-Regular"/>
          <w:color w:val="auto"/>
          <w:sz w:val="32"/>
          <w:szCs w:val="32"/>
        </w:rPr>
        <w:t>工作活动、预算项目绩效指标</w:t>
      </w:r>
      <w:r>
        <w:rPr>
          <w:rFonts w:hint="eastAsia" w:ascii="仿宋_GB2312" w:eastAsia="仿宋_GB2312" w:cs="DengXian-Regular"/>
          <w:color w:val="auto"/>
          <w:sz w:val="32"/>
          <w:szCs w:val="32"/>
          <w:lang w:val="en-US" w:eastAsia="zh-CN"/>
        </w:rPr>
        <w:t>不够</w:t>
      </w:r>
      <w:r>
        <w:rPr>
          <w:rFonts w:hint="eastAsia" w:ascii="仿宋_GB2312" w:eastAsia="仿宋_GB2312" w:cs="DengXian-Regular"/>
          <w:color w:val="auto"/>
          <w:sz w:val="32"/>
          <w:szCs w:val="32"/>
        </w:rPr>
        <w:t>清晰、细化</w:t>
      </w:r>
      <w:r>
        <w:rPr>
          <w:rFonts w:hint="eastAsia" w:ascii="仿宋_GB2312" w:eastAsia="仿宋_GB2312" w:cs="DengXian-Regular"/>
          <w:color w:val="auto"/>
          <w:sz w:val="32"/>
          <w:szCs w:val="32"/>
          <w:lang w:eastAsia="zh-CN"/>
        </w:rPr>
        <w:t>，</w:t>
      </w:r>
      <w:r>
        <w:rPr>
          <w:rFonts w:hint="eastAsia" w:ascii="仿宋_GB2312" w:eastAsia="仿宋_GB2312" w:cs="DengXian-Regular"/>
          <w:color w:val="auto"/>
          <w:sz w:val="32"/>
          <w:szCs w:val="32"/>
        </w:rPr>
        <w:t>评价标准</w:t>
      </w:r>
      <w:r>
        <w:rPr>
          <w:rFonts w:hint="eastAsia" w:ascii="仿宋_GB2312" w:eastAsia="仿宋_GB2312" w:cs="DengXian-Regular"/>
          <w:color w:val="auto"/>
          <w:sz w:val="32"/>
          <w:szCs w:val="32"/>
          <w:lang w:val="en-US" w:eastAsia="zh-CN"/>
        </w:rPr>
        <w:t>不易</w:t>
      </w:r>
      <w:r>
        <w:rPr>
          <w:rFonts w:hint="eastAsia" w:ascii="仿宋_GB2312" w:eastAsia="仿宋_GB2312" w:cs="DengXian-Regular"/>
          <w:color w:val="auto"/>
          <w:sz w:val="32"/>
          <w:szCs w:val="32"/>
        </w:rPr>
        <w:t>衡量</w:t>
      </w:r>
      <w:r>
        <w:rPr>
          <w:rFonts w:hint="eastAsia" w:ascii="仿宋_GB2312" w:eastAsia="仿宋_GB2312" w:cs="DengXian-Regular"/>
          <w:color w:val="auto"/>
          <w:sz w:val="32"/>
          <w:szCs w:val="32"/>
          <w:lang w:eastAsia="zh-CN"/>
        </w:rPr>
        <w:t>，</w:t>
      </w:r>
      <w:r>
        <w:rPr>
          <w:rFonts w:hint="eastAsia" w:ascii="仿宋_GB2312" w:eastAsia="仿宋_GB2312" w:cs="DengXian-Regular"/>
          <w:color w:val="auto"/>
          <w:sz w:val="32"/>
          <w:szCs w:val="32"/>
          <w:lang w:val="en-US" w:eastAsia="zh-CN"/>
        </w:rPr>
        <w:t>扣1分</w:t>
      </w:r>
      <w:r>
        <w:rPr>
          <w:rFonts w:hint="eastAsia" w:ascii="仿宋_GB2312" w:eastAsia="仿宋_GB2312" w:cs="DengXian-Regular"/>
          <w:color w:val="auto"/>
          <w:sz w:val="32"/>
          <w:szCs w:val="32"/>
        </w:rPr>
        <w:t>。</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该指标实际得分</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2.预算配置（6分）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（1）预算编制完整性（2分）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该指标主要评价部门所有收入是否全部纳入部门预算，部门支出预算是否统筹各类支出，按基本支出、项目支出分别编制。</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根据</w:t>
      </w:r>
      <w:r>
        <w:rPr>
          <w:rFonts w:hint="eastAsia" w:ascii="仿宋_GB2312" w:eastAsia="仿宋_GB2312" w:cs="DengXian-Regular"/>
          <w:color w:val="auto"/>
          <w:sz w:val="32"/>
          <w:szCs w:val="32"/>
          <w:lang w:eastAsia="zh-CN"/>
        </w:rPr>
        <w:t>曲阳县应急管理</w:t>
      </w:r>
      <w:r>
        <w:rPr>
          <w:rFonts w:hint="eastAsia" w:ascii="仿宋_GB2312" w:eastAsia="仿宋_GB2312" w:cs="DengXian-Regular"/>
          <w:color w:val="auto"/>
          <w:sz w:val="32"/>
          <w:szCs w:val="32"/>
          <w:highlight w:val="none"/>
          <w:lang w:eastAsia="zh-CN"/>
        </w:rPr>
        <w:t>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年预算文本及相关会计资料，</w:t>
      </w: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rPr>
        <w:t>所有收入均已纳入部门预算，部</w:t>
      </w:r>
      <w:r>
        <w:rPr>
          <w:rFonts w:hint="eastAsia" w:ascii="仿宋_GB2312" w:eastAsia="仿宋_GB2312" w:cs="DengXian-Regular"/>
          <w:color w:val="auto"/>
          <w:sz w:val="32"/>
          <w:szCs w:val="32"/>
        </w:rPr>
        <w:t>门支出按基本支出、项目支出分别编制。</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该指标实际得分2分。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（2）项目预算细化率（2分）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该指标主要评价编报的项目支出是否细化到具体用款单位和项目的资金额度，通过项目预算细化率衡量。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项目预算细化率=细化的项目金额/实际编报的项目金额×100%。</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lang w:eastAsia="zh-CN"/>
        </w:rPr>
      </w:pPr>
      <w:r>
        <w:rPr>
          <w:rFonts w:hint="eastAsia" w:ascii="仿宋_GB2312" w:eastAsia="仿宋_GB2312" w:cs="DengXian-Regular"/>
          <w:color w:val="auto"/>
          <w:sz w:val="32"/>
          <w:szCs w:val="32"/>
          <w:highlight w:val="none"/>
        </w:rPr>
        <w:t>根据</w:t>
      </w: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年预算文本—部门项目支出预算表，</w:t>
      </w:r>
      <w:r>
        <w:rPr>
          <w:rFonts w:hint="eastAsia" w:ascii="仿宋_GB2312" w:eastAsia="仿宋_GB2312" w:cs="DengXian-Regular"/>
          <w:color w:val="auto"/>
          <w:sz w:val="32"/>
          <w:szCs w:val="32"/>
          <w:highlight w:val="none"/>
          <w:lang w:eastAsia="zh-CN"/>
        </w:rPr>
        <w:t>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年预算项目共</w:t>
      </w:r>
      <w:r>
        <w:rPr>
          <w:rFonts w:hint="eastAsia" w:ascii="仿宋_GB2312" w:eastAsia="仿宋_GB2312" w:cs="DengXian-Regular"/>
          <w:color w:val="auto"/>
          <w:sz w:val="32"/>
          <w:szCs w:val="32"/>
          <w:highlight w:val="none"/>
          <w:lang w:val="en-US" w:eastAsia="zh-CN"/>
        </w:rPr>
        <w:t>9</w:t>
      </w:r>
      <w:r>
        <w:rPr>
          <w:rFonts w:hint="eastAsia" w:ascii="仿宋_GB2312" w:eastAsia="仿宋_GB2312" w:cs="DengXian-Regular"/>
          <w:color w:val="auto"/>
          <w:sz w:val="32"/>
          <w:szCs w:val="32"/>
          <w:highlight w:val="none"/>
        </w:rPr>
        <w:t>个</w:t>
      </w:r>
      <w:r>
        <w:rPr>
          <w:rFonts w:hint="eastAsia" w:ascii="仿宋_GB2312" w:eastAsia="仿宋_GB2312" w:cs="DengXian-Regular"/>
          <w:color w:val="auto"/>
          <w:sz w:val="32"/>
          <w:szCs w:val="32"/>
          <w:highlight w:val="none"/>
          <w:lang w:eastAsia="zh-CN"/>
        </w:rPr>
        <w:t>，</w:t>
      </w:r>
      <w:r>
        <w:rPr>
          <w:rFonts w:hint="eastAsia" w:ascii="仿宋_GB2312" w:eastAsia="仿宋_GB2312" w:cs="DengXian-Regular"/>
          <w:color w:val="auto"/>
          <w:sz w:val="32"/>
          <w:szCs w:val="32"/>
          <w:highlight w:val="none"/>
          <w:lang w:val="en-US" w:eastAsia="zh-CN"/>
        </w:rPr>
        <w:t>年中增加4个，共13个项目</w:t>
      </w:r>
      <w:r>
        <w:rPr>
          <w:rFonts w:hint="eastAsia" w:ascii="仿宋_GB2312" w:eastAsia="仿宋_GB2312" w:cs="DengXian-Regular"/>
          <w:color w:val="auto"/>
          <w:sz w:val="32"/>
          <w:szCs w:val="32"/>
          <w:highlight w:val="none"/>
        </w:rPr>
        <w:t>，涉及资金</w:t>
      </w:r>
      <w:r>
        <w:rPr>
          <w:rFonts w:hint="eastAsia" w:ascii="仿宋_GB2312" w:eastAsia="仿宋_GB2312" w:cs="DengXian-Regular"/>
          <w:color w:val="auto"/>
          <w:sz w:val="32"/>
          <w:szCs w:val="32"/>
          <w:highlight w:val="none"/>
          <w:lang w:val="en-US" w:eastAsia="zh-CN"/>
        </w:rPr>
        <w:t>189.91</w:t>
      </w:r>
      <w:r>
        <w:rPr>
          <w:rFonts w:hint="eastAsia" w:ascii="仿宋_GB2312" w:eastAsia="仿宋_GB2312" w:cs="DengXian-Regular"/>
          <w:color w:val="auto"/>
          <w:sz w:val="32"/>
          <w:szCs w:val="32"/>
          <w:highlight w:val="none"/>
        </w:rPr>
        <w:t>万元，所有项目均细化到具体用款单位及项目资金额度。项目预算细化率=（</w:t>
      </w:r>
      <w:r>
        <w:rPr>
          <w:rFonts w:hint="eastAsia" w:ascii="仿宋_GB2312" w:eastAsia="仿宋_GB2312" w:cs="DengXian-Regular"/>
          <w:color w:val="auto"/>
          <w:sz w:val="32"/>
          <w:szCs w:val="32"/>
          <w:highlight w:val="none"/>
          <w:lang w:val="en-US" w:eastAsia="zh-CN"/>
        </w:rPr>
        <w:t>189.91</w:t>
      </w:r>
      <w:r>
        <w:rPr>
          <w:rFonts w:hint="eastAsia"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lang w:val="en-US" w:eastAsia="zh-CN"/>
        </w:rPr>
        <w:t>189.91</w:t>
      </w:r>
      <w:r>
        <w:rPr>
          <w:rFonts w:hint="eastAsia" w:ascii="仿宋_GB2312" w:eastAsia="仿宋_GB2312" w:cs="DengXian-Regular"/>
          <w:color w:val="auto"/>
          <w:sz w:val="32"/>
          <w:szCs w:val="32"/>
          <w:highlight w:val="none"/>
        </w:rPr>
        <w:t>）*100%=100%</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该指标实际得分2分。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（3）在职人员控制率（2分）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该指标主要考核截至</w:t>
      </w:r>
      <w:r>
        <w:rPr>
          <w:rFonts w:hint="eastAsia" w:ascii="仿宋_GB2312" w:eastAsia="仿宋_GB2312" w:cs="DengXian-Regular"/>
          <w:color w:val="auto"/>
          <w:sz w:val="32"/>
          <w:szCs w:val="32"/>
          <w:lang w:eastAsia="zh-CN"/>
        </w:rPr>
        <w:t>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年底</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在职人员控制情况，通过在职人员控制率衡量。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在职人员控制率=决算在职人员/编制数×100%。</w:t>
      </w:r>
    </w:p>
    <w:p>
      <w:pPr>
        <w:spacing w:after="0" w:line="360" w:lineRule="auto"/>
        <w:ind w:firstLine="640" w:firstLineChars="200"/>
        <w:jc w:val="both"/>
        <w:textAlignment w:val="baseline"/>
        <w:rPr>
          <w:rFonts w:hint="default"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rPr>
        <w:t>根据</w:t>
      </w:r>
      <w:r>
        <w:rPr>
          <w:rFonts w:hint="eastAsia" w:ascii="仿宋_GB2312" w:eastAsia="仿宋_GB2312" w:cs="DengXian-Regular"/>
          <w:color w:val="auto"/>
          <w:sz w:val="32"/>
          <w:szCs w:val="32"/>
          <w:lang w:val="en-US" w:eastAsia="zh-CN"/>
        </w:rPr>
        <w:t>中共曲阳县委办公室及曲阳县人民政府办公室</w:t>
      </w:r>
      <w:r>
        <w:rPr>
          <w:rFonts w:hint="eastAsia" w:ascii="仿宋_GB2312" w:eastAsia="仿宋_GB2312" w:cs="DengXian-Regular"/>
          <w:color w:val="auto"/>
          <w:sz w:val="32"/>
          <w:szCs w:val="32"/>
        </w:rPr>
        <w:t>关于印发《</w:t>
      </w:r>
      <w:r>
        <w:rPr>
          <w:rFonts w:hint="eastAsia" w:ascii="仿宋_GB2312" w:eastAsia="仿宋_GB2312" w:cs="DengXian-Regular"/>
          <w:color w:val="auto"/>
          <w:sz w:val="32"/>
          <w:szCs w:val="32"/>
          <w:lang w:eastAsia="zh-CN"/>
        </w:rPr>
        <w:t>曲阳县应急管理局职能配置、内设机构和人员编制规定</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highlight w:val="none"/>
          <w:lang w:eastAsia="zh-CN"/>
        </w:rPr>
        <w:t>曲阳县应急管理局机关行政</w:t>
      </w:r>
      <w:r>
        <w:rPr>
          <w:rFonts w:hint="eastAsia" w:ascii="仿宋_GB2312" w:eastAsia="仿宋_GB2312" w:cs="DengXian-Regular"/>
          <w:color w:val="auto"/>
          <w:sz w:val="32"/>
          <w:szCs w:val="32"/>
          <w:highlight w:val="none"/>
        </w:rPr>
        <w:t>编制为</w:t>
      </w:r>
      <w:r>
        <w:rPr>
          <w:rFonts w:hint="eastAsia" w:ascii="仿宋_GB2312" w:eastAsia="仿宋_GB2312" w:cs="DengXian-Regular"/>
          <w:color w:val="auto"/>
          <w:sz w:val="32"/>
          <w:szCs w:val="32"/>
          <w:highlight w:val="none"/>
          <w:lang w:val="en-US" w:eastAsia="zh-CN"/>
        </w:rPr>
        <w:t>14</w:t>
      </w:r>
      <w:r>
        <w:rPr>
          <w:rFonts w:hint="eastAsia" w:ascii="仿宋_GB2312" w:eastAsia="仿宋_GB2312" w:cs="DengXian-Regular"/>
          <w:color w:val="auto"/>
          <w:sz w:val="32"/>
          <w:szCs w:val="32"/>
          <w:highlight w:val="none"/>
        </w:rPr>
        <w:t>人</w:t>
      </w:r>
      <w:r>
        <w:rPr>
          <w:rFonts w:hint="eastAsia" w:ascii="仿宋_GB2312" w:eastAsia="仿宋_GB2312" w:cs="DengXian-Regular"/>
          <w:color w:val="auto"/>
          <w:sz w:val="32"/>
          <w:szCs w:val="32"/>
          <w:highlight w:val="none"/>
          <w:lang w:val="en-US" w:eastAsia="zh-CN"/>
        </w:rPr>
        <w:t>。</w:t>
      </w: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年决算在职人员</w:t>
      </w:r>
      <w:r>
        <w:rPr>
          <w:rFonts w:hint="eastAsia" w:ascii="仿宋_GB2312" w:eastAsia="仿宋_GB2312" w:cs="DengXian-Regular"/>
          <w:color w:val="auto"/>
          <w:sz w:val="32"/>
          <w:szCs w:val="32"/>
          <w:highlight w:val="none"/>
          <w:lang w:val="en-US" w:eastAsia="zh-CN"/>
        </w:rPr>
        <w:t>15</w:t>
      </w:r>
      <w:r>
        <w:rPr>
          <w:rFonts w:hint="eastAsia" w:ascii="仿宋_GB2312" w:eastAsia="仿宋_GB2312" w:cs="DengXian-Regular"/>
          <w:color w:val="auto"/>
          <w:sz w:val="32"/>
          <w:szCs w:val="32"/>
          <w:highlight w:val="none"/>
        </w:rPr>
        <w:t>人</w:t>
      </w:r>
      <w:r>
        <w:rPr>
          <w:rFonts w:hint="eastAsia" w:ascii="仿宋_GB2312" w:eastAsia="仿宋_GB2312" w:cs="DengXian-Regular"/>
          <w:color w:val="auto"/>
          <w:sz w:val="32"/>
          <w:szCs w:val="32"/>
          <w:highlight w:val="none"/>
          <w:lang w:val="en-US" w:eastAsia="zh-CN"/>
        </w:rPr>
        <w:t>，</w:t>
      </w:r>
      <w:r>
        <w:rPr>
          <w:rFonts w:hint="eastAsia" w:ascii="仿宋_GB2312" w:eastAsia="仿宋_GB2312" w:cs="DengXian-Regular"/>
          <w:color w:val="auto"/>
          <w:sz w:val="32"/>
          <w:szCs w:val="32"/>
          <w:highlight w:val="none"/>
        </w:rPr>
        <w:t>在职人员控制率=（</w:t>
      </w:r>
      <w:r>
        <w:rPr>
          <w:rFonts w:hint="eastAsia" w:ascii="仿宋_GB2312" w:eastAsia="仿宋_GB2312" w:cs="DengXian-Regular"/>
          <w:color w:val="auto"/>
          <w:sz w:val="32"/>
          <w:szCs w:val="32"/>
          <w:highlight w:val="none"/>
          <w:lang w:val="en-US" w:eastAsia="zh-CN"/>
        </w:rPr>
        <w:t>15</w:t>
      </w:r>
      <w:r>
        <w:rPr>
          <w:rFonts w:hint="eastAsia"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lang w:val="en-US" w:eastAsia="zh-CN"/>
        </w:rPr>
        <w:t>14</w:t>
      </w:r>
      <w:r>
        <w:rPr>
          <w:rFonts w:hint="eastAsia" w:ascii="仿宋_GB2312" w:eastAsia="仿宋_GB2312" w:cs="DengXian-Regular"/>
          <w:color w:val="auto"/>
          <w:sz w:val="32"/>
          <w:szCs w:val="32"/>
          <w:highlight w:val="none"/>
        </w:rPr>
        <w:t>）*100%=</w:t>
      </w:r>
      <w:r>
        <w:rPr>
          <w:rFonts w:hint="eastAsia" w:ascii="仿宋_GB2312" w:eastAsia="仿宋_GB2312" w:cs="DengXian-Regular"/>
          <w:color w:val="auto"/>
          <w:sz w:val="32"/>
          <w:szCs w:val="32"/>
          <w:highlight w:val="none"/>
          <w:lang w:val="en-US" w:eastAsia="zh-CN"/>
        </w:rPr>
        <w:t>107.14</w:t>
      </w:r>
      <w:r>
        <w:rPr>
          <w:rFonts w:hint="eastAsia"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lang w:eastAsia="zh-CN"/>
        </w:rPr>
        <w:t>，</w:t>
      </w:r>
      <w:r>
        <w:rPr>
          <w:rFonts w:hint="eastAsia" w:ascii="仿宋_GB2312" w:eastAsia="仿宋_GB2312" w:cs="DengXian-Regular"/>
          <w:color w:val="auto"/>
          <w:sz w:val="32"/>
          <w:szCs w:val="32"/>
          <w:highlight w:val="none"/>
          <w:lang w:val="en-US" w:eastAsia="zh-CN"/>
        </w:rPr>
        <w:t>扣2分。</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该指标实际得分</w:t>
      </w:r>
      <w:r>
        <w:rPr>
          <w:rFonts w:hint="eastAsia" w:ascii="仿宋_GB2312" w:eastAsia="仿宋_GB2312" w:cs="DengXian-Regular"/>
          <w:color w:val="auto"/>
          <w:sz w:val="32"/>
          <w:szCs w:val="32"/>
          <w:highlight w:val="none"/>
          <w:lang w:val="en-US" w:eastAsia="zh-CN"/>
        </w:rPr>
        <w:t>0</w:t>
      </w:r>
      <w:r>
        <w:rPr>
          <w:rFonts w:hint="eastAsia" w:ascii="仿宋_GB2312" w:eastAsia="仿宋_GB2312" w:cs="DengXian-Regular"/>
          <w:color w:val="auto"/>
          <w:sz w:val="32"/>
          <w:szCs w:val="32"/>
          <w:highlight w:val="none"/>
        </w:rPr>
        <w:t>分。</w:t>
      </w:r>
    </w:p>
    <w:p>
      <w:pPr>
        <w:pStyle w:val="5"/>
        <w:spacing w:before="0" w:after="0"/>
        <w:ind w:firstLine="643" w:firstLineChars="200"/>
        <w:jc w:val="both"/>
        <w:rPr>
          <w:rFonts w:ascii="楷体" w:hAnsi="楷体" w:eastAsia="楷体"/>
          <w:color w:val="auto"/>
          <w:sz w:val="32"/>
        </w:rPr>
      </w:pPr>
      <w:r>
        <w:rPr>
          <w:rFonts w:hint="eastAsia" w:ascii="楷体" w:hAnsi="楷体" w:eastAsia="楷体"/>
          <w:color w:val="auto"/>
          <w:sz w:val="32"/>
        </w:rPr>
        <w:t>（二）过程（48分）</w:t>
      </w:r>
    </w:p>
    <w:p>
      <w:pPr>
        <w:spacing w:after="0" w:line="360" w:lineRule="auto"/>
        <w:ind w:firstLine="640" w:firstLineChars="200"/>
        <w:jc w:val="both"/>
        <w:textAlignment w:val="baseline"/>
        <w:rPr>
          <w:rFonts w:hint="eastAsia" w:ascii="仿宋_GB2312" w:eastAsia="仿宋_GB2312" w:cs="DengXian-Regular"/>
          <w:color w:val="auto"/>
          <w:sz w:val="32"/>
          <w:szCs w:val="32"/>
        </w:rPr>
      </w:pPr>
      <w:r>
        <w:rPr>
          <w:rFonts w:hint="eastAsia" w:ascii="仿宋_GB2312" w:eastAsia="仿宋_GB2312" w:cs="DengXian-Regular"/>
          <w:color w:val="auto"/>
          <w:sz w:val="32"/>
          <w:szCs w:val="32"/>
        </w:rPr>
        <w:t>该一级指标包含预算执行、预算管理和绩效评价三个二级指标，主要反映预算调整、收入支出完成情况，“三公”经费、政府采购执行情况，财务管理是否规范、资金使用是否合规，决算真实性。</w:t>
      </w:r>
    </w:p>
    <w:p>
      <w:pPr>
        <w:spacing w:after="0" w:line="360" w:lineRule="auto"/>
        <w:jc w:val="center"/>
        <w:textAlignment w:val="baseline"/>
        <w:rPr>
          <w:rFonts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表3  过程指标及得分情况表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557"/>
        <w:gridCol w:w="1388"/>
        <w:gridCol w:w="2277"/>
        <w:gridCol w:w="1155"/>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一级指标</w:t>
            </w:r>
          </w:p>
        </w:tc>
        <w:tc>
          <w:tcPr>
            <w:tcW w:w="1388" w:type="dxa"/>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二级指标</w:t>
            </w:r>
          </w:p>
        </w:tc>
        <w:tc>
          <w:tcPr>
            <w:tcW w:w="2277" w:type="dxa"/>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三级指标</w:t>
            </w:r>
          </w:p>
        </w:tc>
        <w:tc>
          <w:tcPr>
            <w:tcW w:w="1155" w:type="dxa"/>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分数权重</w:t>
            </w:r>
          </w:p>
        </w:tc>
        <w:tc>
          <w:tcPr>
            <w:tcW w:w="1276" w:type="dxa"/>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restart"/>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过程（48分）</w:t>
            </w:r>
          </w:p>
        </w:tc>
        <w:tc>
          <w:tcPr>
            <w:tcW w:w="1388" w:type="dxa"/>
            <w:vMerge w:val="restart"/>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预算执行</w:t>
            </w:r>
          </w:p>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（24分）</w:t>
            </w: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预算收入调整率</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c>
          <w:tcPr>
            <w:tcW w:w="1276" w:type="dxa"/>
            <w:vAlign w:val="bottom"/>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收入完成率</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w:t>
            </w:r>
          </w:p>
        </w:tc>
        <w:tc>
          <w:tcPr>
            <w:tcW w:w="1276" w:type="dxa"/>
            <w:vAlign w:val="bottom"/>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预算支出调整率</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c>
          <w:tcPr>
            <w:tcW w:w="1276" w:type="dxa"/>
            <w:vAlign w:val="bottom"/>
          </w:tcPr>
          <w:p>
            <w:pPr>
              <w:pStyle w:val="2"/>
              <w:ind w:left="0" w:leftChars="0" w:firstLine="0" w:firstLineChars="0"/>
              <w:jc w:val="center"/>
              <w:rPr>
                <w:rFonts w:hint="default" w:cs="宋体" w:asciiTheme="minorEastAsia" w:hAnsiTheme="minorEastAsia" w:eastAsiaTheme="minorEastAsia"/>
                <w:color w:val="auto"/>
                <w:kern w:val="0"/>
                <w:sz w:val="21"/>
                <w:szCs w:val="21"/>
                <w:lang w:val="en-US" w:eastAsia="zh-CN" w:bidi="ar-SA"/>
              </w:rPr>
            </w:pPr>
            <w:r>
              <w:rPr>
                <w:rFonts w:hint="eastAsia" w:cs="宋体" w:asciiTheme="minorEastAsia" w:hAnsiTheme="minorEastAsia" w:eastAsiaTheme="minorEastAsia"/>
                <w:color w:val="auto"/>
                <w:kern w:val="0"/>
                <w:sz w:val="21"/>
                <w:szCs w:val="21"/>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财政拨款支出完成率</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w:t>
            </w:r>
          </w:p>
        </w:tc>
        <w:tc>
          <w:tcPr>
            <w:tcW w:w="1276" w:type="dxa"/>
            <w:vAlign w:val="bottom"/>
          </w:tcPr>
          <w:p>
            <w:pPr>
              <w:spacing w:line="420" w:lineRule="exact"/>
              <w:jc w:val="center"/>
              <w:rPr>
                <w:rFonts w:hint="default" w:cs="宋体" w:asciiTheme="minorEastAsia" w:hAnsiTheme="minorEastAsia" w:eastAsiaTheme="minorEastAsia"/>
                <w:color w:val="auto"/>
                <w:kern w:val="0"/>
                <w:sz w:val="21"/>
                <w:szCs w:val="21"/>
                <w:lang w:val="en-US" w:eastAsia="zh-CN" w:bidi="ar-SA"/>
              </w:rPr>
            </w:pPr>
            <w:r>
              <w:rPr>
                <w:rFonts w:hint="eastAsia" w:cs="宋体" w:asciiTheme="minorEastAsia" w:hAnsiTheme="minorEastAsia" w:eastAsiaTheme="minorEastAsia"/>
                <w:color w:val="auto"/>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“三公经费”控制率</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3</w:t>
            </w:r>
          </w:p>
        </w:tc>
        <w:tc>
          <w:tcPr>
            <w:tcW w:w="1276" w:type="dxa"/>
            <w:vAlign w:val="bottom"/>
          </w:tcPr>
          <w:p>
            <w:pPr>
              <w:spacing w:line="420" w:lineRule="exact"/>
              <w:jc w:val="center"/>
              <w:rPr>
                <w:rFonts w:hint="eastAsia"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政府采购执行率</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3</w:t>
            </w:r>
          </w:p>
        </w:tc>
        <w:tc>
          <w:tcPr>
            <w:tcW w:w="1276" w:type="dxa"/>
            <w:vAlign w:val="bottom"/>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资金使用合规性</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3</w:t>
            </w:r>
          </w:p>
        </w:tc>
        <w:tc>
          <w:tcPr>
            <w:tcW w:w="1276" w:type="dxa"/>
            <w:vAlign w:val="bottom"/>
          </w:tcPr>
          <w:p>
            <w:pPr>
              <w:spacing w:line="420" w:lineRule="exact"/>
              <w:jc w:val="center"/>
              <w:rPr>
                <w:rFonts w:hint="eastAsia"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决算真实性</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3</w:t>
            </w:r>
          </w:p>
        </w:tc>
        <w:tc>
          <w:tcPr>
            <w:tcW w:w="1276" w:type="dxa"/>
            <w:vAlign w:val="bottom"/>
          </w:tcPr>
          <w:p>
            <w:pPr>
              <w:spacing w:line="420" w:lineRule="exact"/>
              <w:jc w:val="center"/>
              <w:rPr>
                <w:rFonts w:hint="eastAsia"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restart"/>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预算管理</w:t>
            </w:r>
          </w:p>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（16分）</w:t>
            </w: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管理制度健全性</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w:t>
            </w:r>
          </w:p>
        </w:tc>
        <w:tc>
          <w:tcPr>
            <w:tcW w:w="1276" w:type="dxa"/>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预决算信息公开</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w:t>
            </w:r>
          </w:p>
        </w:tc>
        <w:tc>
          <w:tcPr>
            <w:tcW w:w="1276" w:type="dxa"/>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基础信息完善性</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w:t>
            </w:r>
          </w:p>
        </w:tc>
        <w:tc>
          <w:tcPr>
            <w:tcW w:w="1276" w:type="dxa"/>
            <w:vAlign w:val="center"/>
          </w:tcPr>
          <w:p>
            <w:pPr>
              <w:spacing w:line="420" w:lineRule="exact"/>
              <w:jc w:val="center"/>
              <w:rPr>
                <w:rFonts w:hint="eastAsia" w:cs="宋体" w:asciiTheme="minorEastAsia" w:hAnsiTheme="minorEastAsia" w:eastAsiaTheme="minorEastAsia"/>
                <w:color w:val="auto"/>
                <w:sz w:val="21"/>
                <w:szCs w:val="21"/>
                <w:lang w:eastAsia="zh-CN"/>
              </w:rPr>
            </w:pPr>
            <w:r>
              <w:rPr>
                <w:rFonts w:hint="eastAsia" w:cs="宋体" w:asciiTheme="minorEastAsia" w:hAnsiTheme="minorEastAsia" w:eastAsiaTheme="minorEastAsia"/>
                <w:color w:val="auto"/>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资产管理规范性</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w:t>
            </w:r>
          </w:p>
        </w:tc>
        <w:tc>
          <w:tcPr>
            <w:tcW w:w="1276"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7"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restart"/>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绩效评价</w:t>
            </w:r>
          </w:p>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（8分）</w:t>
            </w: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绩效自评覆盖率</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w:t>
            </w:r>
          </w:p>
        </w:tc>
        <w:tc>
          <w:tcPr>
            <w:tcW w:w="1276"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2" w:hRule="exact"/>
          <w:jc w:val="center"/>
        </w:trPr>
        <w:tc>
          <w:tcPr>
            <w:tcW w:w="1557"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1388" w:type="dxa"/>
            <w:vMerge w:val="continue"/>
            <w:vAlign w:val="center"/>
          </w:tcPr>
          <w:p>
            <w:pPr>
              <w:spacing w:line="420" w:lineRule="exact"/>
              <w:jc w:val="center"/>
              <w:rPr>
                <w:rFonts w:cs="宋体" w:asciiTheme="minorEastAsia" w:hAnsiTheme="minorEastAsia" w:eastAsiaTheme="minorEastAsia"/>
                <w:color w:val="auto"/>
                <w:sz w:val="21"/>
                <w:szCs w:val="21"/>
              </w:rPr>
            </w:pPr>
          </w:p>
        </w:tc>
        <w:tc>
          <w:tcPr>
            <w:tcW w:w="2277"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绩效评价优等率</w:t>
            </w: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w:t>
            </w:r>
          </w:p>
        </w:tc>
        <w:tc>
          <w:tcPr>
            <w:tcW w:w="1276"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exact"/>
          <w:jc w:val="center"/>
        </w:trPr>
        <w:tc>
          <w:tcPr>
            <w:tcW w:w="2945" w:type="dxa"/>
            <w:gridSpan w:val="2"/>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合计</w:t>
            </w:r>
          </w:p>
        </w:tc>
        <w:tc>
          <w:tcPr>
            <w:tcW w:w="2277" w:type="dxa"/>
            <w:vAlign w:val="center"/>
          </w:tcPr>
          <w:p>
            <w:pPr>
              <w:spacing w:line="420" w:lineRule="exact"/>
              <w:jc w:val="center"/>
              <w:rPr>
                <w:rFonts w:cs="宋体" w:asciiTheme="minorEastAsia" w:hAnsiTheme="minorEastAsia" w:eastAsiaTheme="minorEastAsia"/>
                <w:color w:val="auto"/>
                <w:sz w:val="21"/>
                <w:szCs w:val="21"/>
              </w:rPr>
            </w:pPr>
          </w:p>
        </w:tc>
        <w:tc>
          <w:tcPr>
            <w:tcW w:w="1155" w:type="dxa"/>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48</w:t>
            </w:r>
          </w:p>
        </w:tc>
        <w:tc>
          <w:tcPr>
            <w:tcW w:w="1276" w:type="dxa"/>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highlight w:val="none"/>
                <w:lang w:val="en-US" w:eastAsia="zh-CN"/>
              </w:rPr>
              <w:t>42</w:t>
            </w:r>
          </w:p>
        </w:tc>
      </w:tr>
    </w:tbl>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1.预算执行（24分）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（1）</w:t>
      </w:r>
      <w:r>
        <w:rPr>
          <w:rFonts w:hint="eastAsia" w:ascii="仿宋_GB2312" w:eastAsia="仿宋_GB2312" w:cs="DengXian-Regular"/>
          <w:color w:val="auto"/>
          <w:sz w:val="32"/>
          <w:szCs w:val="32"/>
          <w:highlight w:val="none"/>
        </w:rPr>
        <w:t>预算收入调整率（</w:t>
      </w:r>
      <w:r>
        <w:rPr>
          <w:rFonts w:hint="eastAsia" w:ascii="仿宋_GB2312" w:eastAsia="仿宋_GB2312" w:cs="DengXian-Regular"/>
          <w:color w:val="auto"/>
          <w:sz w:val="32"/>
          <w:szCs w:val="32"/>
        </w:rPr>
        <w:t>2分）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该指标主要评价预算收入的调整情况，进而衡量预算收入编制的准确性，通过预算收入调整率衡量。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预算收入调整率=（调整预算数-年初预算数）/年初预算数*100%</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根据</w:t>
      </w: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rPr>
        <w:t>提供的预算指标文件，</w:t>
      </w:r>
      <w:r>
        <w:rPr>
          <w:rFonts w:hint="eastAsia" w:ascii="仿宋_GB2312" w:eastAsia="仿宋_GB2312" w:cs="DengXian-Regular"/>
          <w:color w:val="auto"/>
          <w:sz w:val="32"/>
          <w:szCs w:val="32"/>
          <w:highlight w:val="none"/>
          <w:lang w:val="en-US" w:eastAsia="zh-CN"/>
        </w:rPr>
        <w:t>2021年共调增预算收入149.53万元，</w:t>
      </w:r>
      <w:r>
        <w:rPr>
          <w:rFonts w:hint="eastAsia" w:ascii="仿宋_GB2312" w:eastAsia="仿宋_GB2312" w:cs="DengXian-Regular"/>
          <w:color w:val="auto"/>
          <w:sz w:val="32"/>
          <w:szCs w:val="32"/>
          <w:highlight w:val="none"/>
        </w:rPr>
        <w:t>年初预算数为</w:t>
      </w:r>
      <w:r>
        <w:rPr>
          <w:rFonts w:hint="eastAsia" w:ascii="仿宋_GB2312" w:eastAsia="仿宋_GB2312" w:cs="DengXian-Regular"/>
          <w:color w:val="auto"/>
          <w:sz w:val="32"/>
          <w:szCs w:val="32"/>
          <w:highlight w:val="none"/>
          <w:lang w:val="en-US" w:eastAsia="zh-CN"/>
        </w:rPr>
        <w:t>1414.91</w:t>
      </w:r>
      <w:r>
        <w:rPr>
          <w:rFonts w:hint="eastAsia" w:ascii="仿宋_GB2312" w:eastAsia="仿宋_GB2312" w:cs="DengXian-Regular"/>
          <w:color w:val="auto"/>
          <w:sz w:val="32"/>
          <w:szCs w:val="32"/>
          <w:highlight w:val="none"/>
        </w:rPr>
        <w:t>万元，预算收入调整率为</w:t>
      </w:r>
      <w:r>
        <w:rPr>
          <w:rFonts w:hint="eastAsia" w:ascii="仿宋_GB2312" w:eastAsia="仿宋_GB2312" w:cs="DengXian-Regular"/>
          <w:color w:val="auto"/>
          <w:sz w:val="32"/>
          <w:szCs w:val="32"/>
          <w:highlight w:val="none"/>
          <w:lang w:val="en-US" w:eastAsia="zh-CN"/>
        </w:rPr>
        <w:t>10.57%</w:t>
      </w:r>
      <w:r>
        <w:rPr>
          <w:rFonts w:hint="eastAsia"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lang w:val="en-US" w:eastAsia="zh-CN"/>
        </w:rPr>
        <w:t>大于10%，</w:t>
      </w:r>
      <w:r>
        <w:rPr>
          <w:rFonts w:hint="eastAsia" w:ascii="仿宋_GB2312" w:eastAsia="仿宋_GB2312" w:cs="DengXian-Regular"/>
          <w:color w:val="auto"/>
          <w:sz w:val="32"/>
          <w:szCs w:val="32"/>
          <w:highlight w:val="none"/>
        </w:rPr>
        <w:t>扣</w:t>
      </w:r>
      <w:r>
        <w:rPr>
          <w:rFonts w:hint="eastAsia" w:ascii="仿宋_GB2312" w:eastAsia="仿宋_GB2312" w:cs="DengXian-Regular"/>
          <w:color w:val="auto"/>
          <w:sz w:val="32"/>
          <w:szCs w:val="32"/>
          <w:highlight w:val="none"/>
          <w:lang w:val="en-US" w:eastAsia="zh-CN"/>
        </w:rPr>
        <w:t>2</w:t>
      </w:r>
      <w:r>
        <w:rPr>
          <w:rFonts w:hint="eastAsia" w:ascii="仿宋_GB2312" w:eastAsia="仿宋_GB2312" w:cs="DengXian-Regular"/>
          <w:color w:val="auto"/>
          <w:sz w:val="32"/>
          <w:szCs w:val="32"/>
          <w:highlight w:val="none"/>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highlight w:val="none"/>
        </w:rPr>
        <w:t>该项指标实际得分</w:t>
      </w:r>
      <w:r>
        <w:rPr>
          <w:rFonts w:hint="eastAsia" w:ascii="仿宋_GB2312" w:eastAsia="仿宋_GB2312" w:cs="DengXian-Regular"/>
          <w:color w:val="auto"/>
          <w:sz w:val="32"/>
          <w:szCs w:val="32"/>
          <w:highlight w:val="none"/>
          <w:lang w:val="en-US" w:eastAsia="zh-CN"/>
        </w:rPr>
        <w:t>0</w:t>
      </w:r>
      <w:r>
        <w:rPr>
          <w:rFonts w:hint="eastAsia" w:ascii="仿宋_GB2312" w:eastAsia="仿宋_GB2312" w:cs="DengXian-Regular"/>
          <w:color w:val="auto"/>
          <w:sz w:val="32"/>
          <w:szCs w:val="32"/>
          <w:highlight w:val="none"/>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（2）收入完成率（4分）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该指标主要评价部门预算收入的完成情况，用以反映部门预算收入的完成程度，通过收入完成率衡量。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收入完成率=（决算收入/预算收入）×100%。</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根据</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年预算文本、决算文本，</w:t>
      </w:r>
      <w:r>
        <w:rPr>
          <w:rFonts w:hint="eastAsia" w:ascii="仿宋_GB2312" w:eastAsia="仿宋_GB2312" w:cs="DengXian-Regular"/>
          <w:color w:val="auto"/>
          <w:sz w:val="32"/>
          <w:szCs w:val="32"/>
          <w:lang w:eastAsia="zh-CN"/>
        </w:rPr>
        <w:t>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年收入预算数</w:t>
      </w:r>
      <w:r>
        <w:rPr>
          <w:rFonts w:hint="eastAsia" w:ascii="仿宋_GB2312" w:eastAsia="仿宋_GB2312" w:cs="DengXian-Regular"/>
          <w:color w:val="auto"/>
          <w:sz w:val="32"/>
          <w:szCs w:val="32"/>
          <w:lang w:val="en-US" w:eastAsia="zh-CN"/>
        </w:rPr>
        <w:t>1564.53</w:t>
      </w:r>
      <w:r>
        <w:rPr>
          <w:rFonts w:hint="eastAsia" w:ascii="仿宋_GB2312" w:eastAsia="仿宋_GB2312" w:cs="DengXian-Regular"/>
          <w:color w:val="auto"/>
          <w:sz w:val="32"/>
          <w:szCs w:val="32"/>
        </w:rPr>
        <w:t>万元，收入决算数</w:t>
      </w:r>
      <w:r>
        <w:rPr>
          <w:rFonts w:hint="eastAsia" w:ascii="仿宋_GB2312" w:eastAsia="仿宋_GB2312" w:cs="DengXian-Regular"/>
          <w:color w:val="auto"/>
          <w:sz w:val="32"/>
          <w:szCs w:val="32"/>
          <w:lang w:val="en-US" w:eastAsia="zh-CN"/>
        </w:rPr>
        <w:t>1564.53</w:t>
      </w:r>
      <w:r>
        <w:rPr>
          <w:rFonts w:hint="eastAsia" w:ascii="仿宋_GB2312" w:eastAsia="仿宋_GB2312" w:cs="DengXian-Regular"/>
          <w:color w:val="auto"/>
          <w:sz w:val="32"/>
          <w:szCs w:val="32"/>
        </w:rPr>
        <w:t>万元，收入完成率=（</w:t>
      </w:r>
      <w:r>
        <w:rPr>
          <w:rFonts w:hint="eastAsia" w:ascii="仿宋_GB2312" w:eastAsia="仿宋_GB2312" w:cs="DengXian-Regular"/>
          <w:color w:val="auto"/>
          <w:sz w:val="32"/>
          <w:szCs w:val="32"/>
          <w:lang w:val="en-US" w:eastAsia="zh-CN"/>
        </w:rPr>
        <w:t>1564.53</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lang w:val="en-US" w:eastAsia="zh-CN"/>
        </w:rPr>
        <w:t>1564.53</w:t>
      </w:r>
      <w:r>
        <w:rPr>
          <w:rFonts w:hint="eastAsia" w:ascii="仿宋_GB2312" w:eastAsia="仿宋_GB2312" w:cs="DengXian-Regular"/>
          <w:color w:val="auto"/>
          <w:sz w:val="32"/>
          <w:szCs w:val="32"/>
        </w:rPr>
        <w:t>）*100%=</w:t>
      </w:r>
      <w:r>
        <w:rPr>
          <w:rFonts w:hint="eastAsia" w:ascii="仿宋_GB2312" w:eastAsia="仿宋_GB2312" w:cs="DengXian-Regular"/>
          <w:color w:val="auto"/>
          <w:sz w:val="32"/>
          <w:szCs w:val="32"/>
          <w:lang w:val="en-US" w:eastAsia="zh-CN"/>
        </w:rPr>
        <w:t>100%</w:t>
      </w:r>
      <w:r>
        <w:rPr>
          <w:rFonts w:hint="eastAsia" w:ascii="仿宋_GB2312" w:eastAsia="仿宋_GB2312" w:cs="DengXian-Regular"/>
          <w:color w:val="auto"/>
          <w:sz w:val="32"/>
          <w:szCs w:val="32"/>
        </w:rPr>
        <w:t>。</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该指标实际得分</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（3）</w:t>
      </w:r>
      <w:r>
        <w:rPr>
          <w:rFonts w:hint="eastAsia" w:ascii="仿宋_GB2312" w:eastAsia="仿宋_GB2312" w:cs="DengXian-Regular"/>
          <w:color w:val="auto"/>
          <w:sz w:val="32"/>
          <w:szCs w:val="32"/>
          <w:highlight w:val="none"/>
        </w:rPr>
        <w:t>预算支出调整率（2分）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该指标主要评价预算支出的调整情况，进而衡量预算支出编制的准确性，通过预算支出调整率衡量。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预算支出调整率=（调整预算数-年初预算数）/年初预算数*100%</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根据</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年预算文本、决算文本</w:t>
      </w:r>
      <w:r>
        <w:rPr>
          <w:rFonts w:hint="eastAsia"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年度预算</w:t>
      </w:r>
      <w:r>
        <w:rPr>
          <w:rFonts w:hint="eastAsia" w:ascii="仿宋_GB2312" w:eastAsia="仿宋_GB2312" w:cs="DengXian-Regular"/>
          <w:color w:val="auto"/>
          <w:sz w:val="32"/>
          <w:szCs w:val="32"/>
          <w:highlight w:val="none"/>
          <w:lang w:eastAsia="zh-CN"/>
        </w:rPr>
        <w:t>支出</w:t>
      </w:r>
      <w:r>
        <w:rPr>
          <w:rFonts w:hint="eastAsia" w:ascii="仿宋_GB2312" w:eastAsia="仿宋_GB2312" w:cs="DengXian-Regular"/>
          <w:color w:val="auto"/>
          <w:sz w:val="32"/>
          <w:szCs w:val="32"/>
          <w:highlight w:val="none"/>
        </w:rPr>
        <w:t>的</w:t>
      </w:r>
      <w:r>
        <w:rPr>
          <w:rFonts w:hint="eastAsia" w:ascii="仿宋_GB2312" w:eastAsia="仿宋_GB2312" w:cs="DengXian-Regular"/>
          <w:color w:val="auto"/>
          <w:sz w:val="32"/>
          <w:szCs w:val="32"/>
          <w:highlight w:val="none"/>
          <w:lang w:eastAsia="zh-CN"/>
        </w:rPr>
        <w:t>调</w:t>
      </w:r>
      <w:r>
        <w:rPr>
          <w:rFonts w:hint="eastAsia" w:ascii="仿宋_GB2312" w:eastAsia="仿宋_GB2312" w:cs="DengXian-Regular"/>
          <w:color w:val="auto"/>
          <w:sz w:val="32"/>
          <w:szCs w:val="32"/>
          <w:highlight w:val="none"/>
          <w:lang w:val="en-US" w:eastAsia="zh-CN"/>
        </w:rPr>
        <w:t>增</w:t>
      </w:r>
      <w:r>
        <w:rPr>
          <w:rFonts w:hint="eastAsia" w:ascii="仿宋_GB2312" w:eastAsia="仿宋_GB2312" w:cs="DengXian-Regular"/>
          <w:color w:val="auto"/>
          <w:sz w:val="32"/>
          <w:szCs w:val="32"/>
          <w:highlight w:val="none"/>
        </w:rPr>
        <w:t>数为</w:t>
      </w:r>
      <w:r>
        <w:rPr>
          <w:rFonts w:hint="eastAsia" w:ascii="仿宋_GB2312" w:eastAsia="仿宋_GB2312" w:cs="DengXian-Regular"/>
          <w:color w:val="auto"/>
          <w:sz w:val="32"/>
          <w:szCs w:val="32"/>
          <w:highlight w:val="none"/>
          <w:lang w:val="en-US" w:eastAsia="zh-CN"/>
        </w:rPr>
        <w:t>149.62</w:t>
      </w:r>
      <w:r>
        <w:rPr>
          <w:rFonts w:hint="eastAsia" w:ascii="仿宋_GB2312" w:eastAsia="仿宋_GB2312" w:cs="DengXian-Regular"/>
          <w:color w:val="auto"/>
          <w:sz w:val="32"/>
          <w:szCs w:val="32"/>
          <w:highlight w:val="none"/>
        </w:rPr>
        <w:t>万元，年初预算数为</w:t>
      </w:r>
      <w:r>
        <w:rPr>
          <w:rFonts w:hint="eastAsia" w:ascii="仿宋_GB2312" w:eastAsia="仿宋_GB2312" w:cs="DengXian-Regular"/>
          <w:color w:val="auto"/>
          <w:sz w:val="32"/>
          <w:szCs w:val="32"/>
          <w:highlight w:val="none"/>
          <w:lang w:val="en-US" w:eastAsia="zh-CN"/>
        </w:rPr>
        <w:t>1414.91</w:t>
      </w:r>
      <w:r>
        <w:rPr>
          <w:rFonts w:hint="eastAsia" w:ascii="仿宋_GB2312" w:eastAsia="仿宋_GB2312" w:cs="DengXian-Regular"/>
          <w:color w:val="auto"/>
          <w:sz w:val="32"/>
          <w:szCs w:val="32"/>
          <w:highlight w:val="none"/>
        </w:rPr>
        <w:t>万元，预算支出调整率为</w:t>
      </w:r>
      <w:r>
        <w:rPr>
          <w:rFonts w:hint="eastAsia" w:ascii="仿宋_GB2312" w:eastAsia="仿宋_GB2312" w:cs="DengXian-Regular"/>
          <w:color w:val="auto"/>
          <w:sz w:val="32"/>
          <w:szCs w:val="32"/>
          <w:highlight w:val="none"/>
          <w:lang w:val="en-US" w:eastAsia="zh-CN"/>
        </w:rPr>
        <w:t>10.57%</w:t>
      </w:r>
      <w:r>
        <w:rPr>
          <w:rFonts w:hint="eastAsia"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lang w:val="en-US" w:eastAsia="zh-CN"/>
        </w:rPr>
        <w:t>大于10%，</w:t>
      </w:r>
      <w:r>
        <w:rPr>
          <w:rFonts w:hint="eastAsia" w:ascii="仿宋_GB2312" w:eastAsia="仿宋_GB2312" w:cs="DengXian-Regular"/>
          <w:color w:val="auto"/>
          <w:sz w:val="32"/>
          <w:szCs w:val="32"/>
          <w:highlight w:val="none"/>
        </w:rPr>
        <w:t>扣</w:t>
      </w:r>
      <w:r>
        <w:rPr>
          <w:rFonts w:hint="eastAsia" w:ascii="仿宋_GB2312" w:eastAsia="仿宋_GB2312" w:cs="DengXian-Regular"/>
          <w:color w:val="auto"/>
          <w:sz w:val="32"/>
          <w:szCs w:val="32"/>
          <w:highlight w:val="none"/>
          <w:lang w:val="en-US" w:eastAsia="zh-CN"/>
        </w:rPr>
        <w:t>2</w:t>
      </w:r>
      <w:r>
        <w:rPr>
          <w:rFonts w:hint="eastAsia" w:ascii="仿宋_GB2312" w:eastAsia="仿宋_GB2312" w:cs="DengXian-Regular"/>
          <w:color w:val="auto"/>
          <w:sz w:val="32"/>
          <w:szCs w:val="32"/>
          <w:highlight w:val="none"/>
        </w:rPr>
        <w:t>分。</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该指标实际得分</w:t>
      </w:r>
      <w:r>
        <w:rPr>
          <w:rFonts w:hint="eastAsia" w:ascii="仿宋_GB2312" w:eastAsia="仿宋_GB2312" w:cs="DengXian-Regular"/>
          <w:color w:val="auto"/>
          <w:sz w:val="32"/>
          <w:szCs w:val="32"/>
          <w:highlight w:val="none"/>
          <w:lang w:val="en-US" w:eastAsia="zh-CN"/>
        </w:rPr>
        <w:t>0</w:t>
      </w:r>
      <w:r>
        <w:rPr>
          <w:rFonts w:hint="eastAsia" w:ascii="仿宋_GB2312" w:eastAsia="仿宋_GB2312" w:cs="DengXian-Regular"/>
          <w:color w:val="auto"/>
          <w:sz w:val="32"/>
          <w:szCs w:val="32"/>
          <w:highlight w:val="none"/>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（4）财政拨款支出完成率（4分）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该指标主要评价部门财政拨款的支出进度，通过财政拨款支出完成率来衡量。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财政拨款支出完成率=（部门决算财政拨款支出/部门决算财政拨款收入）*100%。</w:t>
      </w:r>
    </w:p>
    <w:p>
      <w:pPr>
        <w:spacing w:after="0" w:line="360" w:lineRule="auto"/>
        <w:ind w:firstLine="640" w:firstLineChars="200"/>
        <w:jc w:val="both"/>
        <w:textAlignment w:val="baseline"/>
        <w:rPr>
          <w:rFonts w:hint="eastAsia" w:ascii="仿宋_GB2312" w:eastAsia="仿宋_GB2312" w:cs="DengXian-Regular"/>
          <w:color w:val="auto"/>
          <w:sz w:val="32"/>
          <w:szCs w:val="32"/>
        </w:rPr>
      </w:pPr>
      <w:r>
        <w:rPr>
          <w:rFonts w:hint="eastAsia" w:ascii="仿宋_GB2312" w:eastAsia="仿宋_GB2312" w:cs="DengXian-Regular"/>
          <w:color w:val="auto"/>
          <w:sz w:val="32"/>
          <w:szCs w:val="32"/>
        </w:rPr>
        <w:t>根据</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提供的</w:t>
      </w:r>
      <w:r>
        <w:rPr>
          <w:rFonts w:hint="eastAsia" w:ascii="仿宋_GB2312" w:eastAsia="仿宋_GB2312" w:cs="DengXian-Regular"/>
          <w:color w:val="auto"/>
          <w:sz w:val="32"/>
          <w:szCs w:val="32"/>
          <w:lang w:eastAsia="zh-CN"/>
        </w:rPr>
        <w:t>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年决算文本，部门决算财政拨款支出数</w:t>
      </w:r>
      <w:r>
        <w:rPr>
          <w:rFonts w:hint="eastAsia" w:ascii="仿宋_GB2312" w:eastAsia="仿宋_GB2312" w:cs="DengXian-Regular"/>
          <w:color w:val="auto"/>
          <w:sz w:val="32"/>
          <w:szCs w:val="32"/>
          <w:lang w:val="en-US" w:eastAsia="zh-CN"/>
        </w:rPr>
        <w:t>1564.44</w:t>
      </w:r>
      <w:r>
        <w:rPr>
          <w:rFonts w:hint="eastAsia" w:ascii="仿宋_GB2312" w:eastAsia="仿宋_GB2312" w:cs="DengXian-Regular"/>
          <w:color w:val="auto"/>
          <w:sz w:val="32"/>
          <w:szCs w:val="32"/>
        </w:rPr>
        <w:t>万元，财政拨款收入数</w:t>
      </w:r>
      <w:r>
        <w:rPr>
          <w:rFonts w:hint="eastAsia" w:ascii="仿宋_GB2312" w:eastAsia="仿宋_GB2312" w:cs="DengXian-Regular"/>
          <w:color w:val="auto"/>
          <w:sz w:val="32"/>
          <w:szCs w:val="32"/>
          <w:lang w:val="en-US" w:eastAsia="zh-CN"/>
        </w:rPr>
        <w:t>1564.44</w:t>
      </w:r>
      <w:r>
        <w:rPr>
          <w:rFonts w:hint="eastAsia" w:ascii="仿宋_GB2312" w:eastAsia="仿宋_GB2312" w:cs="DengXian-Regular"/>
          <w:color w:val="auto"/>
          <w:sz w:val="32"/>
          <w:szCs w:val="32"/>
        </w:rPr>
        <w:t>万元，财政拨款支出率=（</w:t>
      </w:r>
      <w:r>
        <w:rPr>
          <w:rFonts w:hint="eastAsia" w:ascii="仿宋_GB2312" w:eastAsia="仿宋_GB2312" w:cs="DengXian-Regular"/>
          <w:color w:val="auto"/>
          <w:sz w:val="32"/>
          <w:szCs w:val="32"/>
          <w:lang w:val="en-US" w:eastAsia="zh-CN"/>
        </w:rPr>
        <w:t>1564.44</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lang w:val="en-US" w:eastAsia="zh-CN"/>
        </w:rPr>
        <w:t>1564.44</w:t>
      </w:r>
      <w:r>
        <w:rPr>
          <w:rFonts w:hint="eastAsia" w:ascii="仿宋_GB2312" w:eastAsia="仿宋_GB2312" w:cs="DengXian-Regular"/>
          <w:color w:val="auto"/>
          <w:sz w:val="32"/>
          <w:szCs w:val="32"/>
        </w:rPr>
        <w:t>）*100%=</w:t>
      </w:r>
      <w:r>
        <w:rPr>
          <w:rFonts w:hint="eastAsia" w:ascii="仿宋_GB2312" w:eastAsia="仿宋_GB2312" w:cs="DengXian-Regular"/>
          <w:color w:val="auto"/>
          <w:sz w:val="32"/>
          <w:szCs w:val="32"/>
          <w:lang w:val="en-US" w:eastAsia="zh-CN"/>
        </w:rPr>
        <w:t>100</w:t>
      </w:r>
      <w:r>
        <w:rPr>
          <w:rFonts w:hint="eastAsia" w:ascii="仿宋_GB2312" w:eastAsia="仿宋_GB2312" w:cs="DengXian-Regular"/>
          <w:color w:val="auto"/>
          <w:sz w:val="32"/>
          <w:szCs w:val="32"/>
        </w:rPr>
        <w:t>%。</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该指标实际得分</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（5）“三公”经费控制率（3分）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该指标主要评价“三公”经费是否得到有效控制，通过“三公”经费控制率来衡量。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“三公”经费控制率=（实际支出数/预算数）*100%。</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根据</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年预算文本及决算文本，“三公”经费年初预算数</w:t>
      </w:r>
      <w:r>
        <w:rPr>
          <w:rFonts w:hint="eastAsia" w:ascii="仿宋_GB2312" w:eastAsia="仿宋_GB2312" w:cs="DengXian-Regular"/>
          <w:color w:val="auto"/>
          <w:sz w:val="32"/>
          <w:szCs w:val="32"/>
          <w:lang w:val="en-US" w:eastAsia="zh-CN"/>
        </w:rPr>
        <w:t>3.6</w:t>
      </w:r>
      <w:r>
        <w:rPr>
          <w:rFonts w:hint="eastAsia" w:ascii="仿宋_GB2312" w:eastAsia="仿宋_GB2312" w:cs="DengXian-Regular"/>
          <w:color w:val="auto"/>
          <w:sz w:val="32"/>
          <w:szCs w:val="32"/>
        </w:rPr>
        <w:t>万元，年末决算数</w:t>
      </w:r>
      <w:r>
        <w:rPr>
          <w:rFonts w:hint="eastAsia" w:ascii="仿宋_GB2312" w:eastAsia="仿宋_GB2312" w:cs="DengXian-Regular"/>
          <w:color w:val="auto"/>
          <w:sz w:val="32"/>
          <w:szCs w:val="32"/>
          <w:lang w:val="en-US" w:eastAsia="zh-CN"/>
        </w:rPr>
        <w:t>3.6</w:t>
      </w:r>
      <w:r>
        <w:rPr>
          <w:rFonts w:hint="eastAsia" w:ascii="仿宋_GB2312" w:eastAsia="仿宋_GB2312" w:cs="DengXian-Regular"/>
          <w:color w:val="auto"/>
          <w:sz w:val="32"/>
          <w:szCs w:val="32"/>
        </w:rPr>
        <w:t>万元，“三公”经费控制率=（</w:t>
      </w:r>
      <w:r>
        <w:rPr>
          <w:rFonts w:hint="eastAsia" w:ascii="仿宋_GB2312" w:eastAsia="仿宋_GB2312" w:cs="DengXian-Regular"/>
          <w:color w:val="auto"/>
          <w:sz w:val="32"/>
          <w:szCs w:val="32"/>
          <w:lang w:val="en-US" w:eastAsia="zh-CN"/>
        </w:rPr>
        <w:t>3.6/3.6</w:t>
      </w:r>
      <w:r>
        <w:rPr>
          <w:rFonts w:hint="eastAsia" w:ascii="仿宋_GB2312" w:eastAsia="仿宋_GB2312" w:cs="DengXian-Regular"/>
          <w:color w:val="auto"/>
          <w:sz w:val="32"/>
          <w:szCs w:val="32"/>
        </w:rPr>
        <w:t>）*100%=</w:t>
      </w:r>
      <w:r>
        <w:rPr>
          <w:rFonts w:hint="eastAsia" w:ascii="仿宋_GB2312" w:eastAsia="仿宋_GB2312" w:cs="DengXian-Regular"/>
          <w:color w:val="auto"/>
          <w:sz w:val="32"/>
          <w:szCs w:val="32"/>
          <w:lang w:val="en-US" w:eastAsia="zh-CN"/>
        </w:rPr>
        <w:t>100</w:t>
      </w:r>
      <w:r>
        <w:rPr>
          <w:rFonts w:hint="eastAsia" w:ascii="仿宋_GB2312" w:eastAsia="仿宋_GB2312" w:cs="DengXian-Regular"/>
          <w:color w:val="auto"/>
          <w:sz w:val="32"/>
          <w:szCs w:val="32"/>
        </w:rPr>
        <w:t>%</w:t>
      </w:r>
      <w:r>
        <w:rPr>
          <w:rFonts w:ascii="Arial" w:hAnsi="Arial" w:eastAsia="仿宋_GB2312" w:cs="Arial"/>
          <w:color w:val="auto"/>
          <w:sz w:val="32"/>
          <w:szCs w:val="32"/>
        </w:rPr>
        <w:t>≤</w:t>
      </w:r>
      <w:r>
        <w:rPr>
          <w:rFonts w:hint="eastAsia" w:ascii="仿宋_GB2312" w:eastAsia="仿宋_GB2312" w:cs="DengXian-Regular"/>
          <w:color w:val="auto"/>
          <w:sz w:val="32"/>
          <w:szCs w:val="32"/>
        </w:rPr>
        <w:t>100%。</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该指标实际得分3分。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（6）政府采购执行率（3分）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该指标主要评价部门是否有效执行政府采购政策，通过政府采购执行率来衡量。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政府采购执行率=（实际政府采购金额/政府采购预算金额）*100%。</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根据</w:t>
      </w: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年预算文本及决算文本，政府采购年初预算数</w:t>
      </w:r>
      <w:r>
        <w:rPr>
          <w:rFonts w:hint="eastAsia" w:ascii="仿宋_GB2312" w:eastAsia="仿宋_GB2312" w:cs="DengXian-Regular"/>
          <w:color w:val="auto"/>
          <w:sz w:val="32"/>
          <w:szCs w:val="32"/>
          <w:highlight w:val="none"/>
          <w:lang w:val="en-US" w:eastAsia="zh-CN"/>
        </w:rPr>
        <w:t>6.38</w:t>
      </w:r>
      <w:r>
        <w:rPr>
          <w:rFonts w:hint="eastAsia" w:ascii="仿宋_GB2312" w:eastAsia="仿宋_GB2312" w:cs="DengXian-Regular"/>
          <w:color w:val="auto"/>
          <w:sz w:val="32"/>
          <w:szCs w:val="32"/>
          <w:highlight w:val="none"/>
        </w:rPr>
        <w:t>万元，年末决算数</w:t>
      </w:r>
      <w:r>
        <w:rPr>
          <w:rFonts w:hint="eastAsia" w:ascii="仿宋_GB2312" w:eastAsia="仿宋_GB2312" w:cs="DengXian-Regular"/>
          <w:color w:val="auto"/>
          <w:sz w:val="32"/>
          <w:szCs w:val="32"/>
          <w:highlight w:val="none"/>
          <w:lang w:val="en-US" w:eastAsia="zh-CN"/>
        </w:rPr>
        <w:t>85</w:t>
      </w:r>
      <w:r>
        <w:rPr>
          <w:rFonts w:hint="eastAsia" w:ascii="仿宋_GB2312" w:eastAsia="仿宋_GB2312" w:cs="DengXian-Regular"/>
          <w:color w:val="auto"/>
          <w:sz w:val="32"/>
          <w:szCs w:val="32"/>
          <w:highlight w:val="none"/>
        </w:rPr>
        <w:t>万元，政府采购执行率为</w:t>
      </w:r>
      <w:r>
        <w:rPr>
          <w:rFonts w:hint="eastAsia" w:ascii="仿宋_GB2312" w:eastAsia="仿宋_GB2312" w:cs="DengXian-Regular"/>
          <w:color w:val="auto"/>
          <w:sz w:val="32"/>
          <w:szCs w:val="32"/>
          <w:highlight w:val="none"/>
          <w:lang w:val="en-US" w:eastAsia="zh-CN"/>
        </w:rPr>
        <w:t>1332.29%</w:t>
      </w:r>
      <w:r>
        <w:rPr>
          <w:rFonts w:hint="eastAsia" w:ascii="仿宋_GB2312" w:eastAsia="仿宋_GB2312" w:cs="DengXian-Regular"/>
          <w:color w:val="auto"/>
          <w:sz w:val="32"/>
          <w:szCs w:val="32"/>
          <w:highlight w:val="none"/>
        </w:rPr>
        <w:t>。</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该指标实际得分为</w:t>
      </w:r>
      <w:r>
        <w:rPr>
          <w:rFonts w:hint="eastAsia" w:ascii="仿宋_GB2312" w:eastAsia="仿宋_GB2312" w:cs="DengXian-Regular"/>
          <w:color w:val="auto"/>
          <w:sz w:val="32"/>
          <w:szCs w:val="32"/>
          <w:highlight w:val="none"/>
          <w:lang w:val="en-US" w:eastAsia="zh-CN"/>
        </w:rPr>
        <w:t>3</w:t>
      </w:r>
      <w:r>
        <w:rPr>
          <w:rFonts w:hint="eastAsia" w:ascii="仿宋_GB2312" w:eastAsia="仿宋_GB2312" w:cs="DengXian-Regular"/>
          <w:color w:val="auto"/>
          <w:sz w:val="32"/>
          <w:szCs w:val="32"/>
          <w:highlight w:val="none"/>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（7）资金使用合规性（3分）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该指标主要评价资金使用是否按照相关法律法规和资金管理办法规定的用途使用，财务管理是否符合相关会计准则和财务制度。</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根据</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年明细账、会计凭证等相关资料，</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资金使用符合相关会计准则和财务制度，资金拨付有完备的审批程序和手续，资金使用符合部门预算批复的用途，未发现截留、挤占、挪用财政资金的情况。</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w:t>
      </w:r>
      <w:r>
        <w:rPr>
          <w:rFonts w:hint="eastAsia" w:ascii="仿宋_GB2312" w:eastAsia="仿宋_GB2312" w:cs="DengXian-Regular"/>
          <w:color w:val="auto"/>
          <w:sz w:val="32"/>
          <w:szCs w:val="32"/>
          <w:highlight w:val="none"/>
        </w:rPr>
        <w:t>指标实际得分3分。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（8）决算真实性（3分）</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该指标主要评价决算编制数据是否与账表一致，即决算报表数据与会计账簿数据是否一致。</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经核查</w:t>
      </w: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年决算文本、明细账及总账，</w:t>
      </w: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rPr>
        <w:t>决算文本数据均与明细账、总账一致。</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该指标实际得分3分。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2.预算管理（16分）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（1）管理制度健全性（4分）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该指标主要评价部门是否制定资金管理办法、财务管理制度、会计核算制度等相关内部控制制度，制度执行是否得到有效执行。</w:t>
      </w:r>
    </w:p>
    <w:p>
      <w:pPr>
        <w:spacing w:after="0" w:line="360" w:lineRule="auto"/>
        <w:ind w:firstLine="640" w:firstLineChars="200"/>
        <w:jc w:val="both"/>
        <w:textAlignment w:val="baseline"/>
        <w:rPr>
          <w:rFonts w:hint="default"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工作制度涵盖了</w:t>
      </w:r>
      <w:r>
        <w:rPr>
          <w:rFonts w:hint="eastAsia" w:ascii="仿宋_GB2312" w:eastAsia="仿宋_GB2312" w:cs="DengXian-Regular"/>
          <w:color w:val="auto"/>
          <w:sz w:val="32"/>
          <w:szCs w:val="32"/>
          <w:highlight w:val="none"/>
          <w:lang w:eastAsia="zh-CN"/>
        </w:rPr>
        <w:t>预算业务管理制度、财务收支业务管理制度</w:t>
      </w:r>
      <w:r>
        <w:rPr>
          <w:rFonts w:hint="eastAsia" w:ascii="仿宋_GB2312" w:eastAsia="仿宋_GB2312" w:cs="DengXian-Regular"/>
          <w:color w:val="auto"/>
          <w:sz w:val="32"/>
          <w:szCs w:val="32"/>
          <w:highlight w:val="none"/>
        </w:rPr>
        <w:t>等</w:t>
      </w:r>
      <w:r>
        <w:rPr>
          <w:rFonts w:hint="eastAsia" w:ascii="仿宋_GB2312" w:eastAsia="仿宋_GB2312" w:cs="DengXian-Regular"/>
          <w:color w:val="auto"/>
          <w:sz w:val="32"/>
          <w:szCs w:val="32"/>
        </w:rPr>
        <w:t>相关制度，经检查</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付款流程审批单、资产盘点表等资料，</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已按照相关管理制度的规定执行</w:t>
      </w:r>
      <w:r>
        <w:rPr>
          <w:rFonts w:hint="eastAsia" w:ascii="仿宋_GB2312" w:eastAsia="仿宋_GB2312" w:cs="DengXian-Regular"/>
          <w:color w:val="auto"/>
          <w:sz w:val="32"/>
          <w:szCs w:val="32"/>
          <w:lang w:eastAsia="zh-CN"/>
        </w:rPr>
        <w:t>，</w:t>
      </w:r>
      <w:r>
        <w:rPr>
          <w:rFonts w:hint="eastAsia" w:ascii="仿宋_GB2312" w:eastAsia="仿宋_GB2312" w:cs="DengXian-Regular"/>
          <w:color w:val="auto"/>
          <w:sz w:val="32"/>
          <w:szCs w:val="32"/>
          <w:highlight w:val="none"/>
          <w:lang w:eastAsia="zh-CN"/>
        </w:rPr>
        <w:t>但</w:t>
      </w:r>
      <w:r>
        <w:rPr>
          <w:rFonts w:hint="eastAsia" w:ascii="仿宋_GB2312" w:eastAsia="仿宋_GB2312" w:cs="DengXian-Regular"/>
          <w:color w:val="auto"/>
          <w:sz w:val="32"/>
          <w:szCs w:val="32"/>
          <w:highlight w:val="none"/>
          <w:lang w:val="en-US" w:eastAsia="zh-CN"/>
        </w:rPr>
        <w:t>曲阳县应急管理局未制定</w:t>
      </w:r>
      <w:r>
        <w:rPr>
          <w:rFonts w:hint="eastAsia" w:ascii="仿宋_GB2312" w:eastAsia="仿宋_GB2312" w:cs="DengXian-Regular"/>
          <w:color w:val="auto"/>
          <w:sz w:val="32"/>
          <w:szCs w:val="32"/>
          <w:highlight w:val="none"/>
        </w:rPr>
        <w:t>资金管理办法</w:t>
      </w:r>
      <w:r>
        <w:rPr>
          <w:rFonts w:hint="eastAsia" w:ascii="仿宋_GB2312" w:eastAsia="仿宋_GB2312" w:cs="DengXian-Regular"/>
          <w:color w:val="auto"/>
          <w:sz w:val="32"/>
          <w:szCs w:val="32"/>
          <w:highlight w:val="none"/>
          <w:lang w:eastAsia="zh-CN"/>
        </w:rPr>
        <w:t>，扣</w:t>
      </w:r>
      <w:r>
        <w:rPr>
          <w:rFonts w:hint="eastAsia" w:ascii="仿宋_GB2312" w:eastAsia="仿宋_GB2312" w:cs="DengXian-Regular"/>
          <w:color w:val="auto"/>
          <w:sz w:val="32"/>
          <w:szCs w:val="32"/>
          <w:highlight w:val="none"/>
          <w:lang w:val="en-US" w:eastAsia="zh-CN"/>
        </w:rPr>
        <w:t>1分。</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该项指标实际得分</w:t>
      </w:r>
      <w:r>
        <w:rPr>
          <w:rFonts w:hint="eastAsia" w:ascii="仿宋_GB2312" w:eastAsia="仿宋_GB2312" w:cs="DengXian-Regular"/>
          <w:color w:val="auto"/>
          <w:sz w:val="32"/>
          <w:szCs w:val="32"/>
          <w:highlight w:val="none"/>
          <w:lang w:val="en-US" w:eastAsia="zh-CN"/>
        </w:rPr>
        <w:t>3</w:t>
      </w:r>
      <w:r>
        <w:rPr>
          <w:rFonts w:hint="eastAsia" w:ascii="仿宋_GB2312" w:eastAsia="仿宋_GB2312" w:cs="DengXian-Regular"/>
          <w:color w:val="auto"/>
          <w:sz w:val="32"/>
          <w:szCs w:val="32"/>
          <w:highlight w:val="none"/>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（2）预决算信息公开性（4分）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该指标主要评价部门是否按照政府信息公开的有关要求在相关网站公开部门预算、预算执行情况、年度工作任务等相关信息。</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年按政府信息公开的有关要求在</w:t>
      </w:r>
      <w:r>
        <w:rPr>
          <w:rFonts w:hint="eastAsia" w:ascii="仿宋_GB2312" w:eastAsia="仿宋_GB2312" w:cs="DengXian-Regular"/>
          <w:color w:val="auto"/>
          <w:sz w:val="32"/>
          <w:szCs w:val="32"/>
          <w:highlight w:val="none"/>
          <w:lang w:val="en-US" w:eastAsia="zh-CN"/>
        </w:rPr>
        <w:t>曲阳县</w:t>
      </w:r>
      <w:r>
        <w:rPr>
          <w:rFonts w:hint="eastAsia" w:ascii="仿宋_GB2312" w:eastAsia="仿宋_GB2312" w:cs="DengXian-Regular"/>
          <w:color w:val="auto"/>
          <w:sz w:val="32"/>
          <w:szCs w:val="32"/>
          <w:highlight w:val="none"/>
        </w:rPr>
        <w:t>人民政府网公开了</w:t>
      </w:r>
      <w:r>
        <w:rPr>
          <w:rFonts w:hint="eastAsia" w:ascii="仿宋_GB2312" w:eastAsia="仿宋_GB2312" w:cs="DengXian-Regular"/>
          <w:color w:val="auto"/>
          <w:sz w:val="32"/>
          <w:szCs w:val="32"/>
          <w:highlight w:val="none"/>
          <w:lang w:eastAsia="zh-CN"/>
        </w:rPr>
        <w:t>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w:t>
      </w:r>
      <w:r>
        <w:rPr>
          <w:rFonts w:hint="eastAsia" w:ascii="仿宋_GB2312" w:eastAsia="仿宋_GB2312" w:cs="DengXian-Regular"/>
          <w:color w:val="auto"/>
          <w:sz w:val="32"/>
          <w:szCs w:val="32"/>
          <w:highlight w:val="none"/>
          <w:lang w:val="en-US" w:eastAsia="zh-CN"/>
        </w:rPr>
        <w:t>调整前</w:t>
      </w:r>
      <w:r>
        <w:rPr>
          <w:rFonts w:hint="eastAsia" w:ascii="仿宋_GB2312" w:eastAsia="仿宋_GB2312" w:cs="DengXian-Regular"/>
          <w:color w:val="auto"/>
          <w:sz w:val="32"/>
          <w:szCs w:val="32"/>
          <w:highlight w:val="none"/>
        </w:rPr>
        <w:t>的预算情况</w:t>
      </w:r>
      <w:r>
        <w:rPr>
          <w:rFonts w:hint="eastAsia" w:ascii="仿宋_GB2312" w:eastAsia="仿宋_GB2312" w:cs="DengXian-Regular"/>
          <w:color w:val="auto"/>
          <w:sz w:val="32"/>
          <w:szCs w:val="32"/>
          <w:highlight w:val="none"/>
          <w:lang w:eastAsia="zh-CN"/>
        </w:rPr>
        <w:t>，</w:t>
      </w:r>
      <w:r>
        <w:rPr>
          <w:rFonts w:hint="eastAsia" w:ascii="仿宋_GB2312" w:eastAsia="仿宋_GB2312" w:cs="DengXian-Regular"/>
          <w:color w:val="auto"/>
          <w:sz w:val="32"/>
          <w:szCs w:val="32"/>
          <w:highlight w:val="none"/>
          <w:lang w:val="en-US" w:eastAsia="zh-CN"/>
        </w:rPr>
        <w:t>调整后预算及</w:t>
      </w:r>
      <w:r>
        <w:rPr>
          <w:rFonts w:hint="eastAsia" w:ascii="仿宋_GB2312" w:eastAsia="仿宋_GB2312" w:cs="DengXian-Regular"/>
          <w:color w:val="auto"/>
          <w:sz w:val="32"/>
          <w:szCs w:val="32"/>
          <w:highlight w:val="none"/>
          <w:lang w:eastAsia="zh-CN"/>
        </w:rPr>
        <w:t>决算情况未公示</w:t>
      </w:r>
      <w:r>
        <w:rPr>
          <w:rFonts w:hint="eastAsia" w:ascii="仿宋_GB2312" w:eastAsia="仿宋_GB2312" w:cs="DengXian-Regular"/>
          <w:color w:val="auto"/>
          <w:sz w:val="32"/>
          <w:szCs w:val="32"/>
          <w:highlight w:val="none"/>
        </w:rPr>
        <w:t>。</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lang w:eastAsia="zh-CN"/>
        </w:rPr>
        <w:t>扣</w:t>
      </w:r>
      <w:r>
        <w:rPr>
          <w:rFonts w:hint="eastAsia" w:ascii="仿宋_GB2312" w:eastAsia="仿宋_GB2312" w:cs="DengXian-Regular"/>
          <w:color w:val="auto"/>
          <w:sz w:val="32"/>
          <w:szCs w:val="32"/>
          <w:lang w:val="en-US" w:eastAsia="zh-CN"/>
        </w:rPr>
        <w:t>1分，</w:t>
      </w:r>
      <w:r>
        <w:rPr>
          <w:rFonts w:hint="eastAsia" w:ascii="仿宋_GB2312" w:eastAsia="仿宋_GB2312" w:cs="DengXian-Regular"/>
          <w:color w:val="auto"/>
          <w:sz w:val="32"/>
          <w:szCs w:val="32"/>
        </w:rPr>
        <w:t>该指标实际得分</w:t>
      </w:r>
      <w:r>
        <w:rPr>
          <w:rFonts w:hint="eastAsia" w:ascii="仿宋_GB2312" w:eastAsia="仿宋_GB2312" w:cs="DengXian-Regular"/>
          <w:color w:val="auto"/>
          <w:sz w:val="32"/>
          <w:szCs w:val="32"/>
          <w:lang w:val="en-US" w:eastAsia="zh-CN"/>
        </w:rPr>
        <w:t>3</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（3）基础信息完善性（4分）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该指标主要评价基础数据信息和财务信息资料是否真实、完整。</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yellow"/>
          <w:lang w:eastAsia="zh-CN"/>
        </w:rPr>
      </w:pPr>
      <w:r>
        <w:rPr>
          <w:rFonts w:hint="eastAsia" w:ascii="仿宋_GB2312" w:eastAsia="仿宋_GB2312" w:cs="DengXian-Regular"/>
          <w:color w:val="auto"/>
          <w:sz w:val="32"/>
          <w:szCs w:val="32"/>
          <w:highlight w:val="none"/>
        </w:rPr>
        <w:t>根据</w:t>
      </w: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rPr>
        <w:t>提供的会计账簿、凭证及其他相关资料，</w:t>
      </w: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rPr>
        <w:t>会计信息资料真实完整</w:t>
      </w:r>
      <w:r>
        <w:rPr>
          <w:rFonts w:hint="eastAsia" w:ascii="仿宋_GB2312" w:eastAsia="仿宋_GB2312" w:cs="DengXian-Regular"/>
          <w:color w:val="auto"/>
          <w:sz w:val="32"/>
          <w:szCs w:val="32"/>
          <w:highlight w:val="none"/>
          <w:lang w:eastAsia="zh-CN"/>
        </w:rPr>
        <w:t>。</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rPr>
        <w:t>该指标实际</w:t>
      </w:r>
      <w:r>
        <w:rPr>
          <w:rFonts w:hint="eastAsia" w:ascii="仿宋_GB2312" w:eastAsia="仿宋_GB2312" w:cs="DengXian-Regular"/>
          <w:color w:val="auto"/>
          <w:sz w:val="32"/>
          <w:szCs w:val="32"/>
          <w:highlight w:val="none"/>
        </w:rPr>
        <w:t>得分</w:t>
      </w:r>
      <w:r>
        <w:rPr>
          <w:rFonts w:hint="eastAsia" w:ascii="仿宋_GB2312" w:eastAsia="仿宋_GB2312" w:cs="DengXian-Regular"/>
          <w:color w:val="auto"/>
          <w:sz w:val="32"/>
          <w:szCs w:val="32"/>
          <w:highlight w:val="none"/>
          <w:lang w:val="en-US" w:eastAsia="zh-CN"/>
        </w:rPr>
        <w:t>4</w:t>
      </w:r>
      <w:r>
        <w:rPr>
          <w:rFonts w:hint="eastAsia" w:ascii="仿宋_GB2312" w:eastAsia="仿宋_GB2312" w:cs="DengXian-Regular"/>
          <w:color w:val="auto"/>
          <w:sz w:val="32"/>
          <w:szCs w:val="32"/>
          <w:highlight w:val="none"/>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（4）资产管理规范性（4分）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该指标主要评价资产管理是否规范，是否建立资产台账，新增资产是否符合规定程序和规定标准，资产的配置是否合规，资产保存是否完整。</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eastAsia="zh-CN"/>
        </w:rPr>
        <w:t>曲阳县应急管理局</w:t>
      </w:r>
      <w:r>
        <w:rPr>
          <w:rFonts w:hint="eastAsia" w:ascii="仿宋_GB2312" w:eastAsia="仿宋_GB2312" w:cs="DengXian-Regular"/>
          <w:color w:val="auto"/>
          <w:sz w:val="32"/>
          <w:szCs w:val="32"/>
          <w:highlight w:val="none"/>
        </w:rPr>
        <w:t>建立了固定资产台账，资产保存完整，</w:t>
      </w:r>
      <w:r>
        <w:rPr>
          <w:rFonts w:hint="eastAsia" w:ascii="仿宋_GB2312" w:eastAsia="仿宋_GB2312" w:cs="DengXian-Regular"/>
          <w:color w:val="auto"/>
          <w:sz w:val="32"/>
          <w:szCs w:val="32"/>
          <w:highlight w:val="none"/>
          <w:lang w:eastAsia="zh-CN"/>
        </w:rPr>
        <w:t>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年新增资产</w:t>
      </w:r>
      <w:r>
        <w:rPr>
          <w:rFonts w:hint="eastAsia" w:ascii="仿宋_GB2312" w:eastAsia="仿宋_GB2312" w:cs="DengXian-Regular"/>
          <w:color w:val="auto"/>
          <w:sz w:val="32"/>
          <w:szCs w:val="32"/>
          <w:highlight w:val="none"/>
          <w:lang w:val="en-US" w:eastAsia="zh-CN"/>
        </w:rPr>
        <w:t>29.89</w:t>
      </w:r>
      <w:r>
        <w:rPr>
          <w:rFonts w:hint="eastAsia" w:ascii="仿宋_GB2312" w:eastAsia="仿宋_GB2312" w:cs="DengXian-Regular"/>
          <w:color w:val="auto"/>
          <w:sz w:val="32"/>
          <w:szCs w:val="32"/>
          <w:highlight w:val="none"/>
        </w:rPr>
        <w:t>万元，包含：电脑及</w:t>
      </w:r>
      <w:r>
        <w:rPr>
          <w:rFonts w:hint="eastAsia" w:ascii="仿宋_GB2312" w:eastAsia="仿宋_GB2312" w:cs="DengXian-Regular"/>
          <w:color w:val="auto"/>
          <w:sz w:val="32"/>
          <w:szCs w:val="32"/>
          <w:highlight w:val="none"/>
          <w:lang w:val="en-US" w:eastAsia="zh-CN"/>
        </w:rPr>
        <w:t>打印</w:t>
      </w:r>
      <w:r>
        <w:rPr>
          <w:rFonts w:hint="eastAsia" w:ascii="仿宋_GB2312" w:eastAsia="仿宋_GB2312" w:cs="DengXian-Regular"/>
          <w:color w:val="auto"/>
          <w:sz w:val="32"/>
          <w:szCs w:val="32"/>
          <w:highlight w:val="none"/>
        </w:rPr>
        <w:t>设备（</w:t>
      </w:r>
      <w:r>
        <w:rPr>
          <w:rFonts w:hint="eastAsia" w:ascii="仿宋_GB2312" w:eastAsia="仿宋_GB2312" w:cs="DengXian-Regular"/>
          <w:color w:val="auto"/>
          <w:sz w:val="32"/>
          <w:szCs w:val="32"/>
          <w:highlight w:val="none"/>
          <w:lang w:val="en-US" w:eastAsia="zh-CN"/>
        </w:rPr>
        <w:t>5.6</w:t>
      </w:r>
      <w:r>
        <w:rPr>
          <w:rFonts w:hint="eastAsia" w:ascii="仿宋_GB2312" w:eastAsia="仿宋_GB2312" w:cs="DengXian-Regular"/>
          <w:color w:val="auto"/>
          <w:sz w:val="32"/>
          <w:szCs w:val="32"/>
          <w:highlight w:val="none"/>
        </w:rPr>
        <w:t>万元）、</w:t>
      </w:r>
      <w:r>
        <w:rPr>
          <w:rFonts w:hint="eastAsia" w:ascii="仿宋_GB2312" w:eastAsia="仿宋_GB2312" w:cs="DengXian-Regular"/>
          <w:color w:val="auto"/>
          <w:sz w:val="32"/>
          <w:szCs w:val="32"/>
          <w:highlight w:val="none"/>
          <w:lang w:val="en-US" w:eastAsia="zh-CN"/>
        </w:rPr>
        <w:t>照相机及器材（0.4万元）、</w:t>
      </w:r>
      <w:r>
        <w:rPr>
          <w:rFonts w:hint="eastAsia" w:ascii="仿宋_GB2312" w:eastAsia="仿宋_GB2312" w:cs="DengXian-Regular"/>
          <w:color w:val="auto"/>
          <w:sz w:val="32"/>
          <w:szCs w:val="32"/>
          <w:highlight w:val="none"/>
          <w:lang w:eastAsia="zh-CN"/>
        </w:rPr>
        <w:t>通用无线电通信设备</w:t>
      </w:r>
      <w:r>
        <w:rPr>
          <w:rFonts w:hint="eastAsia"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lang w:val="en-US" w:eastAsia="zh-CN"/>
        </w:rPr>
        <w:t>5.73</w:t>
      </w:r>
      <w:r>
        <w:rPr>
          <w:rFonts w:hint="eastAsia" w:ascii="仿宋_GB2312" w:eastAsia="仿宋_GB2312" w:cs="DengXian-Regular"/>
          <w:color w:val="auto"/>
          <w:sz w:val="32"/>
          <w:szCs w:val="32"/>
          <w:highlight w:val="none"/>
        </w:rPr>
        <w:t>万元）</w:t>
      </w:r>
      <w:r>
        <w:rPr>
          <w:rFonts w:hint="eastAsia" w:ascii="仿宋_GB2312" w:eastAsia="仿宋_GB2312" w:cs="DengXian-Regular"/>
          <w:color w:val="auto"/>
          <w:sz w:val="32"/>
          <w:szCs w:val="32"/>
          <w:highlight w:val="none"/>
          <w:lang w:eastAsia="zh-CN"/>
        </w:rPr>
        <w:t>、</w:t>
      </w:r>
      <w:r>
        <w:rPr>
          <w:rFonts w:hint="eastAsia" w:ascii="仿宋_GB2312" w:eastAsia="仿宋_GB2312" w:cs="DengXian-Regular"/>
          <w:color w:val="auto"/>
          <w:sz w:val="32"/>
          <w:szCs w:val="32"/>
          <w:highlight w:val="none"/>
        </w:rPr>
        <w:t>视频会议控制台</w:t>
      </w:r>
      <w:r>
        <w:rPr>
          <w:rFonts w:hint="eastAsia" w:ascii="仿宋_GB2312" w:eastAsia="仿宋_GB2312" w:cs="DengXian-Regular"/>
          <w:color w:val="auto"/>
          <w:sz w:val="32"/>
          <w:szCs w:val="32"/>
          <w:highlight w:val="none"/>
          <w:lang w:val="en-US" w:eastAsia="zh-CN"/>
        </w:rPr>
        <w:t>及系统设备</w:t>
      </w:r>
      <w:r>
        <w:rPr>
          <w:rFonts w:hint="eastAsia"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lang w:val="en-US" w:eastAsia="zh-CN"/>
        </w:rPr>
        <w:t>10.93</w:t>
      </w:r>
      <w:r>
        <w:rPr>
          <w:rFonts w:hint="eastAsia" w:ascii="仿宋_GB2312" w:eastAsia="仿宋_GB2312" w:cs="DengXian-Regular"/>
          <w:color w:val="auto"/>
          <w:sz w:val="32"/>
          <w:szCs w:val="32"/>
          <w:highlight w:val="none"/>
        </w:rPr>
        <w:t>万元）</w:t>
      </w:r>
      <w:r>
        <w:rPr>
          <w:rFonts w:hint="eastAsia" w:ascii="仿宋_GB2312" w:eastAsia="仿宋_GB2312" w:cs="DengXian-Regular"/>
          <w:color w:val="auto"/>
          <w:sz w:val="32"/>
          <w:szCs w:val="32"/>
          <w:highlight w:val="none"/>
          <w:lang w:eastAsia="zh-CN"/>
        </w:rPr>
        <w:t>、</w:t>
      </w:r>
      <w:r>
        <w:rPr>
          <w:rFonts w:hint="eastAsia" w:ascii="仿宋_GB2312" w:eastAsia="仿宋_GB2312" w:cs="DengXian-Regular"/>
          <w:color w:val="auto"/>
          <w:sz w:val="32"/>
          <w:szCs w:val="32"/>
          <w:highlight w:val="none"/>
          <w:lang w:val="en-US" w:eastAsia="zh-CN"/>
        </w:rPr>
        <w:t>其他终端设备（2.6万元）、其他家具用具（4.64万元）</w:t>
      </w:r>
      <w:r>
        <w:rPr>
          <w:rFonts w:hint="eastAsia" w:ascii="仿宋_GB2312" w:eastAsia="仿宋_GB2312" w:cs="DengXian-Regular"/>
          <w:color w:val="auto"/>
          <w:sz w:val="32"/>
          <w:szCs w:val="32"/>
          <w:highlight w:val="none"/>
        </w:rPr>
        <w:t>，资产购置</w:t>
      </w:r>
      <w:r>
        <w:rPr>
          <w:rFonts w:hint="eastAsia" w:ascii="仿宋_GB2312" w:eastAsia="仿宋_GB2312" w:cs="DengXian-Regular"/>
          <w:color w:val="auto"/>
          <w:sz w:val="32"/>
          <w:szCs w:val="32"/>
          <w:highlight w:val="none"/>
          <w:lang w:eastAsia="zh-CN"/>
        </w:rPr>
        <w:t>及划转</w:t>
      </w:r>
      <w:r>
        <w:rPr>
          <w:rFonts w:hint="eastAsia" w:ascii="仿宋_GB2312" w:eastAsia="仿宋_GB2312" w:cs="DengXian-Regular"/>
          <w:color w:val="auto"/>
          <w:sz w:val="32"/>
          <w:szCs w:val="32"/>
          <w:highlight w:val="none"/>
        </w:rPr>
        <w:t>手续完备，配置符合要求，资产管理整体较规范。</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该项指标实际得分4分。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3.绩效评价（8分）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（1）绩效自评覆盖率（4分）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该指标主要评价部门是否按相关要求实施绩效自评，通过绩效自评覆盖率来衡量。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绩效自评覆盖率=（报送相关自评材料的数量/应实施项目绩效自评数量）*100%。</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根据</w:t>
      </w:r>
      <w:r>
        <w:rPr>
          <w:rFonts w:hint="eastAsia" w:ascii="仿宋_GB2312" w:eastAsia="仿宋_GB2312" w:cs="DengXian-Regular"/>
          <w:color w:val="auto"/>
          <w:sz w:val="32"/>
          <w:szCs w:val="32"/>
          <w:highlight w:val="none"/>
          <w:lang w:val="en-US" w:eastAsia="zh-CN"/>
        </w:rPr>
        <w:t>曲阳县</w:t>
      </w:r>
      <w:r>
        <w:rPr>
          <w:rFonts w:hint="eastAsia" w:ascii="仿宋_GB2312" w:eastAsia="仿宋_GB2312" w:cs="DengXian-Regular"/>
          <w:color w:val="auto"/>
          <w:sz w:val="32"/>
          <w:szCs w:val="32"/>
          <w:highlight w:val="none"/>
        </w:rPr>
        <w:t>财政局《关于开展</w:t>
      </w:r>
      <w:r>
        <w:rPr>
          <w:rFonts w:hint="eastAsia" w:ascii="仿宋_GB2312" w:eastAsia="仿宋_GB2312" w:cs="DengXian-Regular"/>
          <w:color w:val="auto"/>
          <w:sz w:val="32"/>
          <w:szCs w:val="32"/>
          <w:highlight w:val="none"/>
          <w:lang w:eastAsia="zh-CN"/>
        </w:rPr>
        <w:t>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年度财政专项资金部门绩效自评价工作的通知》及</w:t>
      </w: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年一般项目部门绩效自评表，</w:t>
      </w: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年开展绩效自评的项目数为</w:t>
      </w:r>
      <w:r>
        <w:rPr>
          <w:rFonts w:hint="eastAsia" w:ascii="仿宋_GB2312" w:eastAsia="仿宋_GB2312" w:cs="DengXian-Regular"/>
          <w:color w:val="auto"/>
          <w:sz w:val="32"/>
          <w:szCs w:val="32"/>
          <w:highlight w:val="none"/>
          <w:lang w:val="en-US" w:eastAsia="zh-CN"/>
        </w:rPr>
        <w:t>13</w:t>
      </w:r>
      <w:r>
        <w:rPr>
          <w:rFonts w:hint="eastAsia" w:ascii="仿宋_GB2312" w:eastAsia="仿宋_GB2312" w:cs="DengXian-Regular"/>
          <w:color w:val="auto"/>
          <w:sz w:val="32"/>
          <w:szCs w:val="32"/>
          <w:highlight w:val="none"/>
        </w:rPr>
        <w:t>个，年初预算文本项目数</w:t>
      </w:r>
      <w:r>
        <w:rPr>
          <w:rFonts w:hint="eastAsia" w:ascii="仿宋_GB2312" w:eastAsia="仿宋_GB2312" w:cs="DengXian-Regular"/>
          <w:color w:val="auto"/>
          <w:sz w:val="32"/>
          <w:szCs w:val="32"/>
          <w:highlight w:val="none"/>
          <w:lang w:val="en-US" w:eastAsia="zh-CN"/>
        </w:rPr>
        <w:t>9</w:t>
      </w:r>
      <w:r>
        <w:rPr>
          <w:rFonts w:hint="eastAsia" w:ascii="仿宋_GB2312" w:eastAsia="仿宋_GB2312" w:cs="DengXian-Regular"/>
          <w:color w:val="auto"/>
          <w:sz w:val="32"/>
          <w:szCs w:val="32"/>
          <w:highlight w:val="none"/>
        </w:rPr>
        <w:t>个，</w:t>
      </w:r>
      <w:r>
        <w:rPr>
          <w:rFonts w:hint="eastAsia" w:ascii="仿宋_GB2312" w:eastAsia="仿宋_GB2312" w:cs="DengXian-Regular"/>
          <w:color w:val="auto"/>
          <w:sz w:val="32"/>
          <w:szCs w:val="32"/>
          <w:highlight w:val="none"/>
          <w:lang w:val="en-US" w:eastAsia="zh-CN"/>
        </w:rPr>
        <w:t>调整预算项目数13个，</w:t>
      </w:r>
      <w:r>
        <w:rPr>
          <w:rFonts w:hint="eastAsia" w:ascii="仿宋_GB2312" w:eastAsia="仿宋_GB2312" w:cs="DengXian-Regular"/>
          <w:color w:val="auto"/>
          <w:sz w:val="32"/>
          <w:szCs w:val="32"/>
          <w:highlight w:val="none"/>
        </w:rPr>
        <w:t>要求自评项目个数</w:t>
      </w:r>
      <w:r>
        <w:rPr>
          <w:rFonts w:hint="eastAsia" w:ascii="仿宋_GB2312" w:eastAsia="仿宋_GB2312" w:cs="DengXian-Regular"/>
          <w:color w:val="auto"/>
          <w:sz w:val="32"/>
          <w:szCs w:val="32"/>
          <w:highlight w:val="none"/>
          <w:lang w:val="en-US" w:eastAsia="zh-CN"/>
        </w:rPr>
        <w:t>13</w:t>
      </w:r>
      <w:r>
        <w:rPr>
          <w:rFonts w:hint="eastAsia" w:ascii="仿宋_GB2312" w:eastAsia="仿宋_GB2312" w:cs="DengXian-Regular"/>
          <w:color w:val="auto"/>
          <w:sz w:val="32"/>
          <w:szCs w:val="32"/>
          <w:highlight w:val="none"/>
        </w:rPr>
        <w:t>个，自评覆盖率为100%。</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该指标实际得分4分。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（2）绩效评价优等率（4分）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该指标主要评价部门开展的绩效评价项目的完成质量，通过绩效评价优等率来衡量。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绩效评价优等率=（结果达到优等的数量/参评数量）*100%。</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eastAsia="zh-CN"/>
        </w:rPr>
        <w:t>曲阳县应急管理局20</w:t>
      </w:r>
      <w:r>
        <w:rPr>
          <w:rFonts w:hint="eastAsia" w:ascii="仿宋_GB2312" w:eastAsia="仿宋_GB2312" w:cs="DengXian-Regular"/>
          <w:color w:val="auto"/>
          <w:sz w:val="32"/>
          <w:szCs w:val="32"/>
          <w:highlight w:val="none"/>
          <w:lang w:val="en-US" w:eastAsia="zh-CN"/>
        </w:rPr>
        <w:t>21</w:t>
      </w:r>
      <w:r>
        <w:rPr>
          <w:rFonts w:hint="eastAsia" w:ascii="仿宋_GB2312" w:eastAsia="仿宋_GB2312" w:cs="DengXian-Regular"/>
          <w:color w:val="auto"/>
          <w:sz w:val="32"/>
          <w:szCs w:val="32"/>
          <w:highlight w:val="none"/>
        </w:rPr>
        <w:t>年参评数量</w:t>
      </w:r>
      <w:r>
        <w:rPr>
          <w:rFonts w:hint="eastAsia" w:ascii="仿宋_GB2312" w:eastAsia="仿宋_GB2312" w:cs="DengXian-Regular"/>
          <w:color w:val="auto"/>
          <w:sz w:val="32"/>
          <w:szCs w:val="32"/>
          <w:highlight w:val="none"/>
          <w:lang w:val="en-US" w:eastAsia="zh-CN"/>
        </w:rPr>
        <w:t>13</w:t>
      </w:r>
      <w:r>
        <w:rPr>
          <w:rFonts w:hint="eastAsia" w:ascii="仿宋_GB2312" w:eastAsia="仿宋_GB2312" w:cs="DengXian-Regular"/>
          <w:color w:val="auto"/>
          <w:sz w:val="32"/>
          <w:szCs w:val="32"/>
          <w:highlight w:val="none"/>
        </w:rPr>
        <w:t>个，绩效评价结果达到优等的数量</w:t>
      </w:r>
      <w:r>
        <w:rPr>
          <w:rFonts w:hint="eastAsia" w:ascii="仿宋_GB2312" w:eastAsia="仿宋_GB2312" w:cs="DengXian-Regular"/>
          <w:color w:val="auto"/>
          <w:sz w:val="32"/>
          <w:szCs w:val="32"/>
          <w:highlight w:val="none"/>
          <w:lang w:val="en-US" w:eastAsia="zh-CN"/>
        </w:rPr>
        <w:t>13</w:t>
      </w:r>
      <w:r>
        <w:rPr>
          <w:rFonts w:hint="eastAsia" w:ascii="仿宋_GB2312" w:eastAsia="仿宋_GB2312" w:cs="DengXian-Regular"/>
          <w:color w:val="auto"/>
          <w:sz w:val="32"/>
          <w:szCs w:val="32"/>
          <w:highlight w:val="none"/>
        </w:rPr>
        <w:t>个，绩效评价优等率为100%。</w:t>
      </w:r>
    </w:p>
    <w:p>
      <w:pPr>
        <w:pStyle w:val="2"/>
      </w:pPr>
      <w:r>
        <w:rPr>
          <w:rFonts w:hint="eastAsia" w:ascii="仿宋_GB2312" w:eastAsia="仿宋_GB2312" w:cs="DengXian-Regular"/>
          <w:color w:val="auto"/>
          <w:sz w:val="32"/>
          <w:szCs w:val="32"/>
        </w:rPr>
        <w:t>该指标实际得分4分。</w:t>
      </w:r>
    </w:p>
    <w:bookmarkEnd w:id="60"/>
    <w:bookmarkEnd w:id="61"/>
    <w:p>
      <w:pPr>
        <w:pStyle w:val="5"/>
        <w:spacing w:before="0" w:after="0"/>
        <w:ind w:firstLine="643" w:firstLineChars="200"/>
        <w:jc w:val="both"/>
        <w:rPr>
          <w:rFonts w:ascii="楷体" w:hAnsi="楷体" w:eastAsia="楷体"/>
          <w:color w:val="auto"/>
          <w:sz w:val="32"/>
          <w:highlight w:val="none"/>
        </w:rPr>
      </w:pPr>
      <w:bookmarkStart w:id="62" w:name="_Toc12330"/>
      <w:r>
        <w:rPr>
          <w:rFonts w:hint="eastAsia" w:ascii="楷体" w:hAnsi="楷体" w:eastAsia="楷体"/>
          <w:color w:val="auto"/>
          <w:sz w:val="32"/>
          <w:highlight w:val="none"/>
        </w:rPr>
        <w:t>（三）产出（2</w:t>
      </w:r>
      <w:r>
        <w:rPr>
          <w:rFonts w:hint="eastAsia" w:ascii="楷体" w:hAnsi="楷体" w:eastAsia="楷体"/>
          <w:color w:val="auto"/>
          <w:sz w:val="32"/>
          <w:highlight w:val="none"/>
          <w:lang w:val="en-US" w:eastAsia="zh-CN"/>
        </w:rPr>
        <w:t>0</w:t>
      </w:r>
      <w:r>
        <w:rPr>
          <w:rFonts w:hint="eastAsia" w:ascii="楷体" w:hAnsi="楷体" w:eastAsia="楷体"/>
          <w:color w:val="auto"/>
          <w:sz w:val="32"/>
          <w:highlight w:val="none"/>
        </w:rPr>
        <w:t>分）</w:t>
      </w:r>
      <w:bookmarkEnd w:id="62"/>
    </w:p>
    <w:p>
      <w:pPr>
        <w:spacing w:after="0" w:line="360" w:lineRule="auto"/>
        <w:ind w:firstLine="640" w:firstLineChars="200"/>
        <w:jc w:val="both"/>
        <w:textAlignment w:val="baseline"/>
        <w:rPr>
          <w:rFonts w:hint="eastAsia" w:asciiTheme="minorEastAsia" w:hAnsiTheme="minorEastAsia" w:eastAsiaTheme="minorEastAsia" w:cstheme="minorEastAsia"/>
          <w:b/>
          <w:bCs/>
          <w:color w:val="auto"/>
          <w:sz w:val="32"/>
          <w:szCs w:val="32"/>
        </w:rPr>
      </w:pPr>
      <w:r>
        <w:rPr>
          <w:rFonts w:hint="eastAsia" w:ascii="仿宋_GB2312" w:eastAsia="仿宋_GB2312" w:cs="DengXian-Regular"/>
          <w:color w:val="auto"/>
          <w:sz w:val="32"/>
          <w:szCs w:val="32"/>
        </w:rPr>
        <w:t>该一级指标包含责任履行一个二级指标，主要反映结转结余率，项目资金使用率，</w:t>
      </w:r>
      <w:r>
        <w:rPr>
          <w:rFonts w:hint="eastAsia" w:ascii="仿宋_GB2312" w:eastAsia="仿宋_GB2312" w:cs="DengXian-Regular"/>
          <w:color w:val="auto"/>
          <w:sz w:val="32"/>
          <w:szCs w:val="32"/>
          <w:lang w:eastAsia="zh-CN"/>
        </w:rPr>
        <w:t>安全生产隐患排查下乡督导检查次数</w:t>
      </w:r>
      <w:r>
        <w:rPr>
          <w:rFonts w:hint="eastAsia" w:ascii="仿宋_GB2312" w:eastAsia="仿宋_GB2312" w:cs="DengXian-Regular"/>
          <w:color w:val="auto"/>
          <w:sz w:val="32"/>
          <w:szCs w:val="32"/>
        </w:rPr>
        <w:t>，综合事务办理完成率，</w:t>
      </w:r>
      <w:r>
        <w:rPr>
          <w:rFonts w:hint="eastAsia" w:ascii="仿宋_GB2312" w:eastAsia="仿宋_GB2312" w:cs="DengXian-Regular"/>
          <w:color w:val="auto"/>
          <w:sz w:val="32"/>
          <w:szCs w:val="32"/>
          <w:lang w:eastAsia="zh-CN"/>
        </w:rPr>
        <w:t>资金发放完成率</w:t>
      </w:r>
      <w:r>
        <w:rPr>
          <w:rFonts w:hint="eastAsia" w:ascii="仿宋_GB2312" w:eastAsia="仿宋_GB2312" w:cs="DengXian-Regular"/>
          <w:color w:val="auto"/>
          <w:sz w:val="32"/>
          <w:szCs w:val="32"/>
        </w:rPr>
        <w:t>。</w:t>
      </w:r>
    </w:p>
    <w:p>
      <w:pPr>
        <w:spacing w:after="0" w:line="360" w:lineRule="auto"/>
        <w:jc w:val="center"/>
        <w:textAlignment w:val="baseline"/>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表4  产出指标及得分情况表</w:t>
      </w:r>
    </w:p>
    <w:tbl>
      <w:tblPr>
        <w:tblStyle w:val="23"/>
        <w:tblW w:w="0" w:type="auto"/>
        <w:jc w:val="center"/>
        <w:tblLayout w:type="fixed"/>
        <w:tblCellMar>
          <w:top w:w="15" w:type="dxa"/>
          <w:left w:w="15" w:type="dxa"/>
          <w:bottom w:w="15" w:type="dxa"/>
          <w:right w:w="15" w:type="dxa"/>
        </w:tblCellMar>
      </w:tblPr>
      <w:tblGrid>
        <w:gridCol w:w="1577"/>
        <w:gridCol w:w="1004"/>
        <w:gridCol w:w="2536"/>
        <w:gridCol w:w="1125"/>
        <w:gridCol w:w="853"/>
      </w:tblGrid>
      <w:tr>
        <w:tblPrEx>
          <w:tblCellMar>
            <w:top w:w="15" w:type="dxa"/>
            <w:left w:w="15" w:type="dxa"/>
            <w:bottom w:w="15" w:type="dxa"/>
            <w:right w:w="15" w:type="dxa"/>
          </w:tblCellMar>
        </w:tblPrEx>
        <w:trPr>
          <w:trHeight w:val="397" w:hRule="exact"/>
          <w:jc w:val="center"/>
        </w:trPr>
        <w:tc>
          <w:tcPr>
            <w:tcW w:w="1577" w:type="dxa"/>
            <w:tcBorders>
              <w:top w:val="single" w:color="000000" w:sz="4" w:space="0"/>
              <w:left w:val="single" w:color="000000" w:sz="4" w:space="0"/>
              <w:bottom w:val="single" w:color="000000" w:sz="4" w:space="0"/>
              <w:right w:val="single" w:color="000000" w:sz="4" w:space="0"/>
            </w:tcBorders>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一级指标</w:t>
            </w:r>
          </w:p>
        </w:tc>
        <w:tc>
          <w:tcPr>
            <w:tcW w:w="1004" w:type="dxa"/>
            <w:tcBorders>
              <w:top w:val="single" w:color="000000" w:sz="4" w:space="0"/>
              <w:left w:val="single" w:color="000000" w:sz="4" w:space="0"/>
              <w:bottom w:val="single" w:color="000000" w:sz="4" w:space="0"/>
              <w:right w:val="single" w:color="000000" w:sz="4" w:space="0"/>
            </w:tcBorders>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二级指标</w:t>
            </w:r>
          </w:p>
        </w:tc>
        <w:tc>
          <w:tcPr>
            <w:tcW w:w="2536" w:type="dxa"/>
            <w:tcBorders>
              <w:top w:val="single" w:color="000000" w:sz="4" w:space="0"/>
              <w:left w:val="single" w:color="000000" w:sz="4" w:space="0"/>
              <w:bottom w:val="single" w:color="000000" w:sz="4" w:space="0"/>
              <w:right w:val="single" w:color="000000" w:sz="4" w:space="0"/>
            </w:tcBorders>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三级指标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分数权重</w:t>
            </w:r>
          </w:p>
        </w:tc>
        <w:tc>
          <w:tcPr>
            <w:tcW w:w="853" w:type="dxa"/>
            <w:tcBorders>
              <w:top w:val="single" w:color="000000" w:sz="4" w:space="0"/>
              <w:left w:val="single" w:color="000000" w:sz="4" w:space="0"/>
              <w:bottom w:val="single" w:color="000000" w:sz="4" w:space="0"/>
              <w:right w:val="single" w:color="000000" w:sz="4" w:space="0"/>
            </w:tcBorders>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得分</w:t>
            </w:r>
          </w:p>
        </w:tc>
      </w:tr>
      <w:tr>
        <w:tblPrEx>
          <w:tblCellMar>
            <w:top w:w="15" w:type="dxa"/>
            <w:left w:w="15" w:type="dxa"/>
            <w:bottom w:w="15" w:type="dxa"/>
            <w:right w:w="15" w:type="dxa"/>
          </w:tblCellMar>
        </w:tblPrEx>
        <w:trPr>
          <w:trHeight w:val="397" w:hRule="exact"/>
          <w:jc w:val="center"/>
        </w:trPr>
        <w:tc>
          <w:tcPr>
            <w:tcW w:w="1577" w:type="dxa"/>
            <w:vMerge w:val="restart"/>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产出</w:t>
            </w:r>
          </w:p>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r>
              <w:rPr>
                <w:rFonts w:hint="eastAsia" w:cs="宋体" w:asciiTheme="minorEastAsia" w:hAnsiTheme="minorEastAsia" w:eastAsiaTheme="minorEastAsia"/>
                <w:color w:val="auto"/>
                <w:sz w:val="21"/>
                <w:szCs w:val="21"/>
                <w:lang w:val="en-US" w:eastAsia="zh-CN"/>
              </w:rPr>
              <w:t>0</w:t>
            </w:r>
            <w:r>
              <w:rPr>
                <w:rFonts w:hint="eastAsia" w:cs="宋体" w:asciiTheme="minorEastAsia" w:hAnsiTheme="minorEastAsia" w:eastAsiaTheme="minorEastAsia"/>
                <w:color w:val="auto"/>
                <w:sz w:val="21"/>
                <w:szCs w:val="21"/>
              </w:rPr>
              <w:t>分）</w:t>
            </w:r>
          </w:p>
        </w:tc>
        <w:tc>
          <w:tcPr>
            <w:tcW w:w="1004" w:type="dxa"/>
            <w:vMerge w:val="restart"/>
            <w:tcBorders>
              <w:top w:val="single" w:color="000000" w:sz="4" w:space="0"/>
              <w:left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责任履行（2</w:t>
            </w:r>
            <w:r>
              <w:rPr>
                <w:rFonts w:hint="eastAsia" w:cs="宋体" w:asciiTheme="minorEastAsia" w:hAnsiTheme="minorEastAsia" w:eastAsiaTheme="minorEastAsia"/>
                <w:color w:val="auto"/>
                <w:sz w:val="21"/>
                <w:szCs w:val="21"/>
                <w:lang w:val="en-US" w:eastAsia="zh-CN"/>
              </w:rPr>
              <w:t>0</w:t>
            </w:r>
            <w:r>
              <w:rPr>
                <w:rFonts w:hint="eastAsia" w:cs="宋体" w:asciiTheme="minorEastAsia" w:hAnsiTheme="minorEastAsia" w:eastAsiaTheme="minorEastAsia"/>
                <w:color w:val="auto"/>
                <w:sz w:val="21"/>
                <w:szCs w:val="21"/>
              </w:rPr>
              <w:t>分）</w:t>
            </w:r>
          </w:p>
        </w:tc>
        <w:tc>
          <w:tcPr>
            <w:tcW w:w="2536"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结转结余率</w:t>
            </w:r>
          </w:p>
        </w:tc>
        <w:tc>
          <w:tcPr>
            <w:tcW w:w="1125"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cs="宋体" w:asciiTheme="minorEastAsia" w:hAnsiTheme="minorEastAsia" w:eastAsiaTheme="minorEastAsia"/>
                <w:color w:val="auto"/>
                <w:sz w:val="21"/>
                <w:szCs w:val="21"/>
                <w:lang w:eastAsia="zh-CN"/>
              </w:rPr>
            </w:pPr>
            <w:r>
              <w:rPr>
                <w:rFonts w:hint="eastAsia" w:cs="宋体" w:asciiTheme="minorEastAsia" w:hAnsiTheme="minorEastAsia" w:eastAsiaTheme="minorEastAsia"/>
                <w:color w:val="auto"/>
                <w:sz w:val="21"/>
                <w:szCs w:val="21"/>
                <w:lang w:val="en-US" w:eastAsia="zh-CN"/>
              </w:rPr>
              <w:t>4</w:t>
            </w:r>
          </w:p>
        </w:tc>
        <w:tc>
          <w:tcPr>
            <w:tcW w:w="853"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cs="宋体" w:asciiTheme="minorEastAsia" w:hAnsiTheme="minorEastAsia" w:eastAsiaTheme="minorEastAsia"/>
                <w:color w:val="auto"/>
                <w:sz w:val="21"/>
                <w:szCs w:val="21"/>
                <w:lang w:eastAsia="zh-CN"/>
              </w:rPr>
            </w:pPr>
            <w:r>
              <w:rPr>
                <w:rFonts w:hint="eastAsia" w:cs="宋体" w:asciiTheme="minorEastAsia" w:hAnsiTheme="minorEastAsia" w:eastAsiaTheme="minorEastAsia"/>
                <w:color w:val="auto"/>
                <w:sz w:val="21"/>
                <w:szCs w:val="21"/>
                <w:lang w:val="en-US" w:eastAsia="zh-CN"/>
              </w:rPr>
              <w:t>4</w:t>
            </w:r>
          </w:p>
        </w:tc>
      </w:tr>
      <w:tr>
        <w:tblPrEx>
          <w:tblCellMar>
            <w:top w:w="15" w:type="dxa"/>
            <w:left w:w="15" w:type="dxa"/>
            <w:bottom w:w="15" w:type="dxa"/>
            <w:right w:w="15" w:type="dxa"/>
          </w:tblCellMar>
        </w:tblPrEx>
        <w:trPr>
          <w:trHeight w:val="397" w:hRule="exact"/>
          <w:jc w:val="center"/>
        </w:trPr>
        <w:tc>
          <w:tcPr>
            <w:tcW w:w="1577" w:type="dxa"/>
            <w:vMerge w:val="continue"/>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1004" w:type="dxa"/>
            <w:vMerge w:val="continue"/>
            <w:tcBorders>
              <w:left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2536"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项目资金使用率</w:t>
            </w:r>
          </w:p>
        </w:tc>
        <w:tc>
          <w:tcPr>
            <w:tcW w:w="1125"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cs="宋体" w:asciiTheme="minorEastAsia" w:hAnsiTheme="minorEastAsia" w:eastAsiaTheme="minorEastAsia"/>
                <w:color w:val="auto"/>
                <w:sz w:val="21"/>
                <w:szCs w:val="21"/>
                <w:lang w:eastAsia="zh-CN"/>
              </w:rPr>
            </w:pPr>
            <w:r>
              <w:rPr>
                <w:rFonts w:hint="eastAsia" w:cs="宋体" w:asciiTheme="minorEastAsia" w:hAnsiTheme="minorEastAsia" w:eastAsiaTheme="minorEastAsia"/>
                <w:color w:val="auto"/>
                <w:sz w:val="21"/>
                <w:szCs w:val="21"/>
                <w:lang w:val="en-US" w:eastAsia="zh-CN"/>
              </w:rPr>
              <w:t>4</w:t>
            </w:r>
          </w:p>
        </w:tc>
        <w:tc>
          <w:tcPr>
            <w:tcW w:w="853"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4</w:t>
            </w:r>
          </w:p>
        </w:tc>
      </w:tr>
      <w:tr>
        <w:tblPrEx>
          <w:tblCellMar>
            <w:top w:w="15" w:type="dxa"/>
            <w:left w:w="15" w:type="dxa"/>
            <w:bottom w:w="15" w:type="dxa"/>
            <w:right w:w="15" w:type="dxa"/>
          </w:tblCellMar>
        </w:tblPrEx>
        <w:trPr>
          <w:trHeight w:val="859" w:hRule="exact"/>
          <w:jc w:val="center"/>
        </w:trPr>
        <w:tc>
          <w:tcPr>
            <w:tcW w:w="1577" w:type="dxa"/>
            <w:vMerge w:val="continue"/>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1004" w:type="dxa"/>
            <w:vMerge w:val="continue"/>
            <w:tcBorders>
              <w:left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2536"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lang w:eastAsia="zh-CN"/>
              </w:rPr>
              <w:t>安全生产隐患排查下乡督导检查次数</w:t>
            </w:r>
          </w:p>
        </w:tc>
        <w:tc>
          <w:tcPr>
            <w:tcW w:w="1125"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cs="宋体" w:asciiTheme="minorEastAsia" w:hAnsiTheme="minorEastAsia" w:eastAsiaTheme="minorEastAsia"/>
                <w:color w:val="auto"/>
                <w:sz w:val="21"/>
                <w:szCs w:val="21"/>
                <w:lang w:eastAsia="zh-CN"/>
              </w:rPr>
            </w:pPr>
            <w:r>
              <w:rPr>
                <w:rFonts w:hint="eastAsia" w:cs="宋体" w:asciiTheme="minorEastAsia" w:hAnsiTheme="minorEastAsia" w:eastAsiaTheme="minorEastAsia"/>
                <w:color w:val="auto"/>
                <w:sz w:val="21"/>
                <w:szCs w:val="21"/>
                <w:lang w:val="en-US" w:eastAsia="zh-CN"/>
              </w:rPr>
              <w:t>4</w:t>
            </w:r>
          </w:p>
        </w:tc>
        <w:tc>
          <w:tcPr>
            <w:tcW w:w="853"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4</w:t>
            </w:r>
          </w:p>
        </w:tc>
      </w:tr>
      <w:tr>
        <w:tblPrEx>
          <w:tblCellMar>
            <w:top w:w="15" w:type="dxa"/>
            <w:left w:w="15" w:type="dxa"/>
            <w:bottom w:w="15" w:type="dxa"/>
            <w:right w:w="15" w:type="dxa"/>
          </w:tblCellMar>
        </w:tblPrEx>
        <w:trPr>
          <w:trHeight w:val="397" w:hRule="exact"/>
          <w:jc w:val="center"/>
        </w:trPr>
        <w:tc>
          <w:tcPr>
            <w:tcW w:w="1577" w:type="dxa"/>
            <w:vMerge w:val="continue"/>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1004" w:type="dxa"/>
            <w:vMerge w:val="continue"/>
            <w:tcBorders>
              <w:left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2536"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综合事务办理完成率</w:t>
            </w:r>
          </w:p>
        </w:tc>
        <w:tc>
          <w:tcPr>
            <w:tcW w:w="1125"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cs="宋体" w:asciiTheme="minorEastAsia" w:hAnsiTheme="minorEastAsia" w:eastAsiaTheme="minorEastAsia"/>
                <w:color w:val="auto"/>
                <w:sz w:val="21"/>
                <w:szCs w:val="21"/>
                <w:lang w:eastAsia="zh-CN"/>
              </w:rPr>
            </w:pPr>
            <w:r>
              <w:rPr>
                <w:rFonts w:hint="eastAsia" w:cs="宋体" w:asciiTheme="minorEastAsia" w:hAnsiTheme="minorEastAsia" w:eastAsiaTheme="minorEastAsia"/>
                <w:color w:val="auto"/>
                <w:sz w:val="21"/>
                <w:szCs w:val="21"/>
                <w:lang w:val="en-US" w:eastAsia="zh-CN"/>
              </w:rPr>
              <w:t>4</w:t>
            </w:r>
          </w:p>
        </w:tc>
        <w:tc>
          <w:tcPr>
            <w:tcW w:w="853"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4</w:t>
            </w:r>
          </w:p>
        </w:tc>
      </w:tr>
      <w:tr>
        <w:tblPrEx>
          <w:tblCellMar>
            <w:top w:w="15" w:type="dxa"/>
            <w:left w:w="15" w:type="dxa"/>
            <w:bottom w:w="15" w:type="dxa"/>
            <w:right w:w="15" w:type="dxa"/>
          </w:tblCellMar>
        </w:tblPrEx>
        <w:trPr>
          <w:trHeight w:val="397" w:hRule="exact"/>
          <w:jc w:val="center"/>
        </w:trPr>
        <w:tc>
          <w:tcPr>
            <w:tcW w:w="1577" w:type="dxa"/>
            <w:vMerge w:val="continue"/>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1004" w:type="dxa"/>
            <w:vMerge w:val="continue"/>
            <w:tcBorders>
              <w:left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2536"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lang w:eastAsia="zh-CN"/>
              </w:rPr>
              <w:t>资金发放完成率</w:t>
            </w:r>
          </w:p>
        </w:tc>
        <w:tc>
          <w:tcPr>
            <w:tcW w:w="1125"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cs="宋体" w:asciiTheme="minorEastAsia" w:hAnsiTheme="minorEastAsia" w:eastAsiaTheme="minorEastAsia"/>
                <w:color w:val="auto"/>
                <w:sz w:val="21"/>
                <w:szCs w:val="21"/>
                <w:lang w:eastAsia="zh-CN"/>
              </w:rPr>
            </w:pPr>
            <w:r>
              <w:rPr>
                <w:rFonts w:hint="eastAsia" w:cs="宋体" w:asciiTheme="minorEastAsia" w:hAnsiTheme="minorEastAsia" w:eastAsiaTheme="minorEastAsia"/>
                <w:color w:val="auto"/>
                <w:sz w:val="21"/>
                <w:szCs w:val="21"/>
                <w:lang w:val="en-US" w:eastAsia="zh-CN"/>
              </w:rPr>
              <w:t>4</w:t>
            </w:r>
          </w:p>
        </w:tc>
        <w:tc>
          <w:tcPr>
            <w:tcW w:w="853"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4</w:t>
            </w:r>
          </w:p>
        </w:tc>
      </w:tr>
      <w:tr>
        <w:tblPrEx>
          <w:tblCellMar>
            <w:top w:w="15" w:type="dxa"/>
            <w:left w:w="15" w:type="dxa"/>
            <w:bottom w:w="15" w:type="dxa"/>
            <w:right w:w="15" w:type="dxa"/>
          </w:tblCellMar>
        </w:tblPrEx>
        <w:trPr>
          <w:trHeight w:val="397" w:hRule="exact"/>
          <w:jc w:val="center"/>
        </w:trPr>
        <w:tc>
          <w:tcPr>
            <w:tcW w:w="2581" w:type="dxa"/>
            <w:gridSpan w:val="2"/>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合计</w:t>
            </w:r>
          </w:p>
        </w:tc>
        <w:tc>
          <w:tcPr>
            <w:tcW w:w="2536"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1125"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20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20</w:t>
            </w:r>
          </w:p>
        </w:tc>
      </w:tr>
    </w:tbl>
    <w:p>
      <w:pPr>
        <w:spacing w:after="0" w:line="360" w:lineRule="auto"/>
        <w:ind w:firstLine="640" w:firstLineChars="200"/>
        <w:jc w:val="both"/>
        <w:textAlignment w:val="baseline"/>
        <w:rPr>
          <w:rFonts w:ascii="仿宋_GB2312" w:eastAsia="仿宋_GB2312" w:cs="DengXian-Regular"/>
          <w:color w:val="auto"/>
          <w:sz w:val="32"/>
          <w:szCs w:val="32"/>
        </w:rPr>
      </w:pPr>
      <w:bookmarkStart w:id="63" w:name="_Toc465149515"/>
      <w:bookmarkStart w:id="64" w:name="_Toc464638518"/>
      <w:r>
        <w:rPr>
          <w:rFonts w:hint="eastAsia" w:ascii="仿宋_GB2312" w:eastAsia="仿宋_GB2312" w:cs="DengXian-Regular"/>
          <w:color w:val="auto"/>
          <w:sz w:val="32"/>
          <w:szCs w:val="32"/>
        </w:rPr>
        <w:t>1.结转结余率（</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该指标主要评价部门的结转结余情况，通过结转结余率衡量。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结转结余率=（本年结转结余数/决算收入数）*100%。</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根据</w:t>
      </w: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年决算文本及相关资料，</w:t>
      </w:r>
      <w:r>
        <w:rPr>
          <w:rFonts w:hint="eastAsia" w:ascii="仿宋_GB2312" w:eastAsia="仿宋_GB2312" w:cs="DengXian-Regular"/>
          <w:color w:val="auto"/>
          <w:sz w:val="32"/>
          <w:szCs w:val="32"/>
          <w:lang w:eastAsia="zh-CN"/>
        </w:rPr>
        <w:t>曲阳县应急管理局20</w:t>
      </w:r>
      <w:r>
        <w:rPr>
          <w:rFonts w:hint="eastAsia" w:ascii="仿宋_GB2312" w:eastAsia="仿宋_GB2312" w:cs="DengXian-Regular"/>
          <w:color w:val="auto"/>
          <w:sz w:val="32"/>
          <w:szCs w:val="32"/>
          <w:lang w:val="en-US" w:eastAsia="zh-CN"/>
        </w:rPr>
        <w:t>21</w:t>
      </w:r>
      <w:r>
        <w:rPr>
          <w:rFonts w:hint="eastAsia" w:ascii="仿宋_GB2312" w:eastAsia="仿宋_GB2312" w:cs="DengXian-Regular"/>
          <w:color w:val="auto"/>
          <w:sz w:val="32"/>
          <w:szCs w:val="32"/>
        </w:rPr>
        <w:t>年结转结余资金</w:t>
      </w:r>
      <w:r>
        <w:rPr>
          <w:rFonts w:hint="eastAsia" w:ascii="仿宋_GB2312" w:eastAsia="仿宋_GB2312" w:cs="DengXian-Regular"/>
          <w:color w:val="auto"/>
          <w:sz w:val="32"/>
          <w:szCs w:val="32"/>
          <w:lang w:val="en-US" w:eastAsia="zh-CN"/>
        </w:rPr>
        <w:t>0.23</w:t>
      </w:r>
      <w:r>
        <w:rPr>
          <w:rFonts w:hint="eastAsia" w:ascii="仿宋_GB2312" w:eastAsia="仿宋_GB2312" w:cs="DengXian-Regular"/>
          <w:color w:val="auto"/>
          <w:sz w:val="32"/>
          <w:szCs w:val="32"/>
        </w:rPr>
        <w:t>万元，决算收入</w:t>
      </w:r>
      <w:r>
        <w:rPr>
          <w:rFonts w:hint="eastAsia" w:ascii="仿宋_GB2312" w:eastAsia="仿宋_GB2312" w:cs="DengXian-Regular"/>
          <w:color w:val="auto"/>
          <w:sz w:val="32"/>
          <w:szCs w:val="32"/>
          <w:lang w:val="en-US" w:eastAsia="zh-CN"/>
        </w:rPr>
        <w:t>1564.53</w:t>
      </w:r>
      <w:r>
        <w:rPr>
          <w:rFonts w:hint="eastAsia" w:ascii="仿宋_GB2312" w:eastAsia="仿宋_GB2312" w:cs="DengXian-Regular"/>
          <w:color w:val="auto"/>
          <w:sz w:val="32"/>
          <w:szCs w:val="32"/>
        </w:rPr>
        <w:t>万元，结转结余率</w:t>
      </w:r>
      <w:r>
        <w:rPr>
          <w:rFonts w:hint="eastAsia" w:ascii="仿宋_GB2312" w:eastAsia="仿宋_GB2312" w:cs="DengXian-Regular"/>
          <w:color w:val="auto"/>
          <w:sz w:val="32"/>
          <w:szCs w:val="32"/>
          <w:lang w:val="en-US" w:eastAsia="zh-CN"/>
        </w:rPr>
        <w:t>0.01</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lang w:val="en-US" w:eastAsia="zh-CN"/>
        </w:rPr>
        <w:t>小</w:t>
      </w:r>
      <w:r>
        <w:rPr>
          <w:rFonts w:hint="eastAsia" w:ascii="仿宋_GB2312" w:eastAsia="仿宋_GB2312" w:cs="DengXian-Regular"/>
          <w:color w:val="auto"/>
          <w:sz w:val="32"/>
          <w:szCs w:val="32"/>
        </w:rPr>
        <w:t>于5%。</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该项指标实际得分</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2.项目资金使用率（</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该指标主要评价项目资金的使用效率，通过项目资金使用率来衡量。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项目资金使用率=（实际支出项目资金总额/计划完成项目资金总数）*100%。</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年实际支出项目资金总额</w:t>
      </w:r>
      <w:r>
        <w:rPr>
          <w:rFonts w:hint="eastAsia" w:ascii="仿宋_GB2312" w:eastAsia="仿宋_GB2312" w:cs="DengXian-Regular"/>
          <w:color w:val="auto"/>
          <w:sz w:val="32"/>
          <w:szCs w:val="32"/>
          <w:highlight w:val="none"/>
          <w:lang w:val="en-US" w:eastAsia="zh-CN"/>
        </w:rPr>
        <w:t>189.91</w:t>
      </w:r>
      <w:r>
        <w:rPr>
          <w:rFonts w:hint="eastAsia" w:ascii="仿宋_GB2312" w:eastAsia="仿宋_GB2312" w:cs="DengXian-Regular"/>
          <w:color w:val="auto"/>
          <w:sz w:val="32"/>
          <w:szCs w:val="32"/>
        </w:rPr>
        <w:t>万元，年初预算共</w:t>
      </w:r>
      <w:r>
        <w:rPr>
          <w:rFonts w:hint="eastAsia" w:ascii="仿宋_GB2312" w:eastAsia="仿宋_GB2312" w:cs="DengXian-Regular"/>
          <w:color w:val="auto"/>
          <w:sz w:val="32"/>
          <w:szCs w:val="32"/>
          <w:lang w:val="en-US" w:eastAsia="zh-CN"/>
        </w:rPr>
        <w:t>9</w:t>
      </w:r>
      <w:r>
        <w:rPr>
          <w:rFonts w:hint="eastAsia" w:ascii="仿宋_GB2312" w:eastAsia="仿宋_GB2312" w:cs="DengXian-Regular"/>
          <w:color w:val="auto"/>
          <w:sz w:val="32"/>
          <w:szCs w:val="32"/>
        </w:rPr>
        <w:t>个项目，预算数</w:t>
      </w:r>
      <w:r>
        <w:rPr>
          <w:rFonts w:hint="eastAsia" w:ascii="仿宋_GB2312" w:eastAsia="仿宋_GB2312" w:cs="DengXian-Regular"/>
          <w:color w:val="auto"/>
          <w:sz w:val="32"/>
          <w:szCs w:val="32"/>
          <w:lang w:val="en-US" w:eastAsia="zh-CN"/>
        </w:rPr>
        <w:t>158.45</w:t>
      </w:r>
      <w:r>
        <w:rPr>
          <w:rFonts w:hint="eastAsia" w:ascii="仿宋_GB2312" w:eastAsia="仿宋_GB2312" w:cs="DengXian-Regular"/>
          <w:color w:val="auto"/>
          <w:sz w:val="32"/>
          <w:szCs w:val="32"/>
        </w:rPr>
        <w:t>万元，</w:t>
      </w:r>
      <w:r>
        <w:rPr>
          <w:rFonts w:hint="eastAsia" w:ascii="仿宋_GB2312" w:eastAsia="仿宋_GB2312" w:cs="DengXian-Regular"/>
          <w:color w:val="auto"/>
          <w:sz w:val="32"/>
          <w:szCs w:val="32"/>
          <w:highlight w:val="none"/>
        </w:rPr>
        <w:t>年中追加项目4个，</w:t>
      </w:r>
      <w:r>
        <w:rPr>
          <w:rFonts w:hint="eastAsia" w:ascii="仿宋_GB2312" w:eastAsia="仿宋_GB2312" w:cs="DengXian-Regular"/>
          <w:color w:val="auto"/>
          <w:sz w:val="32"/>
          <w:szCs w:val="32"/>
          <w:highlight w:val="none"/>
          <w:lang w:val="en-US" w:eastAsia="zh-CN"/>
        </w:rPr>
        <w:t>调整预算数189.91万元，</w:t>
      </w:r>
      <w:r>
        <w:rPr>
          <w:rFonts w:hint="eastAsia" w:ascii="仿宋_GB2312" w:eastAsia="仿宋_GB2312" w:cs="DengXian-Regular"/>
          <w:color w:val="auto"/>
          <w:sz w:val="32"/>
          <w:szCs w:val="32"/>
          <w:highlight w:val="none"/>
        </w:rPr>
        <w:t>项目资金使用率为</w:t>
      </w:r>
      <w:r>
        <w:rPr>
          <w:rFonts w:hint="eastAsia" w:ascii="仿宋_GB2312" w:eastAsia="仿宋_GB2312" w:cs="DengXian-Regular"/>
          <w:color w:val="auto"/>
          <w:sz w:val="32"/>
          <w:szCs w:val="32"/>
          <w:highlight w:val="none"/>
          <w:lang w:val="en-US" w:eastAsia="zh-CN"/>
        </w:rPr>
        <w:t>100</w:t>
      </w:r>
      <w:r>
        <w:rPr>
          <w:rFonts w:hint="eastAsia" w:ascii="仿宋_GB2312" w:eastAsia="仿宋_GB2312" w:cs="DengXian-Regular"/>
          <w:color w:val="auto"/>
          <w:sz w:val="32"/>
          <w:szCs w:val="32"/>
          <w:highlight w:val="none"/>
        </w:rPr>
        <w:t>%</w:t>
      </w:r>
      <w:r>
        <w:rPr>
          <w:rFonts w:hint="eastAsia" w:ascii="仿宋_GB2312" w:eastAsia="仿宋_GB2312" w:cs="DengXian-Regular"/>
          <w:color w:val="auto"/>
          <w:sz w:val="32"/>
          <w:szCs w:val="32"/>
          <w:highlight w:val="none"/>
          <w:lang w:eastAsia="zh-CN"/>
        </w:rPr>
        <w:t>。</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该指标实际得分</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lang w:val="en-US" w:eastAsia="zh-CN"/>
        </w:rPr>
        <w:t>3</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highlight w:val="none"/>
          <w:lang w:eastAsia="zh-CN"/>
        </w:rPr>
        <w:t>安全生产隐患排查下乡督导检查次数</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hint="eastAsia" w:ascii="仿宋_GB2312" w:eastAsia="仿宋_GB2312" w:cs="DengXian-Regular"/>
          <w:color w:val="auto"/>
          <w:sz w:val="32"/>
          <w:szCs w:val="32"/>
        </w:rPr>
      </w:pPr>
      <w:r>
        <w:rPr>
          <w:rFonts w:hint="eastAsia" w:ascii="仿宋_GB2312" w:eastAsia="仿宋_GB2312" w:cs="DengXian-Regular"/>
          <w:color w:val="auto"/>
          <w:sz w:val="32"/>
          <w:szCs w:val="32"/>
        </w:rPr>
        <w:t>该指标主要评价</w:t>
      </w:r>
      <w:r>
        <w:rPr>
          <w:rFonts w:hint="eastAsia" w:ascii="仿宋_GB2312" w:eastAsia="仿宋_GB2312" w:cs="DengXian-Regular"/>
          <w:color w:val="auto"/>
          <w:sz w:val="32"/>
          <w:szCs w:val="32"/>
          <w:lang w:val="en-US" w:eastAsia="zh-CN"/>
        </w:rPr>
        <w:t>曲阳县应急管理局是否按计划</w:t>
      </w:r>
      <w:r>
        <w:rPr>
          <w:rFonts w:hint="eastAsia" w:ascii="仿宋_GB2312" w:eastAsia="仿宋_GB2312" w:cs="DengXian-Regular"/>
          <w:color w:val="auto"/>
          <w:sz w:val="32"/>
          <w:szCs w:val="32"/>
          <w:lang w:eastAsia="zh-CN"/>
        </w:rPr>
        <w:t>下乡督导检查安全生产隐患排查</w:t>
      </w:r>
      <w:r>
        <w:rPr>
          <w:rFonts w:hint="eastAsia" w:ascii="仿宋_GB2312" w:eastAsia="仿宋_GB2312" w:cs="DengXian-Regular"/>
          <w:color w:val="auto"/>
          <w:sz w:val="32"/>
          <w:szCs w:val="32"/>
        </w:rPr>
        <w:t>。</w:t>
      </w:r>
    </w:p>
    <w:p>
      <w:pPr>
        <w:spacing w:after="0" w:line="360" w:lineRule="auto"/>
        <w:ind w:firstLine="640" w:firstLineChars="200"/>
        <w:jc w:val="both"/>
        <w:textAlignment w:val="baseline"/>
        <w:rPr>
          <w:rFonts w:hint="default" w:ascii="仿宋_GB2312" w:eastAsia="仿宋_GB2312" w:cs="DengXian-Regular"/>
          <w:color w:val="auto"/>
          <w:sz w:val="32"/>
          <w:szCs w:val="32"/>
          <w:highlight w:val="yellow"/>
          <w:lang w:val="en-US"/>
        </w:rPr>
      </w:pP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w:t>
      </w:r>
      <w:r>
        <w:rPr>
          <w:rFonts w:hint="eastAsia" w:ascii="仿宋_GB2312" w:eastAsia="仿宋_GB2312" w:cs="DengXian-Regular"/>
          <w:color w:val="auto"/>
          <w:sz w:val="32"/>
          <w:szCs w:val="32"/>
          <w:highlight w:val="none"/>
          <w:lang w:eastAsia="zh-CN"/>
        </w:rPr>
        <w:t>度计划下乡</w:t>
      </w:r>
      <w:r>
        <w:rPr>
          <w:rFonts w:hint="eastAsia" w:ascii="仿宋_GB2312" w:eastAsia="仿宋_GB2312" w:cs="DengXian-Regular"/>
          <w:color w:val="auto"/>
          <w:sz w:val="32"/>
          <w:szCs w:val="32"/>
          <w:highlight w:val="none"/>
          <w:lang w:val="en-US" w:eastAsia="zh-CN"/>
        </w:rPr>
        <w:t>368</w:t>
      </w:r>
      <w:r>
        <w:rPr>
          <w:rFonts w:hint="eastAsia" w:ascii="仿宋_GB2312" w:eastAsia="仿宋_GB2312" w:cs="DengXian-Regular"/>
          <w:color w:val="auto"/>
          <w:sz w:val="32"/>
          <w:szCs w:val="32"/>
          <w:highlight w:val="none"/>
          <w:lang w:eastAsia="zh-CN"/>
        </w:rPr>
        <w:t>次，</w:t>
      </w:r>
      <w:r>
        <w:rPr>
          <w:rFonts w:hint="eastAsia" w:ascii="仿宋_GB2312" w:eastAsia="仿宋_GB2312" w:cs="DengXian-Regular"/>
          <w:color w:val="auto"/>
          <w:sz w:val="32"/>
          <w:szCs w:val="32"/>
          <w:highlight w:val="none"/>
          <w:lang w:val="en-US" w:eastAsia="zh-CN"/>
        </w:rPr>
        <w:t>实际下乡424次。</w:t>
      </w:r>
    </w:p>
    <w:p>
      <w:pPr>
        <w:spacing w:after="0" w:line="360" w:lineRule="auto"/>
        <w:ind w:firstLine="640" w:firstLineChars="200"/>
        <w:jc w:val="both"/>
        <w:textAlignment w:val="baseline"/>
        <w:rPr>
          <w:rFonts w:hint="eastAsia" w:ascii="仿宋_GB2312" w:eastAsia="仿宋_GB2312" w:cs="DengXian-Regular"/>
          <w:color w:val="auto"/>
          <w:sz w:val="32"/>
          <w:szCs w:val="32"/>
        </w:rPr>
      </w:pPr>
      <w:r>
        <w:rPr>
          <w:rFonts w:hint="eastAsia" w:ascii="仿宋_GB2312" w:eastAsia="仿宋_GB2312" w:cs="DengXian-Regular"/>
          <w:color w:val="auto"/>
          <w:sz w:val="32"/>
          <w:szCs w:val="32"/>
        </w:rPr>
        <w:t>该指标实际得分</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4.</w:t>
      </w:r>
      <w:r>
        <w:rPr>
          <w:rFonts w:hint="eastAsia" w:ascii="仿宋_GB2312" w:eastAsia="仿宋_GB2312" w:cs="DengXian-Regular"/>
          <w:color w:val="auto"/>
          <w:sz w:val="32"/>
          <w:szCs w:val="32"/>
          <w:highlight w:val="none"/>
        </w:rPr>
        <w:t>综合事务办理完成率</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w:t>
      </w:r>
      <w:r>
        <w:rPr>
          <w:rFonts w:hint="eastAsia" w:ascii="仿宋_GB2312" w:eastAsia="仿宋_GB2312" w:cs="DengXian-Regular"/>
          <w:color w:val="auto"/>
          <w:sz w:val="32"/>
          <w:szCs w:val="32"/>
          <w:highlight w:val="none"/>
        </w:rPr>
        <w:t>综合事务办理</w:t>
      </w:r>
      <w:r>
        <w:rPr>
          <w:rFonts w:hint="eastAsia" w:ascii="仿宋_GB2312" w:eastAsia="仿宋_GB2312" w:cs="DengXian-Regular"/>
          <w:color w:val="auto"/>
          <w:sz w:val="32"/>
          <w:szCs w:val="32"/>
        </w:rPr>
        <w:t>产出结果，通过</w:t>
      </w:r>
      <w:r>
        <w:rPr>
          <w:rFonts w:hint="eastAsia" w:ascii="仿宋_GB2312" w:eastAsia="仿宋_GB2312" w:cs="DengXian-Regular"/>
          <w:color w:val="auto"/>
          <w:sz w:val="32"/>
          <w:szCs w:val="32"/>
          <w:highlight w:val="none"/>
        </w:rPr>
        <w:t>综合事务办理完成率</w:t>
      </w:r>
      <w:r>
        <w:rPr>
          <w:rFonts w:hint="eastAsia" w:ascii="仿宋_GB2312" w:eastAsia="仿宋_GB2312" w:cs="DengXian-Regular"/>
          <w:color w:val="auto"/>
          <w:sz w:val="32"/>
          <w:szCs w:val="32"/>
        </w:rPr>
        <w:t>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20</w:t>
      </w:r>
      <w:r>
        <w:rPr>
          <w:rFonts w:hint="eastAsia" w:ascii="仿宋_GB2312" w:eastAsia="仿宋_GB2312" w:cs="DengXian-Regular"/>
          <w:color w:val="auto"/>
          <w:sz w:val="32"/>
          <w:szCs w:val="32"/>
          <w:lang w:val="en-US" w:eastAsia="zh-CN"/>
        </w:rPr>
        <w:t>21</w:t>
      </w:r>
      <w:r>
        <w:rPr>
          <w:rFonts w:hint="eastAsia" w:ascii="仿宋_GB2312" w:eastAsia="仿宋_GB2312" w:cs="DengXian-Regular"/>
          <w:color w:val="auto"/>
          <w:sz w:val="32"/>
          <w:szCs w:val="32"/>
        </w:rPr>
        <w:t>年</w:t>
      </w:r>
      <w:r>
        <w:rPr>
          <w:rFonts w:hint="eastAsia" w:ascii="仿宋_GB2312" w:eastAsia="仿宋_GB2312" w:cs="DengXian-Regular"/>
          <w:color w:val="auto"/>
          <w:sz w:val="32"/>
          <w:szCs w:val="32"/>
          <w:highlight w:val="none"/>
        </w:rPr>
        <w:t>综合事务办理完成率</w:t>
      </w:r>
      <w:r>
        <w:rPr>
          <w:rFonts w:hint="eastAsia" w:ascii="仿宋_GB2312" w:eastAsia="仿宋_GB2312" w:cs="DengXian-Regular"/>
          <w:color w:val="auto"/>
          <w:sz w:val="32"/>
          <w:szCs w:val="32"/>
          <w:highlight w:val="none"/>
          <w:lang w:val="en-US" w:eastAsia="zh-CN"/>
        </w:rPr>
        <w:t>100</w:t>
      </w:r>
      <w:r>
        <w:rPr>
          <w:rFonts w:hint="eastAsia" w:ascii="仿宋_GB2312" w:eastAsia="仿宋_GB2312" w:cs="DengXian-Regular"/>
          <w:color w:val="auto"/>
          <w:sz w:val="32"/>
          <w:szCs w:val="32"/>
        </w:rPr>
        <w:t>%，评价等级为“</w:t>
      </w:r>
      <w:r>
        <w:rPr>
          <w:rFonts w:hint="eastAsia" w:ascii="仿宋_GB2312" w:eastAsia="仿宋_GB2312" w:cs="DengXian-Regular"/>
          <w:color w:val="auto"/>
          <w:sz w:val="32"/>
          <w:szCs w:val="32"/>
          <w:lang w:eastAsia="zh-CN"/>
        </w:rPr>
        <w:t>优</w:t>
      </w:r>
      <w:r>
        <w:rPr>
          <w:rFonts w:hint="eastAsia" w:ascii="仿宋_GB2312" w:eastAsia="仿宋_GB2312" w:cs="DengXian-Regular"/>
          <w:color w:val="auto"/>
          <w:sz w:val="32"/>
          <w:szCs w:val="32"/>
        </w:rPr>
        <w:t>”。</w:t>
      </w:r>
    </w:p>
    <w:p>
      <w:pPr>
        <w:spacing w:after="0" w:line="360" w:lineRule="auto"/>
        <w:ind w:firstLine="640" w:firstLineChars="200"/>
        <w:jc w:val="both"/>
        <w:textAlignment w:val="baseline"/>
        <w:rPr>
          <w:rFonts w:hint="eastAsia" w:ascii="仿宋_GB2312" w:eastAsia="仿宋_GB2312" w:cs="DengXian-Regular"/>
          <w:color w:val="auto"/>
          <w:sz w:val="32"/>
          <w:szCs w:val="32"/>
        </w:rPr>
      </w:pPr>
      <w:r>
        <w:rPr>
          <w:rFonts w:hint="eastAsia" w:ascii="仿宋_GB2312" w:eastAsia="仿宋_GB2312" w:cs="DengXian-Regular"/>
          <w:color w:val="auto"/>
          <w:sz w:val="32"/>
          <w:szCs w:val="32"/>
        </w:rPr>
        <w:t>该指标实际得分</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lang w:val="en-US" w:eastAsia="zh-CN"/>
        </w:rPr>
        <w:t>5</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highlight w:val="none"/>
          <w:lang w:eastAsia="zh-CN"/>
        </w:rPr>
        <w:t>资金发放完成率</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w:t>
      </w:r>
      <w:r>
        <w:rPr>
          <w:rFonts w:hint="eastAsia" w:ascii="仿宋_GB2312" w:eastAsia="仿宋_GB2312" w:cs="DengXian-Regular"/>
          <w:color w:val="auto"/>
          <w:sz w:val="32"/>
          <w:szCs w:val="32"/>
          <w:lang w:eastAsia="zh-CN"/>
        </w:rPr>
        <w:t>各项资金发放完成情况</w:t>
      </w:r>
      <w:r>
        <w:rPr>
          <w:rFonts w:hint="eastAsia" w:ascii="仿宋_GB2312" w:eastAsia="仿宋_GB2312" w:cs="DengXian-Regular"/>
          <w:color w:val="auto"/>
          <w:sz w:val="32"/>
          <w:szCs w:val="32"/>
        </w:rPr>
        <w:t>，通过</w:t>
      </w:r>
      <w:r>
        <w:rPr>
          <w:rFonts w:hint="eastAsia" w:ascii="仿宋_GB2312" w:eastAsia="仿宋_GB2312" w:cs="DengXian-Regular"/>
          <w:color w:val="auto"/>
          <w:sz w:val="32"/>
          <w:szCs w:val="32"/>
          <w:highlight w:val="none"/>
          <w:lang w:eastAsia="zh-CN"/>
        </w:rPr>
        <w:t>该指标</w:t>
      </w:r>
      <w:r>
        <w:rPr>
          <w:rFonts w:hint="eastAsia" w:ascii="仿宋_GB2312" w:eastAsia="仿宋_GB2312" w:cs="DengXian-Regular"/>
          <w:color w:val="auto"/>
          <w:sz w:val="32"/>
          <w:szCs w:val="32"/>
        </w:rPr>
        <w:t>衡量。</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lang w:eastAsia="zh-CN"/>
        </w:rPr>
        <w:t>曲阳县应急管理局202</w:t>
      </w:r>
      <w:r>
        <w:rPr>
          <w:rFonts w:hint="eastAsia" w:ascii="仿宋_GB2312" w:eastAsia="仿宋_GB2312" w:cs="DengXian-Regular"/>
          <w:color w:val="auto"/>
          <w:sz w:val="32"/>
          <w:szCs w:val="32"/>
          <w:lang w:val="en-US" w:eastAsia="zh-CN"/>
        </w:rPr>
        <w:t>1</w:t>
      </w:r>
      <w:r>
        <w:rPr>
          <w:rFonts w:hint="eastAsia" w:ascii="仿宋_GB2312" w:eastAsia="仿宋_GB2312" w:cs="DengXian-Regular"/>
          <w:color w:val="auto"/>
          <w:sz w:val="32"/>
          <w:szCs w:val="32"/>
        </w:rPr>
        <w:t>年</w:t>
      </w:r>
      <w:r>
        <w:rPr>
          <w:rFonts w:hint="eastAsia" w:ascii="仿宋_GB2312" w:eastAsia="仿宋_GB2312" w:cs="DengXian-Regular"/>
          <w:color w:val="auto"/>
          <w:sz w:val="32"/>
          <w:szCs w:val="32"/>
          <w:lang w:eastAsia="zh-CN"/>
        </w:rPr>
        <w:t>各项资金发放</w:t>
      </w:r>
      <w:r>
        <w:rPr>
          <w:rFonts w:hint="eastAsia" w:ascii="仿宋_GB2312" w:eastAsia="仿宋_GB2312" w:cs="DengXian-Regular"/>
          <w:color w:val="auto"/>
          <w:sz w:val="32"/>
          <w:szCs w:val="32"/>
          <w:highlight w:val="none"/>
        </w:rPr>
        <w:t>完成率</w:t>
      </w:r>
      <w:r>
        <w:rPr>
          <w:rFonts w:hint="eastAsia" w:ascii="仿宋_GB2312" w:eastAsia="仿宋_GB2312" w:cs="DengXian-Regular"/>
          <w:color w:val="auto"/>
          <w:sz w:val="32"/>
          <w:szCs w:val="32"/>
          <w:highlight w:val="none"/>
          <w:lang w:val="en-US" w:eastAsia="zh-CN"/>
        </w:rPr>
        <w:t>100</w:t>
      </w:r>
      <w:r>
        <w:rPr>
          <w:rFonts w:hint="eastAsia" w:ascii="仿宋_GB2312" w:eastAsia="仿宋_GB2312" w:cs="DengXian-Regular"/>
          <w:color w:val="auto"/>
          <w:sz w:val="32"/>
          <w:szCs w:val="32"/>
        </w:rPr>
        <w:t>%，评价等级为“</w:t>
      </w:r>
      <w:r>
        <w:rPr>
          <w:rFonts w:hint="eastAsia" w:ascii="仿宋_GB2312" w:eastAsia="仿宋_GB2312" w:cs="DengXian-Regular"/>
          <w:color w:val="auto"/>
          <w:sz w:val="32"/>
          <w:szCs w:val="32"/>
          <w:lang w:eastAsia="zh-CN"/>
        </w:rPr>
        <w:t>优</w:t>
      </w:r>
      <w:r>
        <w:rPr>
          <w:rFonts w:hint="eastAsia" w:ascii="仿宋_GB2312" w:eastAsia="仿宋_GB2312" w:cs="DengXian-Regular"/>
          <w:color w:val="auto"/>
          <w:sz w:val="32"/>
          <w:szCs w:val="32"/>
        </w:rPr>
        <w:t>”。</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该指标实际得分</w:t>
      </w:r>
      <w:r>
        <w:rPr>
          <w:rFonts w:hint="eastAsia" w:ascii="仿宋_GB2312" w:eastAsia="仿宋_GB2312" w:cs="DengXian-Regular"/>
          <w:color w:val="auto"/>
          <w:sz w:val="32"/>
          <w:szCs w:val="32"/>
          <w:lang w:val="en-US" w:eastAsia="zh-CN"/>
        </w:rPr>
        <w:t>4</w:t>
      </w:r>
      <w:r>
        <w:rPr>
          <w:rFonts w:hint="eastAsia" w:ascii="仿宋_GB2312" w:eastAsia="仿宋_GB2312" w:cs="DengXian-Regular"/>
          <w:color w:val="auto"/>
          <w:sz w:val="32"/>
          <w:szCs w:val="32"/>
        </w:rPr>
        <w:t>分。</w:t>
      </w:r>
    </w:p>
    <w:p>
      <w:pPr>
        <w:pStyle w:val="5"/>
        <w:spacing w:before="0" w:after="0"/>
        <w:ind w:firstLine="643" w:firstLineChars="200"/>
        <w:jc w:val="both"/>
        <w:rPr>
          <w:rFonts w:ascii="楷体" w:hAnsi="楷体" w:eastAsia="楷体"/>
          <w:color w:val="auto"/>
          <w:sz w:val="32"/>
        </w:rPr>
      </w:pPr>
      <w:bookmarkStart w:id="65" w:name="_Toc28363"/>
      <w:r>
        <w:rPr>
          <w:rFonts w:hint="eastAsia" w:ascii="楷体" w:hAnsi="楷体" w:eastAsia="楷体"/>
          <w:color w:val="auto"/>
          <w:sz w:val="32"/>
        </w:rPr>
        <w:t>（四）效果</w:t>
      </w:r>
      <w:bookmarkEnd w:id="63"/>
      <w:bookmarkEnd w:id="64"/>
      <w:r>
        <w:rPr>
          <w:rFonts w:hint="eastAsia" w:ascii="楷体" w:hAnsi="楷体" w:eastAsia="楷体"/>
          <w:color w:val="auto"/>
          <w:sz w:val="32"/>
        </w:rPr>
        <w:t>（</w:t>
      </w:r>
      <w:r>
        <w:rPr>
          <w:rFonts w:hint="eastAsia" w:ascii="楷体" w:hAnsi="楷体" w:eastAsia="楷体"/>
          <w:color w:val="auto"/>
          <w:sz w:val="32"/>
          <w:lang w:val="en-US" w:eastAsia="zh-CN"/>
        </w:rPr>
        <w:t>20</w:t>
      </w:r>
      <w:r>
        <w:rPr>
          <w:rFonts w:hint="eastAsia" w:ascii="楷体" w:hAnsi="楷体" w:eastAsia="楷体"/>
          <w:color w:val="auto"/>
          <w:sz w:val="32"/>
        </w:rPr>
        <w:t>分）</w:t>
      </w:r>
      <w:bookmarkEnd w:id="65"/>
    </w:p>
    <w:p>
      <w:pPr>
        <w:spacing w:after="0" w:line="360" w:lineRule="auto"/>
        <w:ind w:firstLine="640" w:firstLineChars="200"/>
        <w:jc w:val="both"/>
        <w:textAlignment w:val="baseline"/>
        <w:rPr>
          <w:rFonts w:hint="eastAsia" w:ascii="仿宋_GB2312" w:eastAsia="仿宋_GB2312" w:cs="DengXian-Regular"/>
          <w:color w:val="auto"/>
          <w:sz w:val="32"/>
          <w:szCs w:val="32"/>
        </w:rPr>
      </w:pPr>
      <w:bookmarkStart w:id="66" w:name="_Toc464638520"/>
      <w:r>
        <w:rPr>
          <w:rFonts w:hint="eastAsia" w:ascii="仿宋_GB2312" w:eastAsia="仿宋_GB2312" w:cs="DengXian-Regular"/>
          <w:color w:val="auto"/>
          <w:sz w:val="32"/>
          <w:szCs w:val="32"/>
        </w:rPr>
        <w:t>该一级指标包含履职效益一个二级指标。主要反映部门履行职责对社会发展所带来的直接或间接效益及社会公众或部门的服务对象对部门履职效果的满意程度。</w:t>
      </w:r>
    </w:p>
    <w:p>
      <w:pPr>
        <w:spacing w:after="0" w:line="360" w:lineRule="auto"/>
        <w:jc w:val="center"/>
        <w:textAlignment w:val="baseline"/>
        <w:rPr>
          <w:rFonts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表5  效果指标及得分情况表</w:t>
      </w:r>
    </w:p>
    <w:tbl>
      <w:tblPr>
        <w:tblStyle w:val="23"/>
        <w:tblW w:w="0" w:type="auto"/>
        <w:jc w:val="center"/>
        <w:tblLayout w:type="fixed"/>
        <w:tblCellMar>
          <w:top w:w="15" w:type="dxa"/>
          <w:left w:w="15" w:type="dxa"/>
          <w:bottom w:w="15" w:type="dxa"/>
          <w:right w:w="15" w:type="dxa"/>
        </w:tblCellMar>
      </w:tblPr>
      <w:tblGrid>
        <w:gridCol w:w="1468"/>
        <w:gridCol w:w="1155"/>
        <w:gridCol w:w="2130"/>
        <w:gridCol w:w="1200"/>
        <w:gridCol w:w="1045"/>
      </w:tblGrid>
      <w:tr>
        <w:tblPrEx>
          <w:tblCellMar>
            <w:top w:w="15" w:type="dxa"/>
            <w:left w:w="15" w:type="dxa"/>
            <w:bottom w:w="15" w:type="dxa"/>
            <w:right w:w="15" w:type="dxa"/>
          </w:tblCellMar>
        </w:tblPrEx>
        <w:trPr>
          <w:trHeight w:val="397" w:hRule="exact"/>
          <w:jc w:val="center"/>
        </w:trPr>
        <w:tc>
          <w:tcPr>
            <w:tcW w:w="1468" w:type="dxa"/>
            <w:tcBorders>
              <w:top w:val="single" w:color="000000" w:sz="4" w:space="0"/>
              <w:left w:val="single" w:color="000000" w:sz="4" w:space="0"/>
              <w:bottom w:val="single" w:color="000000" w:sz="4" w:space="0"/>
              <w:right w:val="single" w:color="000000" w:sz="4" w:space="0"/>
            </w:tcBorders>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一级指标</w:t>
            </w:r>
          </w:p>
        </w:tc>
        <w:tc>
          <w:tcPr>
            <w:tcW w:w="1155" w:type="dxa"/>
            <w:tcBorders>
              <w:top w:val="single" w:color="000000" w:sz="4" w:space="0"/>
              <w:left w:val="single" w:color="000000" w:sz="4" w:space="0"/>
              <w:bottom w:val="single" w:color="000000" w:sz="4" w:space="0"/>
              <w:right w:val="single" w:color="000000" w:sz="4" w:space="0"/>
            </w:tcBorders>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二级指标</w:t>
            </w:r>
          </w:p>
        </w:tc>
        <w:tc>
          <w:tcPr>
            <w:tcW w:w="2130" w:type="dxa"/>
            <w:tcBorders>
              <w:top w:val="single" w:color="000000" w:sz="4" w:space="0"/>
              <w:left w:val="single" w:color="000000" w:sz="4" w:space="0"/>
              <w:bottom w:val="single" w:color="000000" w:sz="4" w:space="0"/>
              <w:right w:val="single" w:color="000000" w:sz="4" w:space="0"/>
            </w:tcBorders>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三级指标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分数权重</w:t>
            </w:r>
          </w:p>
        </w:tc>
        <w:tc>
          <w:tcPr>
            <w:tcW w:w="1045" w:type="dxa"/>
            <w:tcBorders>
              <w:top w:val="single" w:color="000000" w:sz="4" w:space="0"/>
              <w:left w:val="single" w:color="000000" w:sz="4" w:space="0"/>
              <w:bottom w:val="single" w:color="000000" w:sz="4" w:space="0"/>
              <w:right w:val="single" w:color="000000" w:sz="4" w:space="0"/>
            </w:tcBorders>
            <w:vAlign w:val="center"/>
          </w:tcPr>
          <w:p>
            <w:pPr>
              <w:spacing w:after="0"/>
              <w:jc w:val="center"/>
              <w:textAlignment w:val="center"/>
              <w:rPr>
                <w:rFonts w:cs="宋体" w:asciiTheme="minorEastAsia" w:hAnsiTheme="minorEastAsia" w:eastAsiaTheme="minorEastAsia"/>
                <w:b/>
                <w:color w:val="auto"/>
                <w:sz w:val="21"/>
                <w:szCs w:val="21"/>
              </w:rPr>
            </w:pPr>
            <w:r>
              <w:rPr>
                <w:rFonts w:hint="eastAsia" w:cs="宋体" w:asciiTheme="minorEastAsia" w:hAnsiTheme="minorEastAsia" w:eastAsiaTheme="minorEastAsia"/>
                <w:b/>
                <w:color w:val="auto"/>
                <w:sz w:val="21"/>
                <w:szCs w:val="21"/>
              </w:rPr>
              <w:t>得分</w:t>
            </w:r>
          </w:p>
        </w:tc>
      </w:tr>
      <w:tr>
        <w:tblPrEx>
          <w:tblCellMar>
            <w:top w:w="15" w:type="dxa"/>
            <w:left w:w="15" w:type="dxa"/>
            <w:bottom w:w="15" w:type="dxa"/>
            <w:right w:w="15" w:type="dxa"/>
          </w:tblCellMar>
        </w:tblPrEx>
        <w:trPr>
          <w:trHeight w:val="397" w:hRule="exact"/>
          <w:jc w:val="center"/>
        </w:trPr>
        <w:tc>
          <w:tcPr>
            <w:tcW w:w="1468"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项目效果</w:t>
            </w:r>
          </w:p>
          <w:p>
            <w:pPr>
              <w:spacing w:after="0"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w:t>
            </w:r>
            <w:r>
              <w:rPr>
                <w:rFonts w:hint="eastAsia" w:cs="宋体" w:asciiTheme="minorEastAsia" w:hAnsiTheme="minorEastAsia" w:eastAsiaTheme="minorEastAsia"/>
                <w:color w:val="auto"/>
                <w:sz w:val="21"/>
                <w:szCs w:val="21"/>
                <w:lang w:val="en-US" w:eastAsia="zh-CN"/>
              </w:rPr>
              <w:t>20</w:t>
            </w:r>
            <w:r>
              <w:rPr>
                <w:rFonts w:hint="eastAsia" w:cs="宋体" w:asciiTheme="minorEastAsia" w:hAnsiTheme="minorEastAsia" w:eastAsiaTheme="minorEastAsia"/>
                <w:color w:val="auto"/>
                <w:sz w:val="21"/>
                <w:szCs w:val="21"/>
              </w:rPr>
              <w:t>分）</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履职效益</w:t>
            </w:r>
          </w:p>
          <w:p>
            <w:pPr>
              <w:spacing w:after="0"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w:t>
            </w:r>
            <w:r>
              <w:rPr>
                <w:rFonts w:hint="eastAsia" w:cs="宋体" w:asciiTheme="minorEastAsia" w:hAnsiTheme="minorEastAsia" w:eastAsiaTheme="minorEastAsia"/>
                <w:color w:val="auto"/>
                <w:sz w:val="21"/>
                <w:szCs w:val="21"/>
                <w:lang w:val="en-US" w:eastAsia="zh-CN"/>
              </w:rPr>
              <w:t>20</w:t>
            </w:r>
            <w:r>
              <w:rPr>
                <w:rFonts w:hint="eastAsia" w:cs="宋体" w:asciiTheme="minorEastAsia" w:hAnsiTheme="minorEastAsia" w:eastAsiaTheme="minorEastAsia"/>
                <w:color w:val="auto"/>
                <w:sz w:val="21"/>
                <w:szCs w:val="21"/>
              </w:rPr>
              <w:t>分）</w:t>
            </w:r>
          </w:p>
        </w:tc>
        <w:tc>
          <w:tcPr>
            <w:tcW w:w="2130"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部门整体效益</w:t>
            </w:r>
          </w:p>
        </w:tc>
        <w:tc>
          <w:tcPr>
            <w:tcW w:w="1200"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10</w:t>
            </w:r>
          </w:p>
        </w:tc>
        <w:tc>
          <w:tcPr>
            <w:tcW w:w="1045"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10</w:t>
            </w:r>
          </w:p>
        </w:tc>
      </w:tr>
      <w:tr>
        <w:tblPrEx>
          <w:tblCellMar>
            <w:top w:w="15" w:type="dxa"/>
            <w:left w:w="15" w:type="dxa"/>
            <w:bottom w:w="15" w:type="dxa"/>
            <w:right w:w="15" w:type="dxa"/>
          </w:tblCellMar>
        </w:tblPrEx>
        <w:trPr>
          <w:trHeight w:val="397" w:hRule="exact"/>
          <w:jc w:val="center"/>
        </w:trPr>
        <w:tc>
          <w:tcPr>
            <w:tcW w:w="1468" w:type="dxa"/>
            <w:vMerge w:val="continue"/>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2130"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考评满意度</w:t>
            </w:r>
          </w:p>
        </w:tc>
        <w:tc>
          <w:tcPr>
            <w:tcW w:w="1200"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10</w:t>
            </w:r>
          </w:p>
        </w:tc>
        <w:tc>
          <w:tcPr>
            <w:tcW w:w="1045"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10</w:t>
            </w:r>
          </w:p>
        </w:tc>
      </w:tr>
      <w:tr>
        <w:tblPrEx>
          <w:tblCellMar>
            <w:top w:w="15" w:type="dxa"/>
            <w:left w:w="15" w:type="dxa"/>
            <w:bottom w:w="15" w:type="dxa"/>
            <w:right w:w="15" w:type="dxa"/>
          </w:tblCellMar>
        </w:tblPrEx>
        <w:trPr>
          <w:trHeight w:val="397" w:hRule="exact"/>
          <w:jc w:val="center"/>
        </w:trPr>
        <w:tc>
          <w:tcPr>
            <w:tcW w:w="2623" w:type="dxa"/>
            <w:gridSpan w:val="2"/>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合计</w:t>
            </w:r>
          </w:p>
        </w:tc>
        <w:tc>
          <w:tcPr>
            <w:tcW w:w="2130"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cs="宋体" w:asciiTheme="minorEastAsia" w:hAnsiTheme="minorEastAsia" w:eastAsiaTheme="minorEastAsia"/>
                <w:color w:val="auto"/>
                <w:sz w:val="21"/>
                <w:szCs w:val="21"/>
              </w:rPr>
            </w:pPr>
          </w:p>
        </w:tc>
        <w:tc>
          <w:tcPr>
            <w:tcW w:w="1200"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20</w:t>
            </w:r>
          </w:p>
        </w:tc>
        <w:tc>
          <w:tcPr>
            <w:tcW w:w="1045"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20</w:t>
            </w:r>
          </w:p>
        </w:tc>
      </w:tr>
      <w:bookmarkEnd w:id="66"/>
    </w:tbl>
    <w:p>
      <w:pPr>
        <w:spacing w:after="0" w:line="360" w:lineRule="auto"/>
        <w:ind w:firstLine="640" w:firstLineChars="200"/>
        <w:jc w:val="both"/>
        <w:textAlignment w:val="baseline"/>
        <w:rPr>
          <w:rFonts w:hint="eastAsia" w:ascii="仿宋_GB2312" w:eastAsia="仿宋_GB2312" w:cs="DengXian-Regular"/>
          <w:color w:val="auto"/>
          <w:sz w:val="32"/>
          <w:szCs w:val="32"/>
        </w:rPr>
      </w:pPr>
      <w:bookmarkStart w:id="67" w:name="_Toc465149516"/>
      <w:bookmarkStart w:id="68" w:name="_Toc492652784"/>
      <w:bookmarkStart w:id="69" w:name="_Toc464638561"/>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1.部门整体效益（10分）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该指标主要评价部门履行职责对社会发展所带来的直接或间接效益。</w:t>
      </w:r>
    </w:p>
    <w:p>
      <w:pPr>
        <w:spacing w:after="0" w:line="360" w:lineRule="auto"/>
        <w:ind w:firstLine="640" w:firstLineChars="200"/>
        <w:jc w:val="both"/>
        <w:textAlignment w:val="baseline"/>
        <w:rPr>
          <w:rFonts w:hint="eastAsia" w:ascii="仿宋_GB2312" w:eastAsia="仿宋_GB2312" w:cs="DengXian-Regular"/>
          <w:color w:val="auto"/>
          <w:sz w:val="32"/>
          <w:szCs w:val="32"/>
          <w:lang w:eastAsia="zh-CN"/>
        </w:rPr>
      </w:pPr>
      <w:r>
        <w:rPr>
          <w:rFonts w:hint="eastAsia" w:ascii="仿宋_GB2312" w:eastAsia="仿宋_GB2312" w:cs="DengXian-Regular"/>
          <w:color w:val="auto"/>
          <w:sz w:val="32"/>
          <w:szCs w:val="32"/>
        </w:rPr>
        <w:t>经查看</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提供的相关资料，</w:t>
      </w:r>
      <w:r>
        <w:rPr>
          <w:rFonts w:hint="eastAsia" w:ascii="仿宋_GB2312" w:eastAsia="仿宋_GB2312" w:cs="DengXian-Regular"/>
          <w:color w:val="auto"/>
          <w:sz w:val="32"/>
          <w:szCs w:val="32"/>
          <w:lang w:eastAsia="zh-CN"/>
        </w:rPr>
        <w:t>曲阳县应急管理局</w:t>
      </w:r>
      <w:r>
        <w:rPr>
          <w:rFonts w:hint="eastAsia" w:ascii="仿宋_GB2312" w:eastAsia="仿宋_GB2312" w:cs="DengXian-Regular"/>
          <w:color w:val="auto"/>
          <w:sz w:val="32"/>
          <w:szCs w:val="32"/>
        </w:rPr>
        <w:t>履行职责对社会发展所带来</w:t>
      </w:r>
      <w:r>
        <w:rPr>
          <w:rFonts w:hint="eastAsia" w:ascii="仿宋_GB2312" w:eastAsia="仿宋_GB2312" w:cs="DengXian-Regular"/>
          <w:color w:val="auto"/>
          <w:sz w:val="32"/>
          <w:szCs w:val="32"/>
          <w:lang w:val="en-US" w:eastAsia="zh-CN"/>
        </w:rPr>
        <w:t>的</w:t>
      </w:r>
      <w:r>
        <w:rPr>
          <w:rFonts w:hint="eastAsia" w:ascii="仿宋_GB2312" w:eastAsia="仿宋_GB2312" w:cs="DengXian-Regular"/>
          <w:color w:val="auto"/>
          <w:sz w:val="32"/>
          <w:szCs w:val="32"/>
        </w:rPr>
        <w:t>社会效益</w:t>
      </w:r>
      <w:r>
        <w:rPr>
          <w:rFonts w:hint="eastAsia" w:ascii="仿宋_GB2312" w:eastAsia="仿宋_GB2312" w:cs="DengXian-Regular"/>
          <w:color w:val="auto"/>
          <w:sz w:val="32"/>
          <w:szCs w:val="32"/>
          <w:lang w:val="en-US" w:eastAsia="zh-CN"/>
        </w:rPr>
        <w:t>显著</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lang w:eastAsia="zh-CN"/>
        </w:rPr>
        <w:t>有效的提高了社会公安全生产和应急救援工作的认识，有利于全县安全生产、应急救援、灾害防治工作的发展。</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该项指标实际得分</w:t>
      </w:r>
      <w:r>
        <w:rPr>
          <w:rFonts w:hint="eastAsia" w:ascii="仿宋_GB2312" w:eastAsia="仿宋_GB2312" w:cs="DengXian-Regular"/>
          <w:color w:val="auto"/>
          <w:sz w:val="32"/>
          <w:szCs w:val="32"/>
          <w:lang w:val="en-US" w:eastAsia="zh-CN"/>
        </w:rPr>
        <w:t>10</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DengXian-Regular"/>
          <w:color w:val="auto"/>
          <w:sz w:val="32"/>
          <w:szCs w:val="32"/>
        </w:rPr>
      </w:pPr>
      <w:r>
        <w:rPr>
          <w:rFonts w:hint="eastAsia" w:ascii="仿宋_GB2312" w:eastAsia="仿宋_GB2312" w:cs="DengXian-Regular"/>
          <w:color w:val="auto"/>
          <w:sz w:val="32"/>
          <w:szCs w:val="32"/>
        </w:rPr>
        <w:t>2.</w:t>
      </w:r>
      <w:r>
        <w:rPr>
          <w:rFonts w:hint="eastAsia" w:ascii="仿宋_GB2312" w:eastAsia="仿宋_GB2312" w:cs="DengXian-Regular"/>
          <w:color w:val="auto"/>
          <w:sz w:val="32"/>
          <w:szCs w:val="32"/>
          <w:highlight w:val="none"/>
        </w:rPr>
        <w:t>考评满意度</w:t>
      </w:r>
      <w:r>
        <w:rPr>
          <w:rFonts w:hint="eastAsia" w:ascii="仿宋_GB2312" w:eastAsia="仿宋_GB2312" w:cs="DengXian-Regular"/>
          <w:color w:val="auto"/>
          <w:sz w:val="32"/>
          <w:szCs w:val="32"/>
        </w:rPr>
        <w:t>（</w:t>
      </w:r>
      <w:r>
        <w:rPr>
          <w:rFonts w:hint="eastAsia" w:ascii="仿宋_GB2312" w:eastAsia="仿宋_GB2312" w:cs="DengXian-Regular"/>
          <w:color w:val="auto"/>
          <w:sz w:val="32"/>
          <w:szCs w:val="32"/>
          <w:lang w:val="en-US" w:eastAsia="zh-CN"/>
        </w:rPr>
        <w:t>10</w:t>
      </w:r>
      <w:r>
        <w:rPr>
          <w:rFonts w:hint="eastAsia" w:ascii="仿宋_GB2312" w:eastAsia="仿宋_GB2312" w:cs="DengXian-Regular"/>
          <w:color w:val="auto"/>
          <w:sz w:val="32"/>
          <w:szCs w:val="32"/>
        </w:rPr>
        <w:t>分）</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该指标主要评价社会公众或部门的服务对象对部门履职效果的满意程度。</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针对该指标，我们随机选取了</w:t>
      </w:r>
      <w:r>
        <w:rPr>
          <w:rFonts w:hint="eastAsia" w:ascii="仿宋_GB2312" w:eastAsia="仿宋_GB2312" w:cs="Times New Roman" w:hAnsiTheme="minorEastAsia"/>
          <w:color w:val="auto"/>
          <w:sz w:val="32"/>
          <w:szCs w:val="32"/>
          <w:u w:color="000000"/>
          <w:lang w:val="en-US" w:eastAsia="zh-CN"/>
        </w:rPr>
        <w:t>10</w:t>
      </w:r>
      <w:r>
        <w:rPr>
          <w:rFonts w:hint="eastAsia" w:ascii="仿宋_GB2312" w:eastAsia="仿宋_GB2312" w:cs="Times New Roman" w:hAnsiTheme="minorEastAsia"/>
          <w:color w:val="auto"/>
          <w:sz w:val="32"/>
          <w:szCs w:val="32"/>
          <w:u w:color="000000"/>
        </w:rPr>
        <w:t>个调查对象进行了问卷调查，具体调查情况如下：</w:t>
      </w:r>
    </w:p>
    <w:p>
      <w:pPr>
        <w:spacing w:after="0" w:line="360" w:lineRule="auto"/>
        <w:jc w:val="center"/>
        <w:textAlignment w:val="baseline"/>
        <w:rPr>
          <w:rFonts w:hint="eastAsia" w:asciiTheme="minorEastAsia" w:hAnsiTheme="minorEastAsia" w:eastAsiaTheme="minorEastAsia" w:cstheme="minorEastAsia"/>
          <w:b/>
          <w:bCs/>
          <w:color w:val="auto"/>
          <w:sz w:val="32"/>
          <w:szCs w:val="32"/>
          <w:highlight w:val="none"/>
          <w:u w:color="000000"/>
        </w:rPr>
      </w:pPr>
      <w:r>
        <w:rPr>
          <w:rFonts w:hint="eastAsia" w:asciiTheme="minorEastAsia" w:hAnsiTheme="minorEastAsia" w:eastAsiaTheme="minorEastAsia" w:cstheme="minorEastAsia"/>
          <w:b/>
          <w:bCs/>
          <w:color w:val="auto"/>
          <w:sz w:val="32"/>
          <w:szCs w:val="32"/>
          <w:highlight w:val="none"/>
          <w:u w:color="000000"/>
        </w:rPr>
        <w:t>表6  服务对象满意度调查问卷汇总表</w:t>
      </w:r>
    </w:p>
    <w:p>
      <w:pPr>
        <w:pStyle w:val="2"/>
        <w:jc w:val="right"/>
      </w:pPr>
      <w:r>
        <w:rPr>
          <w:rFonts w:hint="eastAsia" w:asciiTheme="minorEastAsia" w:hAnsiTheme="minorEastAsia" w:eastAsiaTheme="minorEastAsia" w:cstheme="minorEastAsia"/>
          <w:color w:val="auto"/>
          <w:sz w:val="21"/>
          <w:szCs w:val="21"/>
          <w:u w:color="000000"/>
        </w:rPr>
        <w:t>单位：人次</w:t>
      </w:r>
    </w:p>
    <w:tbl>
      <w:tblPr>
        <w:tblStyle w:val="23"/>
        <w:tblpPr w:leftFromText="180" w:rightFromText="180" w:vertAnchor="text" w:horzAnchor="page" w:tblpX="1982" w:tblpY="538"/>
        <w:tblOverlap w:val="never"/>
        <w:tblW w:w="7948" w:type="dxa"/>
        <w:tblInd w:w="0" w:type="dxa"/>
        <w:tblLayout w:type="fixed"/>
        <w:tblCellMar>
          <w:top w:w="15" w:type="dxa"/>
          <w:left w:w="15" w:type="dxa"/>
          <w:bottom w:w="15" w:type="dxa"/>
          <w:right w:w="15" w:type="dxa"/>
        </w:tblCellMar>
      </w:tblPr>
      <w:tblGrid>
        <w:gridCol w:w="2834"/>
        <w:gridCol w:w="1114"/>
        <w:gridCol w:w="1134"/>
        <w:gridCol w:w="1016"/>
        <w:gridCol w:w="969"/>
        <w:gridCol w:w="881"/>
      </w:tblGrid>
      <w:tr>
        <w:tblPrEx>
          <w:tblCellMar>
            <w:top w:w="15" w:type="dxa"/>
            <w:left w:w="15" w:type="dxa"/>
            <w:bottom w:w="15" w:type="dxa"/>
            <w:right w:w="15" w:type="dxa"/>
          </w:tblCellMar>
        </w:tblPrEx>
        <w:trPr>
          <w:trHeight w:val="525" w:hRule="atLeast"/>
        </w:trPr>
        <w:tc>
          <w:tcPr>
            <w:tcW w:w="2834"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调查项目</w:t>
            </w:r>
          </w:p>
        </w:tc>
        <w:tc>
          <w:tcPr>
            <w:tcW w:w="1114"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满意</w:t>
            </w:r>
          </w:p>
        </w:tc>
        <w:tc>
          <w:tcPr>
            <w:tcW w:w="1134"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一般</w:t>
            </w:r>
          </w:p>
        </w:tc>
        <w:tc>
          <w:tcPr>
            <w:tcW w:w="1016"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不满意</w:t>
            </w:r>
          </w:p>
        </w:tc>
        <w:tc>
          <w:tcPr>
            <w:tcW w:w="969"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合计</w:t>
            </w:r>
          </w:p>
        </w:tc>
        <w:tc>
          <w:tcPr>
            <w:tcW w:w="881"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单项得分</w:t>
            </w:r>
          </w:p>
        </w:tc>
      </w:tr>
      <w:tr>
        <w:tblPrEx>
          <w:tblCellMar>
            <w:top w:w="15" w:type="dxa"/>
            <w:left w:w="15" w:type="dxa"/>
            <w:bottom w:w="15" w:type="dxa"/>
            <w:right w:w="15" w:type="dxa"/>
          </w:tblCellMar>
        </w:tblPrEx>
        <w:trPr>
          <w:trHeight w:val="590" w:hRule="atLeast"/>
        </w:trPr>
        <w:tc>
          <w:tcPr>
            <w:tcW w:w="28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both"/>
              <w:textAlignment w:val="baseline"/>
              <w:rPr>
                <w:rFonts w:cs="Times New Roman" w:asciiTheme="minorEastAsia" w:hAnsiTheme="minorEastAsia" w:eastAsiaTheme="minorEastAsia"/>
                <w:color w:val="auto"/>
                <w:sz w:val="21"/>
                <w:szCs w:val="21"/>
                <w:highlight w:val="none"/>
                <w:u w:color="000000"/>
              </w:rPr>
            </w:pPr>
            <w:r>
              <w:rPr>
                <w:rFonts w:hint="eastAsia" w:cs="Times New Roman" w:asciiTheme="minorEastAsia" w:hAnsiTheme="minorEastAsia" w:eastAsiaTheme="minorEastAsia"/>
                <w:sz w:val="21"/>
                <w:szCs w:val="21"/>
                <w:u w:color="000000"/>
              </w:rPr>
              <w:t>培训内容</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8</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2</w:t>
            </w:r>
          </w:p>
        </w:tc>
        <w:tc>
          <w:tcPr>
            <w:tcW w:w="1016"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cs="Times New Roman" w:asciiTheme="minorEastAsia" w:hAnsiTheme="minorEastAsia" w:eastAsiaTheme="minorEastAsia"/>
                <w:color w:val="auto"/>
                <w:sz w:val="21"/>
                <w:szCs w:val="21"/>
                <w:u w:color="000000"/>
              </w:rPr>
            </w:pPr>
          </w:p>
        </w:tc>
        <w:tc>
          <w:tcPr>
            <w:tcW w:w="969"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10</w:t>
            </w:r>
          </w:p>
        </w:tc>
        <w:tc>
          <w:tcPr>
            <w:tcW w:w="881"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90</w:t>
            </w:r>
          </w:p>
        </w:tc>
      </w:tr>
      <w:tr>
        <w:tblPrEx>
          <w:tblCellMar>
            <w:top w:w="15" w:type="dxa"/>
            <w:left w:w="15" w:type="dxa"/>
            <w:bottom w:w="15" w:type="dxa"/>
            <w:right w:w="15" w:type="dxa"/>
          </w:tblCellMar>
        </w:tblPrEx>
        <w:trPr>
          <w:trHeight w:val="510" w:hRule="atLeast"/>
        </w:trPr>
        <w:tc>
          <w:tcPr>
            <w:tcW w:w="28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both"/>
              <w:textAlignment w:val="baseline"/>
              <w:rPr>
                <w:rFonts w:cs="Times New Roman" w:asciiTheme="minorEastAsia" w:hAnsiTheme="minorEastAsia" w:eastAsiaTheme="minorEastAsia"/>
                <w:color w:val="auto"/>
                <w:sz w:val="21"/>
                <w:szCs w:val="21"/>
                <w:highlight w:val="none"/>
                <w:u w:color="000000"/>
              </w:rPr>
            </w:pPr>
            <w:r>
              <w:rPr>
                <w:rFonts w:hint="eastAsia" w:cs="Times New Roman" w:asciiTheme="minorEastAsia" w:hAnsiTheme="minorEastAsia" w:eastAsiaTheme="minorEastAsia"/>
                <w:sz w:val="21"/>
                <w:szCs w:val="21"/>
                <w:u w:color="000000"/>
              </w:rPr>
              <w:t>对</w:t>
            </w:r>
            <w:r>
              <w:rPr>
                <w:rFonts w:hint="eastAsia" w:cs="Times New Roman" w:asciiTheme="minorEastAsia" w:hAnsiTheme="minorEastAsia" w:eastAsiaTheme="minorEastAsia"/>
                <w:sz w:val="21"/>
                <w:szCs w:val="21"/>
                <w:u w:color="000000"/>
                <w:lang w:val="en-US" w:eastAsia="zh-CN"/>
              </w:rPr>
              <w:t>安全生产</w:t>
            </w:r>
            <w:r>
              <w:rPr>
                <w:rFonts w:cs="Times New Roman" w:asciiTheme="minorEastAsia" w:hAnsiTheme="minorEastAsia" w:eastAsiaTheme="minorEastAsia"/>
                <w:sz w:val="21"/>
                <w:szCs w:val="21"/>
                <w:u w:color="000000"/>
              </w:rPr>
              <w:t>的服务</w:t>
            </w:r>
            <w:r>
              <w:rPr>
                <w:rFonts w:hint="eastAsia" w:cs="Times New Roman" w:asciiTheme="minorEastAsia" w:hAnsiTheme="minorEastAsia" w:eastAsiaTheme="minorEastAsia"/>
                <w:sz w:val="21"/>
                <w:szCs w:val="21"/>
                <w:u w:color="000000"/>
              </w:rPr>
              <w:t>是否满意</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10</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p>
        </w:tc>
        <w:tc>
          <w:tcPr>
            <w:tcW w:w="1016"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cs="Times New Roman" w:asciiTheme="minorEastAsia" w:hAnsiTheme="minorEastAsia" w:eastAsiaTheme="minorEastAsia"/>
                <w:color w:val="auto"/>
                <w:sz w:val="21"/>
                <w:szCs w:val="21"/>
                <w:u w:color="000000"/>
              </w:rPr>
            </w:pPr>
          </w:p>
        </w:tc>
        <w:tc>
          <w:tcPr>
            <w:tcW w:w="969"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10</w:t>
            </w:r>
          </w:p>
        </w:tc>
        <w:tc>
          <w:tcPr>
            <w:tcW w:w="881"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100</w:t>
            </w:r>
          </w:p>
        </w:tc>
      </w:tr>
      <w:tr>
        <w:tblPrEx>
          <w:tblCellMar>
            <w:top w:w="15" w:type="dxa"/>
            <w:left w:w="15" w:type="dxa"/>
            <w:bottom w:w="15" w:type="dxa"/>
            <w:right w:w="15" w:type="dxa"/>
          </w:tblCellMar>
        </w:tblPrEx>
        <w:trPr>
          <w:trHeight w:val="585" w:hRule="atLeast"/>
        </w:trPr>
        <w:tc>
          <w:tcPr>
            <w:tcW w:w="28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both"/>
              <w:textAlignment w:val="baseline"/>
              <w:rPr>
                <w:rFonts w:hint="eastAsia" w:cs="Times New Roman" w:asciiTheme="minorEastAsia" w:hAnsiTheme="minorEastAsia" w:eastAsiaTheme="minorEastAsia"/>
                <w:color w:val="auto"/>
                <w:sz w:val="21"/>
                <w:szCs w:val="21"/>
                <w:highlight w:val="none"/>
                <w:u w:color="000000"/>
              </w:rPr>
            </w:pPr>
            <w:r>
              <w:rPr>
                <w:rFonts w:hint="eastAsia" w:cs="Times New Roman" w:asciiTheme="minorEastAsia" w:hAnsiTheme="minorEastAsia" w:eastAsiaTheme="minorEastAsia"/>
                <w:sz w:val="21"/>
                <w:szCs w:val="21"/>
                <w:u w:color="000000"/>
              </w:rPr>
              <w:t>您对</w:t>
            </w:r>
            <w:r>
              <w:rPr>
                <w:rFonts w:hint="eastAsia" w:cs="Times New Roman" w:asciiTheme="minorEastAsia" w:hAnsiTheme="minorEastAsia" w:eastAsiaTheme="minorEastAsia"/>
                <w:sz w:val="21"/>
                <w:szCs w:val="21"/>
                <w:u w:color="000000"/>
                <w:lang w:val="en-US" w:eastAsia="zh-CN"/>
              </w:rPr>
              <w:t>安全生产应急工作</w:t>
            </w:r>
            <w:r>
              <w:rPr>
                <w:rFonts w:hint="eastAsia" w:cs="Times New Roman" w:asciiTheme="minorEastAsia" w:hAnsiTheme="minorEastAsia" w:eastAsiaTheme="minorEastAsia"/>
                <w:sz w:val="21"/>
                <w:szCs w:val="21"/>
                <w:u w:color="000000"/>
              </w:rPr>
              <w:t>基层单位</w:t>
            </w:r>
            <w:r>
              <w:rPr>
                <w:rFonts w:cs="Times New Roman" w:asciiTheme="minorEastAsia" w:hAnsiTheme="minorEastAsia" w:eastAsiaTheme="minorEastAsia"/>
                <w:sz w:val="21"/>
                <w:szCs w:val="21"/>
                <w:u w:color="000000"/>
              </w:rPr>
              <w:t>是否满意</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9</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1</w:t>
            </w:r>
          </w:p>
        </w:tc>
        <w:tc>
          <w:tcPr>
            <w:tcW w:w="1016"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cs="Times New Roman" w:asciiTheme="minorEastAsia" w:hAnsiTheme="minorEastAsia" w:eastAsiaTheme="minorEastAsia"/>
                <w:color w:val="auto"/>
                <w:sz w:val="21"/>
                <w:szCs w:val="21"/>
                <w:u w:color="000000"/>
              </w:rPr>
            </w:pPr>
          </w:p>
        </w:tc>
        <w:tc>
          <w:tcPr>
            <w:tcW w:w="969"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10</w:t>
            </w:r>
          </w:p>
        </w:tc>
        <w:tc>
          <w:tcPr>
            <w:tcW w:w="881"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95</w:t>
            </w:r>
          </w:p>
        </w:tc>
      </w:tr>
    </w:tbl>
    <w:p>
      <w:pPr>
        <w:spacing w:after="0" w:line="540" w:lineRule="exact"/>
        <w:jc w:val="both"/>
        <w:textAlignment w:val="baseline"/>
        <w:rPr>
          <w:rFonts w:hint="eastAsia" w:asciiTheme="minorEastAsia" w:hAnsiTheme="minorEastAsia" w:eastAsiaTheme="minorEastAsia" w:cstheme="minorEastAsia"/>
          <w:color w:val="auto"/>
          <w:sz w:val="21"/>
          <w:szCs w:val="21"/>
          <w:u w:color="000000"/>
        </w:rPr>
      </w:pP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调查问卷共分为3个单项，每个单项满分为100分。其中：每一单项满分为100分：满意为100分，一般为50分，不满意为0分。</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单项满意度得分=总分数/总人数</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总体满意度得分=∑1/3各单项满意度得分</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经计算，总体得分为</w:t>
      </w:r>
      <w:r>
        <w:rPr>
          <w:rFonts w:hint="eastAsia" w:ascii="仿宋_GB2312" w:eastAsia="仿宋_GB2312" w:cs="Times New Roman" w:hAnsiTheme="minorEastAsia"/>
          <w:color w:val="auto"/>
          <w:sz w:val="32"/>
          <w:szCs w:val="32"/>
          <w:u w:color="000000"/>
          <w:lang w:val="en-US" w:eastAsia="zh-CN"/>
        </w:rPr>
        <w:t>95</w:t>
      </w:r>
      <w:r>
        <w:rPr>
          <w:rFonts w:hint="eastAsia" w:ascii="仿宋_GB2312" w:eastAsia="仿宋_GB2312" w:cs="Times New Roman" w:hAnsiTheme="minorEastAsia"/>
          <w:color w:val="auto"/>
          <w:sz w:val="32"/>
          <w:szCs w:val="32"/>
          <w:u w:color="000000"/>
        </w:rPr>
        <w:t>，</w:t>
      </w:r>
      <w:r>
        <w:rPr>
          <w:rFonts w:hint="eastAsia" w:ascii="仿宋_GB2312" w:eastAsia="仿宋_GB2312" w:cs="Times New Roman" w:hAnsiTheme="minorEastAsia"/>
          <w:color w:val="auto"/>
          <w:sz w:val="32"/>
          <w:szCs w:val="32"/>
          <w:u w:color="000000"/>
          <w:lang w:val="en-US" w:eastAsia="zh-CN"/>
        </w:rPr>
        <w:t>大</w:t>
      </w:r>
      <w:r>
        <w:rPr>
          <w:rFonts w:hint="eastAsia" w:ascii="仿宋_GB2312" w:eastAsia="仿宋_GB2312" w:cs="Times New Roman" w:hAnsiTheme="minorEastAsia"/>
          <w:color w:val="auto"/>
          <w:sz w:val="32"/>
          <w:szCs w:val="32"/>
          <w:u w:color="000000"/>
        </w:rPr>
        <w:t>于90分，评价等级为“</w:t>
      </w:r>
      <w:r>
        <w:rPr>
          <w:rFonts w:hint="eastAsia" w:ascii="仿宋_GB2312" w:eastAsia="仿宋_GB2312" w:cs="Times New Roman" w:hAnsiTheme="minorEastAsia"/>
          <w:color w:val="auto"/>
          <w:sz w:val="32"/>
          <w:szCs w:val="32"/>
          <w:u w:color="000000"/>
          <w:lang w:val="en-US" w:eastAsia="zh-CN"/>
        </w:rPr>
        <w:t>优</w:t>
      </w:r>
      <w:r>
        <w:rPr>
          <w:rFonts w:hint="eastAsia" w:ascii="仿宋_GB2312" w:eastAsia="仿宋_GB2312" w:cs="Times New Roman" w:hAnsiTheme="minorEastAsia"/>
          <w:color w:val="auto"/>
          <w:sz w:val="32"/>
          <w:szCs w:val="32"/>
          <w:u w:color="000000"/>
        </w:rPr>
        <w:t>”。</w:t>
      </w:r>
    </w:p>
    <w:p>
      <w:pPr>
        <w:spacing w:after="0" w:line="360" w:lineRule="auto"/>
        <w:ind w:firstLine="640" w:firstLineChars="200"/>
        <w:jc w:val="both"/>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该指标实际得分</w:t>
      </w:r>
      <w:r>
        <w:rPr>
          <w:rFonts w:hint="eastAsia" w:ascii="仿宋_GB2312" w:eastAsia="仿宋_GB2312" w:cs="Times New Roman" w:hAnsiTheme="minorEastAsia"/>
          <w:color w:val="auto"/>
          <w:sz w:val="32"/>
          <w:szCs w:val="32"/>
          <w:u w:color="000000"/>
          <w:lang w:val="en-US" w:eastAsia="zh-CN"/>
        </w:rPr>
        <w:t>10</w:t>
      </w:r>
      <w:r>
        <w:rPr>
          <w:rFonts w:hint="eastAsia" w:ascii="仿宋_GB2312" w:eastAsia="仿宋_GB2312" w:cs="Times New Roman" w:hAnsiTheme="minorEastAsia"/>
          <w:color w:val="auto"/>
          <w:sz w:val="32"/>
          <w:szCs w:val="32"/>
          <w:u w:color="000000"/>
        </w:rPr>
        <w:t>分。</w:t>
      </w:r>
    </w:p>
    <w:p>
      <w:pPr>
        <w:pStyle w:val="4"/>
        <w:keepNext w:val="0"/>
        <w:keepLines w:val="0"/>
        <w:suppressLineNumbers/>
        <w:spacing w:before="0" w:after="0" w:line="360" w:lineRule="auto"/>
        <w:ind w:firstLine="643" w:firstLineChars="200"/>
        <w:rPr>
          <w:rFonts w:ascii="黑体"/>
          <w:color w:val="auto"/>
          <w:highlight w:val="none"/>
        </w:rPr>
      </w:pPr>
      <w:bookmarkStart w:id="70" w:name="_Toc13757"/>
      <w:r>
        <w:rPr>
          <w:rFonts w:hint="eastAsia" w:ascii="黑体"/>
          <w:color w:val="auto"/>
        </w:rPr>
        <w:t>五、</w:t>
      </w:r>
      <w:r>
        <w:rPr>
          <w:rFonts w:hint="eastAsia" w:ascii="黑体"/>
          <w:color w:val="auto"/>
          <w:highlight w:val="none"/>
        </w:rPr>
        <w:t>绩效评价发现的问题</w:t>
      </w:r>
      <w:bookmarkEnd w:id="67"/>
      <w:bookmarkEnd w:id="68"/>
      <w:bookmarkEnd w:id="69"/>
      <w:bookmarkEnd w:id="70"/>
      <w:bookmarkStart w:id="71" w:name="_Toc492652789"/>
    </w:p>
    <w:p>
      <w:pPr>
        <w:spacing w:after="0" w:line="360" w:lineRule="auto"/>
        <w:ind w:firstLine="640" w:firstLineChars="200"/>
        <w:jc w:val="both"/>
        <w:textAlignment w:val="baseline"/>
        <w:rPr>
          <w:rFonts w:hint="eastAsia"/>
        </w:rPr>
      </w:pPr>
      <w:r>
        <w:rPr>
          <w:rFonts w:hint="eastAsia" w:ascii="仿宋_GB2312" w:eastAsia="仿宋_GB2312" w:cs="Times New Roman" w:hAnsiTheme="minorEastAsia"/>
          <w:color w:val="auto"/>
          <w:sz w:val="32"/>
          <w:szCs w:val="32"/>
          <w:u w:color="000000"/>
        </w:rPr>
        <w:t>通过对各指标得分及扣分原因的分析，</w:t>
      </w:r>
      <w:r>
        <w:rPr>
          <w:rFonts w:hint="eastAsia" w:ascii="仿宋_GB2312" w:eastAsia="仿宋_GB2312" w:cs="Times New Roman" w:hAnsiTheme="minorEastAsia"/>
          <w:color w:val="auto"/>
          <w:sz w:val="32"/>
          <w:szCs w:val="32"/>
          <w:u w:color="000000"/>
          <w:lang w:eastAsia="zh-CN"/>
        </w:rPr>
        <w:t>曲阳县应急管理局202</w:t>
      </w:r>
      <w:r>
        <w:rPr>
          <w:rFonts w:hint="eastAsia" w:ascii="仿宋_GB2312" w:eastAsia="仿宋_GB2312" w:cs="Times New Roman" w:hAnsiTheme="minorEastAsia"/>
          <w:color w:val="auto"/>
          <w:sz w:val="32"/>
          <w:szCs w:val="32"/>
          <w:u w:color="000000"/>
          <w:lang w:val="en-US" w:eastAsia="zh-CN"/>
        </w:rPr>
        <w:t>1</w:t>
      </w:r>
      <w:r>
        <w:rPr>
          <w:rFonts w:hint="eastAsia" w:ascii="仿宋_GB2312" w:eastAsia="仿宋_GB2312" w:cs="Times New Roman" w:hAnsiTheme="minorEastAsia"/>
          <w:color w:val="auto"/>
          <w:sz w:val="32"/>
          <w:szCs w:val="32"/>
          <w:u w:color="000000"/>
        </w:rPr>
        <w:t>年部门整体支出基本按相关要求执行预算、决算，完成了绩效目标，资金使用效益良好。通过评价，也发现一些不足之处，具体情况如下：</w:t>
      </w:r>
      <w:bookmarkStart w:id="72" w:name="_Toc20723"/>
    </w:p>
    <w:p>
      <w:pPr>
        <w:numPr>
          <w:ilvl w:val="0"/>
          <w:numId w:val="0"/>
        </w:numPr>
        <w:spacing w:after="0" w:line="360" w:lineRule="auto"/>
        <w:ind w:firstLine="640" w:firstLineChars="200"/>
        <w:jc w:val="both"/>
        <w:textAlignment w:val="baseline"/>
        <w:rPr>
          <w:rFonts w:hint="default"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1.绩效指标细化量化不够</w:t>
      </w:r>
    </w:p>
    <w:p>
      <w:pPr>
        <w:numPr>
          <w:ilvl w:val="0"/>
          <w:numId w:val="0"/>
        </w:numPr>
        <w:spacing w:after="0" w:line="360" w:lineRule="auto"/>
        <w:ind w:firstLine="640" w:firstLineChars="200"/>
        <w:jc w:val="both"/>
        <w:textAlignment w:val="baseline"/>
        <w:rPr>
          <w:rFonts w:hint="eastAsia"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绩效指标的设定有待于进一步细化、量化，以便于绩效评价与考核。</w:t>
      </w:r>
    </w:p>
    <w:p>
      <w:pPr>
        <w:numPr>
          <w:ilvl w:val="0"/>
          <w:numId w:val="0"/>
        </w:numPr>
        <w:spacing w:after="0" w:line="360" w:lineRule="auto"/>
        <w:ind w:firstLine="640" w:firstLineChars="200"/>
        <w:jc w:val="both"/>
        <w:textAlignment w:val="baseline"/>
        <w:rPr>
          <w:rFonts w:hint="default"/>
          <w:lang w:val="en-US" w:eastAsia="zh-CN"/>
        </w:rPr>
      </w:pPr>
      <w:r>
        <w:rPr>
          <w:rFonts w:hint="eastAsia" w:ascii="仿宋_GB2312" w:eastAsia="仿宋_GB2312" w:cs="DengXian-Regular"/>
          <w:color w:val="auto"/>
          <w:sz w:val="32"/>
          <w:szCs w:val="32"/>
          <w:highlight w:val="none"/>
          <w:lang w:val="en-US" w:eastAsia="zh-CN"/>
        </w:rPr>
        <w:t>2.在职人员控制率大于100%</w:t>
      </w:r>
    </w:p>
    <w:p>
      <w:pPr>
        <w:spacing w:after="0" w:line="360" w:lineRule="auto"/>
        <w:ind w:firstLine="640" w:firstLineChars="200"/>
        <w:jc w:val="both"/>
        <w:textAlignment w:val="baseline"/>
        <w:rPr>
          <w:rFonts w:hint="default" w:ascii="仿宋_GB2312" w:eastAsia="仿宋_GB2312" w:cs="DengXian-Regular"/>
          <w:color w:val="auto"/>
          <w:sz w:val="32"/>
          <w:szCs w:val="32"/>
          <w:highlight w:val="none"/>
          <w:lang w:val="en-US" w:eastAsia="zh-CN"/>
        </w:rPr>
      </w:pPr>
      <w:r>
        <w:rPr>
          <w:rFonts w:hint="default" w:ascii="仿宋_GB2312" w:eastAsia="仿宋_GB2312" w:cs="DengXian-Regular"/>
          <w:color w:val="auto"/>
          <w:sz w:val="32"/>
          <w:szCs w:val="32"/>
          <w:highlight w:val="none"/>
          <w:lang w:val="en-US" w:eastAsia="zh-CN"/>
        </w:rPr>
        <w:t>根据中共曲阳县委办公室及曲阳县人民政府办公室关于印发《曲阳县应急管理局职能配置、内设机构和人员编制规定》，曲阳县应急管理局机关行政编制为14人。曲阳县应急管理局2021年决算在职人员15人，在职人员控制率=（15/14）*100%=107.14%</w:t>
      </w:r>
      <w:r>
        <w:rPr>
          <w:rFonts w:hint="eastAsia" w:ascii="仿宋_GB2312" w:eastAsia="仿宋_GB2312" w:cs="DengXian-Regular"/>
          <w:color w:val="auto"/>
          <w:sz w:val="32"/>
          <w:szCs w:val="32"/>
          <w:highlight w:val="none"/>
          <w:lang w:val="en-US" w:eastAsia="zh-CN"/>
        </w:rPr>
        <w:t>。</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3</w:t>
      </w:r>
      <w:r>
        <w:rPr>
          <w:rFonts w:hint="eastAsia" w:ascii="仿宋_GB2312" w:eastAsia="仿宋_GB2312" w:cs="DengXian-Regular"/>
          <w:color w:val="auto"/>
          <w:sz w:val="32"/>
          <w:szCs w:val="32"/>
          <w:highlight w:val="none"/>
        </w:rPr>
        <w:t>.预算</w:t>
      </w:r>
      <w:r>
        <w:rPr>
          <w:rFonts w:hint="eastAsia" w:ascii="仿宋_GB2312" w:eastAsia="仿宋_GB2312" w:cs="DengXian-Regular"/>
          <w:color w:val="auto"/>
          <w:sz w:val="32"/>
          <w:szCs w:val="32"/>
          <w:highlight w:val="none"/>
          <w:lang w:eastAsia="zh-CN"/>
        </w:rPr>
        <w:t>调整</w:t>
      </w:r>
      <w:r>
        <w:rPr>
          <w:rFonts w:hint="eastAsia" w:ascii="仿宋_GB2312" w:eastAsia="仿宋_GB2312" w:cs="DengXian-Regular"/>
          <w:color w:val="auto"/>
          <w:sz w:val="32"/>
          <w:szCs w:val="32"/>
          <w:highlight w:val="none"/>
        </w:rPr>
        <w:t>较多</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eastAsia="zh-CN"/>
        </w:rPr>
        <w:t>曲阳县应急管理局202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rPr>
        <w:t>年</w:t>
      </w:r>
      <w:r>
        <w:rPr>
          <w:rFonts w:hint="eastAsia" w:ascii="仿宋_GB2312" w:eastAsia="仿宋_GB2312" w:cs="DengXian-Regular"/>
          <w:color w:val="auto"/>
          <w:sz w:val="32"/>
          <w:szCs w:val="32"/>
          <w:highlight w:val="none"/>
          <w:lang w:val="en-US" w:eastAsia="zh-CN"/>
        </w:rPr>
        <w:t>初</w:t>
      </w:r>
      <w:r>
        <w:rPr>
          <w:rFonts w:hint="eastAsia" w:ascii="仿宋_GB2312" w:eastAsia="仿宋_GB2312" w:cs="DengXian-Regular"/>
          <w:color w:val="auto"/>
          <w:sz w:val="32"/>
          <w:szCs w:val="32"/>
          <w:highlight w:val="none"/>
        </w:rPr>
        <w:t>预算收入、支出预算数均为</w:t>
      </w:r>
      <w:r>
        <w:rPr>
          <w:rFonts w:hint="eastAsia" w:ascii="仿宋_GB2312" w:eastAsia="仿宋_GB2312" w:cs="DengXian-Regular"/>
          <w:color w:val="auto"/>
          <w:sz w:val="32"/>
          <w:szCs w:val="32"/>
          <w:highlight w:val="none"/>
          <w:lang w:val="en-US" w:eastAsia="zh-CN"/>
        </w:rPr>
        <w:t>1414.91</w:t>
      </w:r>
      <w:r>
        <w:rPr>
          <w:rFonts w:hint="eastAsia" w:ascii="仿宋_GB2312" w:eastAsia="仿宋_GB2312" w:cs="DengXian-Regular"/>
          <w:color w:val="auto"/>
          <w:sz w:val="32"/>
          <w:szCs w:val="32"/>
          <w:highlight w:val="none"/>
        </w:rPr>
        <w:t>万元，决算收入</w:t>
      </w:r>
      <w:r>
        <w:rPr>
          <w:rFonts w:hint="eastAsia" w:ascii="仿宋_GB2312" w:eastAsia="仿宋_GB2312" w:cs="DengXian-Regular"/>
          <w:color w:val="auto"/>
          <w:sz w:val="32"/>
          <w:szCs w:val="32"/>
          <w:highlight w:val="none"/>
          <w:lang w:val="en-US" w:eastAsia="zh-CN"/>
        </w:rPr>
        <w:t>1564.53</w:t>
      </w:r>
      <w:r>
        <w:rPr>
          <w:rFonts w:hint="eastAsia" w:ascii="仿宋_GB2312" w:eastAsia="仿宋_GB2312" w:cs="DengXian-Regular"/>
          <w:color w:val="auto"/>
          <w:sz w:val="32"/>
          <w:szCs w:val="32"/>
          <w:highlight w:val="none"/>
        </w:rPr>
        <w:t>万元，预算</w:t>
      </w:r>
      <w:r>
        <w:rPr>
          <w:rFonts w:hint="eastAsia" w:ascii="仿宋_GB2312" w:eastAsia="仿宋_GB2312" w:cs="DengXian-Regular"/>
          <w:color w:val="auto"/>
          <w:sz w:val="32"/>
          <w:szCs w:val="32"/>
          <w:highlight w:val="none"/>
          <w:lang w:eastAsia="zh-CN"/>
        </w:rPr>
        <w:t>调</w:t>
      </w:r>
      <w:r>
        <w:rPr>
          <w:rFonts w:hint="eastAsia" w:ascii="仿宋_GB2312" w:eastAsia="仿宋_GB2312" w:cs="DengXian-Regular"/>
          <w:color w:val="auto"/>
          <w:sz w:val="32"/>
          <w:szCs w:val="32"/>
          <w:highlight w:val="none"/>
          <w:lang w:val="en-US" w:eastAsia="zh-CN"/>
        </w:rPr>
        <w:t>整</w:t>
      </w:r>
      <w:r>
        <w:rPr>
          <w:rFonts w:hint="eastAsia" w:ascii="仿宋_GB2312" w:eastAsia="仿宋_GB2312" w:cs="DengXian-Regular"/>
          <w:color w:val="auto"/>
          <w:sz w:val="32"/>
          <w:szCs w:val="32"/>
          <w:highlight w:val="none"/>
          <w:lang w:eastAsia="zh-CN"/>
        </w:rPr>
        <w:t>增加</w:t>
      </w:r>
      <w:r>
        <w:rPr>
          <w:rFonts w:hint="eastAsia" w:ascii="仿宋_GB2312" w:eastAsia="仿宋_GB2312" w:cs="DengXian-Regular"/>
          <w:color w:val="auto"/>
          <w:sz w:val="32"/>
          <w:szCs w:val="32"/>
          <w:highlight w:val="none"/>
          <w:lang w:val="en-US" w:eastAsia="zh-CN"/>
        </w:rPr>
        <w:t>149.62</w:t>
      </w:r>
      <w:r>
        <w:rPr>
          <w:rFonts w:hint="eastAsia" w:ascii="仿宋_GB2312" w:eastAsia="仿宋_GB2312" w:cs="DengXian-Regular"/>
          <w:color w:val="auto"/>
          <w:sz w:val="32"/>
          <w:szCs w:val="32"/>
          <w:highlight w:val="none"/>
        </w:rPr>
        <w:t>万元，</w:t>
      </w:r>
      <w:r>
        <w:rPr>
          <w:rFonts w:hint="eastAsia" w:ascii="仿宋_GB2312" w:eastAsia="仿宋_GB2312" w:cs="DengXian-Regular"/>
          <w:color w:val="auto"/>
          <w:sz w:val="32"/>
          <w:szCs w:val="32"/>
          <w:highlight w:val="none"/>
          <w:lang w:eastAsia="zh-CN"/>
        </w:rPr>
        <w:t>增加</w:t>
      </w:r>
      <w:r>
        <w:rPr>
          <w:rFonts w:hint="eastAsia" w:ascii="仿宋_GB2312" w:eastAsia="仿宋_GB2312" w:cs="DengXian-Regular"/>
          <w:color w:val="auto"/>
          <w:sz w:val="32"/>
          <w:szCs w:val="32"/>
          <w:highlight w:val="none"/>
        </w:rPr>
        <w:t>比例</w:t>
      </w:r>
      <w:r>
        <w:rPr>
          <w:rFonts w:hint="eastAsia" w:ascii="仿宋_GB2312" w:eastAsia="仿宋_GB2312" w:cs="DengXian-Regular"/>
          <w:color w:val="auto"/>
          <w:sz w:val="32"/>
          <w:szCs w:val="32"/>
          <w:highlight w:val="none"/>
          <w:lang w:val="en-US" w:eastAsia="zh-CN"/>
        </w:rPr>
        <w:t>10.57%</w:t>
      </w:r>
      <w:r>
        <w:rPr>
          <w:rFonts w:hint="eastAsia" w:ascii="仿宋_GB2312" w:eastAsia="仿宋_GB2312" w:cs="DengXian-Regular"/>
          <w:color w:val="auto"/>
          <w:sz w:val="32"/>
          <w:szCs w:val="32"/>
          <w:highlight w:val="none"/>
        </w:rPr>
        <w:t>；决算支出</w:t>
      </w:r>
      <w:r>
        <w:rPr>
          <w:rFonts w:hint="eastAsia" w:ascii="仿宋_GB2312" w:eastAsia="仿宋_GB2312" w:cs="DengXian-Regular"/>
          <w:color w:val="auto"/>
          <w:sz w:val="32"/>
          <w:szCs w:val="32"/>
          <w:highlight w:val="none"/>
          <w:lang w:val="en-US" w:eastAsia="zh-CN"/>
        </w:rPr>
        <w:t>1564.52</w:t>
      </w:r>
      <w:r>
        <w:rPr>
          <w:rFonts w:hint="eastAsia" w:ascii="仿宋_GB2312" w:eastAsia="仿宋_GB2312" w:cs="DengXian-Regular"/>
          <w:color w:val="auto"/>
          <w:sz w:val="32"/>
          <w:szCs w:val="32"/>
          <w:highlight w:val="none"/>
        </w:rPr>
        <w:t>万元，预算</w:t>
      </w:r>
      <w:r>
        <w:rPr>
          <w:rFonts w:hint="eastAsia" w:ascii="仿宋_GB2312" w:eastAsia="仿宋_GB2312" w:cs="DengXian-Regular"/>
          <w:color w:val="auto"/>
          <w:sz w:val="32"/>
          <w:szCs w:val="32"/>
          <w:highlight w:val="none"/>
          <w:lang w:eastAsia="zh-CN"/>
        </w:rPr>
        <w:t>调</w:t>
      </w:r>
      <w:r>
        <w:rPr>
          <w:rFonts w:hint="eastAsia" w:ascii="仿宋_GB2312" w:eastAsia="仿宋_GB2312" w:cs="DengXian-Regular"/>
          <w:color w:val="auto"/>
          <w:sz w:val="32"/>
          <w:szCs w:val="32"/>
          <w:highlight w:val="none"/>
          <w:lang w:val="en-US" w:eastAsia="zh-CN"/>
        </w:rPr>
        <w:t>整</w:t>
      </w:r>
      <w:r>
        <w:rPr>
          <w:rFonts w:hint="eastAsia" w:ascii="仿宋_GB2312" w:eastAsia="仿宋_GB2312" w:cs="DengXian-Regular"/>
          <w:color w:val="auto"/>
          <w:sz w:val="32"/>
          <w:szCs w:val="32"/>
          <w:highlight w:val="none"/>
          <w:lang w:eastAsia="zh-CN"/>
        </w:rPr>
        <w:t>增加</w:t>
      </w:r>
      <w:r>
        <w:rPr>
          <w:rFonts w:hint="eastAsia" w:ascii="仿宋_GB2312" w:eastAsia="仿宋_GB2312" w:cs="DengXian-Regular"/>
          <w:color w:val="auto"/>
          <w:sz w:val="32"/>
          <w:szCs w:val="32"/>
          <w:highlight w:val="none"/>
          <w:lang w:val="en-US" w:eastAsia="zh-CN"/>
        </w:rPr>
        <w:t>149.61</w:t>
      </w:r>
      <w:r>
        <w:rPr>
          <w:rFonts w:hint="eastAsia" w:ascii="仿宋_GB2312" w:eastAsia="仿宋_GB2312" w:cs="DengXian-Regular"/>
          <w:color w:val="auto"/>
          <w:sz w:val="32"/>
          <w:szCs w:val="32"/>
          <w:highlight w:val="none"/>
        </w:rPr>
        <w:t>万元，</w:t>
      </w:r>
      <w:r>
        <w:rPr>
          <w:rFonts w:hint="eastAsia" w:ascii="仿宋_GB2312" w:eastAsia="仿宋_GB2312" w:cs="DengXian-Regular"/>
          <w:color w:val="auto"/>
          <w:sz w:val="32"/>
          <w:szCs w:val="32"/>
          <w:highlight w:val="none"/>
          <w:lang w:eastAsia="zh-CN"/>
        </w:rPr>
        <w:t>增加</w:t>
      </w:r>
      <w:r>
        <w:rPr>
          <w:rFonts w:hint="eastAsia" w:ascii="仿宋_GB2312" w:eastAsia="仿宋_GB2312" w:cs="DengXian-Regular"/>
          <w:color w:val="auto"/>
          <w:sz w:val="32"/>
          <w:szCs w:val="32"/>
          <w:highlight w:val="none"/>
        </w:rPr>
        <w:t>比例</w:t>
      </w:r>
      <w:r>
        <w:rPr>
          <w:rFonts w:hint="eastAsia" w:ascii="仿宋_GB2312" w:eastAsia="仿宋_GB2312" w:cs="DengXian-Regular"/>
          <w:color w:val="auto"/>
          <w:sz w:val="32"/>
          <w:szCs w:val="32"/>
          <w:highlight w:val="none"/>
          <w:lang w:val="en-US" w:eastAsia="zh-CN"/>
        </w:rPr>
        <w:t>10.57%</w:t>
      </w:r>
      <w:r>
        <w:rPr>
          <w:rFonts w:hint="eastAsia" w:ascii="仿宋_GB2312" w:eastAsia="仿宋_GB2312" w:cs="DengXian-Regular"/>
          <w:color w:val="auto"/>
          <w:sz w:val="32"/>
          <w:szCs w:val="32"/>
          <w:highlight w:val="none"/>
        </w:rPr>
        <w:t>。</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lang w:eastAsia="zh-CN"/>
        </w:rPr>
      </w:pPr>
      <w:r>
        <w:rPr>
          <w:rFonts w:hint="eastAsia" w:ascii="仿宋_GB2312" w:eastAsia="仿宋_GB2312" w:cs="DengXian-Regular"/>
          <w:color w:val="auto"/>
          <w:sz w:val="32"/>
          <w:szCs w:val="32"/>
          <w:highlight w:val="none"/>
          <w:lang w:val="en-US" w:eastAsia="zh-CN"/>
        </w:rPr>
        <w:t>4</w:t>
      </w:r>
      <w:r>
        <w:rPr>
          <w:rFonts w:hint="eastAsia" w:ascii="仿宋_GB2312" w:eastAsia="仿宋_GB2312" w:cs="DengXian-Regular"/>
          <w:color w:val="auto"/>
          <w:sz w:val="32"/>
          <w:szCs w:val="32"/>
          <w:highlight w:val="none"/>
          <w:lang w:eastAsia="zh-CN"/>
        </w:rPr>
        <w:t>.未按预算编制执行政府采购</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eastAsia="zh-CN"/>
        </w:rPr>
        <w:t>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lang w:eastAsia="zh-CN"/>
        </w:rPr>
        <w:t>年，曲阳县应急管理局政府采购预算</w:t>
      </w:r>
      <w:r>
        <w:rPr>
          <w:rFonts w:hint="eastAsia" w:ascii="仿宋_GB2312" w:eastAsia="仿宋_GB2312" w:cs="DengXian-Regular"/>
          <w:color w:val="auto"/>
          <w:sz w:val="32"/>
          <w:szCs w:val="32"/>
          <w:highlight w:val="none"/>
          <w:lang w:val="en-US" w:eastAsia="zh-CN"/>
        </w:rPr>
        <w:t>6.38万元，</w:t>
      </w:r>
      <w:r>
        <w:rPr>
          <w:rFonts w:hint="eastAsia" w:ascii="仿宋_GB2312" w:eastAsia="仿宋_GB2312" w:cs="DengXian-Regular"/>
          <w:color w:val="auto"/>
          <w:sz w:val="32"/>
          <w:szCs w:val="32"/>
          <w:highlight w:val="none"/>
          <w:lang w:eastAsia="zh-CN"/>
        </w:rPr>
        <w:t>202</w:t>
      </w:r>
      <w:r>
        <w:rPr>
          <w:rFonts w:hint="eastAsia" w:ascii="仿宋_GB2312" w:eastAsia="仿宋_GB2312" w:cs="DengXian-Regular"/>
          <w:color w:val="auto"/>
          <w:sz w:val="32"/>
          <w:szCs w:val="32"/>
          <w:highlight w:val="none"/>
          <w:lang w:val="en-US" w:eastAsia="zh-CN"/>
        </w:rPr>
        <w:t>1</w:t>
      </w:r>
      <w:r>
        <w:rPr>
          <w:rFonts w:hint="eastAsia" w:ascii="仿宋_GB2312" w:eastAsia="仿宋_GB2312" w:cs="DengXian-Regular"/>
          <w:color w:val="auto"/>
          <w:sz w:val="32"/>
          <w:szCs w:val="32"/>
          <w:highlight w:val="none"/>
          <w:lang w:eastAsia="zh-CN"/>
        </w:rPr>
        <w:t>年度政府实际采购支出合计</w:t>
      </w:r>
      <w:r>
        <w:rPr>
          <w:rFonts w:hint="eastAsia" w:ascii="仿宋_GB2312" w:eastAsia="仿宋_GB2312" w:cs="DengXian-Regular"/>
          <w:color w:val="auto"/>
          <w:sz w:val="32"/>
          <w:szCs w:val="32"/>
          <w:highlight w:val="none"/>
          <w:lang w:val="en-US" w:eastAsia="zh-CN"/>
        </w:rPr>
        <w:t>85</w:t>
      </w:r>
      <w:r>
        <w:rPr>
          <w:rFonts w:hint="eastAsia" w:ascii="仿宋_GB2312" w:eastAsia="仿宋_GB2312" w:cs="DengXian-Regular"/>
          <w:color w:val="auto"/>
          <w:sz w:val="32"/>
          <w:szCs w:val="32"/>
          <w:highlight w:val="none"/>
          <w:lang w:eastAsia="zh-CN"/>
        </w:rPr>
        <w:t>万元，从采购类型来看，政府采购服务支出</w:t>
      </w:r>
      <w:r>
        <w:rPr>
          <w:rFonts w:hint="eastAsia" w:ascii="仿宋_GB2312" w:eastAsia="仿宋_GB2312" w:cs="DengXian-Regular"/>
          <w:color w:val="auto"/>
          <w:sz w:val="32"/>
          <w:szCs w:val="32"/>
          <w:highlight w:val="none"/>
          <w:lang w:val="en-US" w:eastAsia="zh-CN"/>
        </w:rPr>
        <w:t>85</w:t>
      </w:r>
      <w:r>
        <w:rPr>
          <w:rFonts w:hint="eastAsia" w:ascii="仿宋_GB2312" w:eastAsia="仿宋_GB2312" w:cs="DengXian-Regular"/>
          <w:color w:val="auto"/>
          <w:sz w:val="32"/>
          <w:szCs w:val="32"/>
          <w:highlight w:val="none"/>
          <w:lang w:eastAsia="zh-CN"/>
        </w:rPr>
        <w:t>万元，</w:t>
      </w:r>
      <w:r>
        <w:rPr>
          <w:rFonts w:hint="eastAsia" w:ascii="仿宋_GB2312" w:eastAsia="仿宋_GB2312" w:cs="DengXian-Regular"/>
          <w:color w:val="auto"/>
          <w:sz w:val="32"/>
          <w:szCs w:val="32"/>
          <w:highlight w:val="none"/>
        </w:rPr>
        <w:t>本年未按相关规定及预算编制执行政府采购。</w:t>
      </w:r>
    </w:p>
    <w:p>
      <w:pPr>
        <w:spacing w:after="0" w:line="360" w:lineRule="auto"/>
        <w:ind w:firstLine="643" w:firstLineChars="200"/>
        <w:jc w:val="both"/>
        <w:textAlignment w:val="baseline"/>
        <w:rPr>
          <w:rFonts w:ascii="楷体" w:hAnsi="楷体" w:eastAsia="楷体" w:cs="楷体"/>
          <w:b/>
          <w:bCs/>
          <w:color w:val="auto"/>
          <w:sz w:val="32"/>
          <w:szCs w:val="32"/>
        </w:rPr>
      </w:pPr>
      <w:r>
        <w:rPr>
          <w:rFonts w:hint="eastAsia" w:ascii="楷体" w:hAnsi="楷体" w:eastAsia="楷体" w:cs="楷体"/>
          <w:b/>
          <w:bCs/>
          <w:color w:val="auto"/>
          <w:sz w:val="32"/>
          <w:szCs w:val="32"/>
        </w:rPr>
        <w:t>六、绩效评价意见及建议</w:t>
      </w:r>
      <w:bookmarkEnd w:id="72"/>
    </w:p>
    <w:bookmarkEnd w:id="71"/>
    <w:p>
      <w:pPr>
        <w:spacing w:after="0" w:line="360" w:lineRule="auto"/>
        <w:ind w:firstLine="640" w:firstLineChars="200"/>
        <w:jc w:val="both"/>
        <w:textAlignment w:val="baseline"/>
        <w:rPr>
          <w:rFonts w:ascii="仿宋_GB2312" w:eastAsia="仿宋_GB2312" w:cs="DengXian-Regular"/>
          <w:color w:val="auto"/>
          <w:sz w:val="32"/>
          <w:szCs w:val="32"/>
          <w:highlight w:val="none"/>
        </w:rPr>
      </w:pPr>
      <w:bookmarkStart w:id="73" w:name="_Toc465149521"/>
      <w:r>
        <w:rPr>
          <w:rFonts w:hint="eastAsia" w:ascii="仿宋_GB2312" w:eastAsia="仿宋_GB2312" w:cs="DengXian-Regular"/>
          <w:color w:val="auto"/>
          <w:sz w:val="32"/>
          <w:szCs w:val="32"/>
          <w:highlight w:val="none"/>
        </w:rPr>
        <w:t>针对此次绩效评价过程中发现的问题，我们建议：</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1.增强绩效指标设置的明确性</w:t>
      </w:r>
    </w:p>
    <w:p>
      <w:pPr>
        <w:spacing w:after="0" w:line="360" w:lineRule="auto"/>
        <w:ind w:firstLine="640" w:firstLineChars="200"/>
        <w:jc w:val="both"/>
        <w:textAlignment w:val="baseline"/>
        <w:rPr>
          <w:rFonts w:hint="default"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将绩效指标进一步细化、量化，以便于绩效考核。</w:t>
      </w:r>
    </w:p>
    <w:p>
      <w:pPr>
        <w:spacing w:after="0" w:line="360" w:lineRule="auto"/>
        <w:ind w:firstLine="640" w:firstLineChars="200"/>
        <w:jc w:val="both"/>
        <w:textAlignment w:val="baseline"/>
        <w:rPr>
          <w:rFonts w:hint="eastAsia"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2.在职人员数量控制在编制人数范围内</w:t>
      </w:r>
    </w:p>
    <w:p>
      <w:pPr>
        <w:spacing w:after="0" w:line="360" w:lineRule="auto"/>
        <w:ind w:firstLine="640" w:firstLineChars="200"/>
        <w:jc w:val="both"/>
        <w:textAlignment w:val="baseline"/>
        <w:rPr>
          <w:rFonts w:hint="default" w:ascii="仿宋_GB2312" w:eastAsia="仿宋_GB2312" w:cs="DengXian-Regular"/>
          <w:color w:val="auto"/>
          <w:sz w:val="32"/>
          <w:szCs w:val="32"/>
          <w:highlight w:val="none"/>
          <w:lang w:val="en-US" w:eastAsia="zh-CN"/>
        </w:rPr>
      </w:pPr>
      <w:r>
        <w:rPr>
          <w:rFonts w:hint="eastAsia" w:ascii="仿宋_GB2312" w:eastAsia="仿宋_GB2312" w:cs="DengXian-Regular"/>
          <w:color w:val="auto"/>
          <w:sz w:val="32"/>
          <w:szCs w:val="32"/>
          <w:highlight w:val="none"/>
          <w:lang w:val="en-US" w:eastAsia="zh-CN"/>
        </w:rPr>
        <w:t>建议按照中共曲阳县委办公室及曲阳县人民政府办公室关于印发《曲阳县应急管理局职能配置、内设机构和人员编制规定》的要求，控制在职人员数量。</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3</w:t>
      </w:r>
      <w:r>
        <w:rPr>
          <w:rFonts w:hint="eastAsia" w:ascii="仿宋_GB2312" w:eastAsia="仿宋_GB2312" w:cs="DengXian-Regular"/>
          <w:color w:val="auto"/>
          <w:sz w:val="32"/>
          <w:szCs w:val="32"/>
          <w:highlight w:val="none"/>
        </w:rPr>
        <w:t>.提高预算编制质量</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部门预算编制工作要全面反映和体现部门职责，根据具体情况及时调整预算的编制，缩小预算与决算差额，减少中期预算</w:t>
      </w:r>
      <w:r>
        <w:rPr>
          <w:rFonts w:hint="eastAsia" w:ascii="仿宋_GB2312" w:eastAsia="仿宋_GB2312" w:cs="DengXian-Regular"/>
          <w:color w:val="auto"/>
          <w:sz w:val="32"/>
          <w:szCs w:val="32"/>
          <w:highlight w:val="none"/>
          <w:lang w:eastAsia="zh-CN"/>
        </w:rPr>
        <w:t>调整</w:t>
      </w:r>
      <w:r>
        <w:rPr>
          <w:rFonts w:hint="eastAsia" w:ascii="仿宋_GB2312" w:eastAsia="仿宋_GB2312" w:cs="DengXian-Regular"/>
          <w:color w:val="auto"/>
          <w:sz w:val="32"/>
          <w:szCs w:val="32"/>
          <w:highlight w:val="none"/>
        </w:rPr>
        <w:t>，提高预算编制质量，发挥预算约束作用。</w:t>
      </w:r>
    </w:p>
    <w:p>
      <w:pPr>
        <w:spacing w:after="0" w:line="360" w:lineRule="auto"/>
        <w:ind w:firstLine="640" w:firstLineChars="200"/>
        <w:jc w:val="both"/>
        <w:textAlignment w:val="baseline"/>
        <w:rPr>
          <w:rFonts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lang w:val="en-US" w:eastAsia="zh-CN"/>
        </w:rPr>
        <w:t>4</w:t>
      </w:r>
      <w:r>
        <w:rPr>
          <w:rFonts w:hint="eastAsia" w:ascii="仿宋_GB2312" w:eastAsia="仿宋_GB2312" w:cs="DengXian-Regular"/>
          <w:color w:val="auto"/>
          <w:sz w:val="32"/>
          <w:szCs w:val="32"/>
          <w:highlight w:val="none"/>
        </w:rPr>
        <w:t>.强化政府采购执行</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40" w:firstLineChars="200"/>
        <w:jc w:val="both"/>
        <w:textAlignment w:val="baseline"/>
        <w:rPr>
          <w:rFonts w:hint="eastAsia" w:ascii="仿宋_GB2312" w:eastAsia="仿宋_GB2312" w:cs="DengXian-Regular"/>
          <w:color w:val="auto"/>
          <w:sz w:val="32"/>
          <w:szCs w:val="32"/>
          <w:highlight w:val="none"/>
        </w:rPr>
      </w:pPr>
      <w:r>
        <w:rPr>
          <w:rFonts w:hint="eastAsia" w:ascii="仿宋_GB2312" w:eastAsia="仿宋_GB2312" w:cs="DengXian-Regular"/>
          <w:color w:val="auto"/>
          <w:sz w:val="32"/>
          <w:szCs w:val="32"/>
          <w:highlight w:val="none"/>
        </w:rPr>
        <w:t>建议严格按照《中华人民共和国政府采购法》及河北省2017年《政府采购集中采购目录和限额标准》的相关规定，执行政府采购，加快预算执行进度，提高政府采购效率。</w:t>
      </w:r>
    </w:p>
    <w:p>
      <w:pPr>
        <w:keepNext w:val="0"/>
        <w:keepLines w:val="0"/>
        <w:pageBreakBefore w:val="0"/>
        <w:widowControl w:val="0"/>
        <w:kinsoku/>
        <w:wordWrap/>
        <w:overflowPunct/>
        <w:topLinePunct w:val="0"/>
        <w:autoSpaceDE/>
        <w:autoSpaceDN/>
        <w:bidi w:val="0"/>
        <w:adjustRightInd w:val="0"/>
        <w:snapToGrid w:val="0"/>
        <w:spacing w:after="0" w:line="360" w:lineRule="auto"/>
        <w:jc w:val="both"/>
        <w:textAlignment w:val="baseline"/>
        <w:rPr>
          <w:rFonts w:hint="eastAsia" w:ascii="仿宋_GB2312" w:eastAsia="仿宋_GB2312" w:cs="DengXian-Regular"/>
          <w:color w:val="auto"/>
          <w:sz w:val="32"/>
          <w:szCs w:val="32"/>
          <w:highlight w:val="none"/>
        </w:rPr>
      </w:pPr>
    </w:p>
    <w:p>
      <w:pPr>
        <w:pStyle w:val="2"/>
        <w:rPr>
          <w:rFonts w:hint="eastAsia" w:ascii="仿宋_GB2312" w:eastAsia="仿宋_GB2312" w:cs="DengXian-Regular"/>
          <w:color w:val="auto"/>
          <w:sz w:val="32"/>
          <w:szCs w:val="32"/>
          <w:highlight w:val="none"/>
        </w:rPr>
      </w:pPr>
    </w:p>
    <w:p>
      <w:pPr>
        <w:rPr>
          <w:rFonts w:hint="eastAsia" w:ascii="仿宋_GB2312" w:eastAsia="仿宋_GB2312" w:cs="DengXian-Regular"/>
          <w:color w:val="auto"/>
          <w:sz w:val="32"/>
          <w:szCs w:val="32"/>
          <w:highlight w:val="none"/>
        </w:rPr>
      </w:pPr>
    </w:p>
    <w:p>
      <w:pPr>
        <w:pStyle w:val="2"/>
        <w:rPr>
          <w:rFonts w:hint="eastAsia" w:ascii="仿宋_GB2312" w:eastAsia="仿宋_GB2312" w:cs="DengXian-Regular"/>
          <w:color w:val="auto"/>
          <w:sz w:val="32"/>
          <w:szCs w:val="32"/>
          <w:highlight w:val="none"/>
        </w:rPr>
      </w:pPr>
    </w:p>
    <w:p>
      <w:pPr>
        <w:rPr>
          <w:rFonts w:hint="eastAsia" w:ascii="仿宋_GB2312" w:eastAsia="仿宋_GB2312" w:cs="DengXian-Regular"/>
          <w:color w:val="auto"/>
          <w:sz w:val="32"/>
          <w:szCs w:val="32"/>
          <w:highlight w:val="none"/>
        </w:rPr>
      </w:pPr>
    </w:p>
    <w:p>
      <w:pPr>
        <w:pStyle w:val="2"/>
        <w:rPr>
          <w:rFonts w:hint="eastAsia"/>
        </w:rPr>
      </w:pPr>
    </w:p>
    <w:p>
      <w:pPr>
        <w:pStyle w:val="2"/>
        <w:rPr>
          <w:rFonts w:hint="eastAsia"/>
        </w:rPr>
      </w:pPr>
    </w:p>
    <w:p>
      <w:pPr>
        <w:keepNext w:val="0"/>
        <w:keepLines w:val="0"/>
        <w:pageBreakBefore w:val="0"/>
        <w:widowControl w:val="0"/>
        <w:kinsoku/>
        <w:wordWrap/>
        <w:overflowPunct/>
        <w:topLinePunct w:val="0"/>
        <w:autoSpaceDE/>
        <w:autoSpaceDN/>
        <w:bidi w:val="0"/>
        <w:adjustRightInd w:val="0"/>
        <w:snapToGrid w:val="0"/>
        <w:spacing w:after="0" w:line="360" w:lineRule="auto"/>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附件：1.</w:t>
      </w:r>
      <w:r>
        <w:rPr>
          <w:rFonts w:hint="eastAsia" w:ascii="仿宋_GB2312" w:eastAsia="仿宋_GB2312" w:cs="Times New Roman" w:hAnsiTheme="minorEastAsia"/>
          <w:color w:val="auto"/>
          <w:sz w:val="32"/>
          <w:szCs w:val="32"/>
          <w:u w:color="000000"/>
          <w:lang w:eastAsia="zh-CN"/>
        </w:rPr>
        <w:t>曲阳县应急管理局</w:t>
      </w:r>
      <w:r>
        <w:rPr>
          <w:rFonts w:hint="eastAsia" w:ascii="仿宋_GB2312" w:eastAsia="仿宋_GB2312" w:cs="Times New Roman" w:hAnsiTheme="minorEastAsia"/>
          <w:color w:val="auto"/>
          <w:sz w:val="32"/>
          <w:szCs w:val="32"/>
          <w:u w:color="000000"/>
        </w:rPr>
        <w:t>基本情况及主要职责</w:t>
      </w:r>
    </w:p>
    <w:p>
      <w:pPr>
        <w:spacing w:after="0" w:line="540" w:lineRule="exact"/>
        <w:ind w:left="1277" w:leftChars="435" w:hanging="320" w:hangingChars="1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2.</w:t>
      </w:r>
      <w:r>
        <w:rPr>
          <w:rFonts w:hint="eastAsia" w:ascii="仿宋_GB2312" w:eastAsia="仿宋_GB2312" w:cs="Times New Roman" w:hAnsiTheme="minorEastAsia"/>
          <w:color w:val="auto"/>
          <w:sz w:val="32"/>
          <w:szCs w:val="32"/>
          <w:u w:color="000000"/>
          <w:lang w:eastAsia="zh-CN"/>
        </w:rPr>
        <w:t>202</w:t>
      </w:r>
      <w:r>
        <w:rPr>
          <w:rFonts w:hint="eastAsia" w:ascii="仿宋_GB2312" w:eastAsia="仿宋_GB2312" w:cs="Times New Roman" w:hAnsiTheme="minorEastAsia"/>
          <w:color w:val="auto"/>
          <w:sz w:val="32"/>
          <w:szCs w:val="32"/>
          <w:u w:color="000000"/>
          <w:lang w:val="en-US" w:eastAsia="zh-CN"/>
        </w:rPr>
        <w:t>1</w:t>
      </w:r>
      <w:r>
        <w:rPr>
          <w:rFonts w:hint="eastAsia" w:ascii="仿宋_GB2312" w:eastAsia="仿宋_GB2312" w:cs="Times New Roman" w:hAnsiTheme="minorEastAsia"/>
          <w:color w:val="auto"/>
          <w:sz w:val="32"/>
          <w:szCs w:val="32"/>
          <w:u w:color="000000"/>
        </w:rPr>
        <w:t>年度</w:t>
      </w:r>
      <w:r>
        <w:rPr>
          <w:rFonts w:hint="eastAsia" w:ascii="仿宋_GB2312" w:eastAsia="仿宋_GB2312" w:cs="Times New Roman" w:hAnsiTheme="minorEastAsia"/>
          <w:color w:val="auto"/>
          <w:sz w:val="32"/>
          <w:szCs w:val="32"/>
          <w:u w:color="000000"/>
          <w:lang w:eastAsia="zh-CN"/>
        </w:rPr>
        <w:t>曲阳县应急管理局</w:t>
      </w:r>
      <w:r>
        <w:rPr>
          <w:rFonts w:hint="eastAsia" w:ascii="仿宋_GB2312" w:eastAsia="仿宋_GB2312" w:cs="Times New Roman" w:hAnsiTheme="minorEastAsia"/>
          <w:color w:val="auto"/>
          <w:sz w:val="32"/>
          <w:szCs w:val="32"/>
          <w:u w:color="000000"/>
        </w:rPr>
        <w:t>收支预算及决算明细表</w:t>
      </w:r>
    </w:p>
    <w:p>
      <w:pPr>
        <w:spacing w:after="0" w:line="540" w:lineRule="exact"/>
        <w:ind w:firstLine="960" w:firstLineChars="300"/>
        <w:jc w:val="both"/>
        <w:textAlignment w:val="baseline"/>
        <w:rPr>
          <w:rFonts w:ascii="仿宋_GB2312" w:eastAsia="仿宋_GB2312" w:cs="Times New Roman" w:hAnsiTheme="minorEastAsia"/>
          <w:color w:val="auto"/>
          <w:sz w:val="32"/>
          <w:szCs w:val="32"/>
          <w:u w:color="000000"/>
        </w:rPr>
      </w:pPr>
      <w:bookmarkStart w:id="74" w:name="_Toc465149534"/>
      <w:r>
        <w:rPr>
          <w:rFonts w:hint="eastAsia" w:ascii="仿宋_GB2312" w:eastAsia="仿宋_GB2312" w:cs="Times New Roman" w:hAnsiTheme="minorEastAsia"/>
          <w:color w:val="auto"/>
          <w:sz w:val="32"/>
          <w:szCs w:val="32"/>
          <w:u w:color="000000"/>
        </w:rPr>
        <w:t>3.</w:t>
      </w:r>
      <w:bookmarkEnd w:id="74"/>
      <w:r>
        <w:rPr>
          <w:rFonts w:hint="eastAsia" w:ascii="仿宋_GB2312" w:eastAsia="仿宋_GB2312" w:cs="Times New Roman" w:hAnsiTheme="minorEastAsia"/>
          <w:color w:val="auto"/>
          <w:sz w:val="32"/>
          <w:szCs w:val="32"/>
          <w:u w:color="000000"/>
        </w:rPr>
        <w:t>部门整体支出绩效评价指标体系</w:t>
      </w:r>
    </w:p>
    <w:p>
      <w:pPr>
        <w:spacing w:line="540" w:lineRule="exact"/>
        <w:jc w:val="both"/>
        <w:textAlignment w:val="baseline"/>
        <w:rPr>
          <w:rFonts w:hint="eastAsia" w:ascii="仿宋_GB2312" w:eastAsia="仿宋_GB2312" w:cs="Times New Roman" w:hAnsiTheme="minorEastAsia"/>
          <w:color w:val="auto"/>
          <w:sz w:val="32"/>
          <w:szCs w:val="32"/>
          <w:u w:color="000000"/>
          <w:lang w:eastAsia="zh-CN"/>
        </w:rPr>
      </w:pPr>
    </w:p>
    <w:p>
      <w:pPr>
        <w:pStyle w:val="2"/>
        <w:rPr>
          <w:rFonts w:hint="eastAsia" w:ascii="仿宋_GB2312" w:eastAsia="仿宋_GB2312" w:cs="Times New Roman" w:hAnsiTheme="minorEastAsia"/>
          <w:color w:val="auto"/>
          <w:sz w:val="32"/>
          <w:szCs w:val="32"/>
          <w:u w:color="000000"/>
          <w:lang w:eastAsia="zh-CN"/>
        </w:rPr>
      </w:pPr>
    </w:p>
    <w:p>
      <w:pPr>
        <w:rPr>
          <w:rFonts w:hint="eastAsia" w:ascii="仿宋_GB2312" w:eastAsia="仿宋_GB2312" w:cs="Times New Roman" w:hAnsiTheme="minorEastAsia"/>
          <w:color w:val="auto"/>
          <w:sz w:val="32"/>
          <w:szCs w:val="32"/>
          <w:u w:color="000000"/>
          <w:lang w:eastAsia="zh-CN"/>
        </w:rPr>
      </w:pPr>
    </w:p>
    <w:p>
      <w:pPr>
        <w:rPr>
          <w:rFonts w:hint="eastAsia" w:ascii="仿宋_GB2312" w:eastAsia="仿宋_GB2312" w:cs="Times New Roman" w:hAnsiTheme="minorEastAsia"/>
          <w:color w:val="auto"/>
          <w:sz w:val="32"/>
          <w:szCs w:val="32"/>
          <w:u w:color="000000"/>
          <w:lang w:eastAsia="zh-CN"/>
        </w:rPr>
      </w:pPr>
    </w:p>
    <w:p>
      <w:pPr>
        <w:pStyle w:val="2"/>
        <w:rPr>
          <w:rFonts w:hint="eastAsia"/>
          <w:lang w:eastAsia="zh-CN"/>
        </w:rPr>
      </w:pPr>
    </w:p>
    <w:p>
      <w:pPr>
        <w:pStyle w:val="13"/>
        <w:spacing w:line="660" w:lineRule="exact"/>
        <w:ind w:firstLine="640" w:firstLineChars="200"/>
        <w:rPr>
          <w:rFonts w:ascii="仿宋_GB2312" w:eastAsia="仿宋_GB2312" w:hAnsiTheme="minorEastAsia"/>
          <w:color w:val="auto"/>
          <w:sz w:val="32"/>
          <w:szCs w:val="32"/>
        </w:rPr>
      </w:pPr>
    </w:p>
    <w:p>
      <w:pPr>
        <w:spacing w:line="540" w:lineRule="exact"/>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 xml:space="preserve">                   </w:t>
      </w:r>
      <w:r>
        <w:rPr>
          <w:rFonts w:hint="eastAsia" w:ascii="仿宋_GB2312" w:eastAsia="仿宋_GB2312" w:cs="Times New Roman" w:hAnsiTheme="minorEastAsia"/>
          <w:color w:val="auto"/>
          <w:sz w:val="32"/>
          <w:szCs w:val="32"/>
          <w:u w:color="000000"/>
          <w:lang w:val="en-US" w:eastAsia="zh-CN"/>
        </w:rPr>
        <w:t xml:space="preserve">           2021年9月30</w:t>
      </w:r>
      <w:bookmarkStart w:id="75" w:name="_GoBack"/>
      <w:bookmarkEnd w:id="75"/>
      <w:r>
        <w:rPr>
          <w:rFonts w:hint="eastAsia" w:ascii="仿宋_GB2312" w:eastAsia="仿宋_GB2312" w:cs="Times New Roman" w:hAnsiTheme="minorEastAsia"/>
          <w:color w:val="auto"/>
          <w:sz w:val="32"/>
          <w:szCs w:val="32"/>
          <w:u w:color="000000"/>
          <w:lang w:val="en-US" w:eastAsia="zh-CN"/>
        </w:rPr>
        <w:t>日</w:t>
      </w:r>
      <w:bookmarkEnd w:id="73"/>
    </w:p>
    <w:sectPr>
      <w:footerReference r:id="rId7" w:type="default"/>
      <w:pgSz w:w="11906" w:h="16838"/>
      <w:pgMar w:top="1440" w:right="1797" w:bottom="1191" w:left="1797" w:header="709" w:footer="567" w:gutter="0"/>
      <w:pgBorders>
        <w:top w:val="none" w:sz="0" w:space="0"/>
        <w:left w:val="none" w:sz="0" w:space="0"/>
        <w:bottom w:val="none" w:sz="0" w:space="0"/>
        <w:right w:val="none" w:sz="0" w:space="0"/>
      </w:pgBorders>
      <w:pgNumType w:fmt="decimal"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DengXian-Regular">
    <w:altName w:val="宋体"/>
    <w:panose1 w:val="00000000000000000000"/>
    <w:charset w:val="86"/>
    <w:family w:val="auto"/>
    <w:pitch w:val="default"/>
    <w:sig w:usb0="00000000" w:usb1="00000000" w:usb2="00000010" w:usb3="00000000" w:csb0="00040001" w:csb1="00000000"/>
  </w:font>
  <w:font w:name="等线">
    <w:altName w:val="Arial Unicode MS"/>
    <w:panose1 w:val="02010600030101010101"/>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none" w:color="622423" w:sz="0" w:space="1"/>
        <w:left w:val="none" w:color="auto" w:sz="0" w:space="4"/>
        <w:bottom w:val="none" w:color="auto" w:sz="0" w:space="1"/>
        <w:right w:val="none" w:color="auto" w:sz="0" w:space="4"/>
        <w:between w:val="none" w:color="auto" w:sz="0" w:space="0"/>
      </w:pBdr>
      <w:tabs>
        <w:tab w:val="right" w:pos="9070"/>
        <w:tab w:val="clear" w:pos="4153"/>
        <w:tab w:val="clear" w:pos="8306"/>
      </w:tabs>
      <w:adjustRightInd w:val="0"/>
      <w:snapToGrid w:val="0"/>
      <w:spacing w:after="200"/>
    </w:pPr>
    <w:r>
      <w:rPr>
        <w:rFonts w:ascii="Cambria" w:hAnsi="Cambria"/>
        <w:vanish/>
      </w:rPr>
      <w:t>&lt;&gt;</w:t>
    </w:r>
    <w:r>
      <w:rPr>
        <w:rFonts w:ascii="Cambria" w:hAnsi="Cambria"/>
        <w:lang w:val="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none" w:color="622423" w:sz="0" w:space="1"/>
        <w:left w:val="none" w:color="auto" w:sz="0" w:space="4"/>
        <w:bottom w:val="none" w:color="auto" w:sz="0" w:space="1"/>
        <w:right w:val="none" w:color="auto" w:sz="0" w:space="4"/>
        <w:between w:val="none" w:color="auto" w:sz="0" w:space="0"/>
      </w:pBdr>
      <w:tabs>
        <w:tab w:val="right" w:pos="9070"/>
        <w:tab w:val="clear" w:pos="4153"/>
        <w:tab w:val="clear" w:pos="8306"/>
      </w:tabs>
      <w:adjustRightInd w:val="0"/>
      <w:snapToGrid w:val="0"/>
      <w:spacing w:after="200"/>
    </w:pPr>
    <w:r>
      <w:rPr>
        <w:rFonts w:ascii="Cambria" w:hAnsi="Cambria"/>
        <w:vanish/>
      </w:rPr>
      <w:t>&lt;&gt;</w:t>
    </w:r>
    <w:r>
      <w:rPr>
        <w:rFonts w:ascii="Cambria" w:hAnsi="Cambria"/>
        <w:lang w:val="zh-CN"/>
      </w:rPr>
      <w:tab/>
    </w:r>
    <w:r>
      <w:rPr>
        <w:rFonts w:ascii="Cambria" w:hAnsi="Cambria"/>
        <w:lang w:val="zh-C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none" w:color="622423" w:sz="0" w:space="1"/>
        <w:left w:val="none" w:color="auto" w:sz="0" w:space="4"/>
        <w:bottom w:val="none" w:color="auto" w:sz="0" w:space="1"/>
        <w:right w:val="none" w:color="auto" w:sz="0" w:space="4"/>
        <w:between w:val="none" w:color="auto" w:sz="0" w:space="0"/>
      </w:pBdr>
      <w:tabs>
        <w:tab w:val="right" w:pos="9070"/>
        <w:tab w:val="clear" w:pos="4153"/>
        <w:tab w:val="clear" w:pos="8306"/>
      </w:tabs>
      <w:adjustRightInd w:val="0"/>
      <w:snapToGrid w:val="0"/>
      <w:spacing w:after="200"/>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Cambria" w:hAnsi="Cambria"/>
      </w:rPr>
      <w:t xml:space="preserve"> </w:t>
    </w:r>
    <w:r>
      <w:rPr>
        <w:rFonts w:ascii="Cambria" w:hAnsi="Cambria"/>
        <w:vanish/>
      </w:rPr>
      <w:t>&lt;&gt;</w:t>
    </w:r>
    <w:r>
      <w:rPr>
        <w:rFonts w:ascii="Cambria" w:hAnsi="Cambria"/>
        <w:lang w:val="zh-CN"/>
      </w:rPr>
      <w:tab/>
    </w:r>
    <w:r>
      <w:rPr>
        <w:rFonts w:ascii="Cambria" w:hAnsi="Cambria"/>
        <w:lang w:val="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hideSpellingErrors/>
  <w:hideGrammaticalErrors/>
  <w:documentProtection w:enforcement="0"/>
  <w:defaultTabStop w:val="720"/>
  <w:noPunctuationKerning w:val="1"/>
  <w:characterSpacingControl w:val="doNotCompress"/>
  <w:hdrShapeDefaults>
    <o:shapelayout v:ext="edit">
      <o:idmap v:ext="edit" data="3,4"/>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2ZWE1ZDIzOTU4YTFkY2Y0Njc0MDkzZDE4Zjk0MTAifQ=="/>
  </w:docVars>
  <w:rsids>
    <w:rsidRoot w:val="00D31D50"/>
    <w:rsid w:val="00004179"/>
    <w:rsid w:val="0000439F"/>
    <w:rsid w:val="00007CA0"/>
    <w:rsid w:val="00015C39"/>
    <w:rsid w:val="0002415F"/>
    <w:rsid w:val="00025620"/>
    <w:rsid w:val="0002705B"/>
    <w:rsid w:val="000317D7"/>
    <w:rsid w:val="00032B03"/>
    <w:rsid w:val="000334C2"/>
    <w:rsid w:val="0003450B"/>
    <w:rsid w:val="0003465E"/>
    <w:rsid w:val="00034910"/>
    <w:rsid w:val="0003506D"/>
    <w:rsid w:val="000409C0"/>
    <w:rsid w:val="0004123E"/>
    <w:rsid w:val="00044599"/>
    <w:rsid w:val="000446E5"/>
    <w:rsid w:val="00047D7B"/>
    <w:rsid w:val="000509B6"/>
    <w:rsid w:val="00050A62"/>
    <w:rsid w:val="000516BA"/>
    <w:rsid w:val="00051DBC"/>
    <w:rsid w:val="00052010"/>
    <w:rsid w:val="00061096"/>
    <w:rsid w:val="000612A2"/>
    <w:rsid w:val="00063117"/>
    <w:rsid w:val="00072BF5"/>
    <w:rsid w:val="000752C6"/>
    <w:rsid w:val="00075B78"/>
    <w:rsid w:val="00077648"/>
    <w:rsid w:val="00080E48"/>
    <w:rsid w:val="00091D50"/>
    <w:rsid w:val="000935D5"/>
    <w:rsid w:val="0009618D"/>
    <w:rsid w:val="00096195"/>
    <w:rsid w:val="0009756F"/>
    <w:rsid w:val="000A1F67"/>
    <w:rsid w:val="000A2079"/>
    <w:rsid w:val="000A5467"/>
    <w:rsid w:val="000B09F3"/>
    <w:rsid w:val="000B0C4A"/>
    <w:rsid w:val="000B23E8"/>
    <w:rsid w:val="000B62FE"/>
    <w:rsid w:val="000B72BC"/>
    <w:rsid w:val="000B78D7"/>
    <w:rsid w:val="000C1EA5"/>
    <w:rsid w:val="000C52FB"/>
    <w:rsid w:val="000C55E6"/>
    <w:rsid w:val="000C6D5A"/>
    <w:rsid w:val="000D09B2"/>
    <w:rsid w:val="000D7C38"/>
    <w:rsid w:val="000E0902"/>
    <w:rsid w:val="000E3830"/>
    <w:rsid w:val="000F070B"/>
    <w:rsid w:val="000F3158"/>
    <w:rsid w:val="000F364D"/>
    <w:rsid w:val="000F4432"/>
    <w:rsid w:val="000F465E"/>
    <w:rsid w:val="000F5E8C"/>
    <w:rsid w:val="001000B2"/>
    <w:rsid w:val="00104C6C"/>
    <w:rsid w:val="0010560E"/>
    <w:rsid w:val="0010612A"/>
    <w:rsid w:val="00106FF7"/>
    <w:rsid w:val="00107111"/>
    <w:rsid w:val="001073D6"/>
    <w:rsid w:val="00107819"/>
    <w:rsid w:val="0011574B"/>
    <w:rsid w:val="00116132"/>
    <w:rsid w:val="00117B9C"/>
    <w:rsid w:val="00117E7D"/>
    <w:rsid w:val="00120EA6"/>
    <w:rsid w:val="00122196"/>
    <w:rsid w:val="0012439D"/>
    <w:rsid w:val="0012587C"/>
    <w:rsid w:val="0013591D"/>
    <w:rsid w:val="00141DE8"/>
    <w:rsid w:val="00144105"/>
    <w:rsid w:val="00145B4E"/>
    <w:rsid w:val="001544E1"/>
    <w:rsid w:val="001551CE"/>
    <w:rsid w:val="00164732"/>
    <w:rsid w:val="00164FE1"/>
    <w:rsid w:val="001703D7"/>
    <w:rsid w:val="001719D0"/>
    <w:rsid w:val="00172245"/>
    <w:rsid w:val="0017403C"/>
    <w:rsid w:val="00174241"/>
    <w:rsid w:val="00176E7D"/>
    <w:rsid w:val="001804B7"/>
    <w:rsid w:val="001827F5"/>
    <w:rsid w:val="00183C43"/>
    <w:rsid w:val="00185652"/>
    <w:rsid w:val="00187750"/>
    <w:rsid w:val="00190292"/>
    <w:rsid w:val="001926B8"/>
    <w:rsid w:val="0019341A"/>
    <w:rsid w:val="001952EC"/>
    <w:rsid w:val="001A0F7A"/>
    <w:rsid w:val="001A1677"/>
    <w:rsid w:val="001A5FD3"/>
    <w:rsid w:val="001B0380"/>
    <w:rsid w:val="001B04A4"/>
    <w:rsid w:val="001B30D5"/>
    <w:rsid w:val="001B382A"/>
    <w:rsid w:val="001B5C88"/>
    <w:rsid w:val="001B6CE6"/>
    <w:rsid w:val="001C046D"/>
    <w:rsid w:val="001C1412"/>
    <w:rsid w:val="001C391F"/>
    <w:rsid w:val="001C5135"/>
    <w:rsid w:val="001C796E"/>
    <w:rsid w:val="001D1367"/>
    <w:rsid w:val="001D5041"/>
    <w:rsid w:val="001D5A7C"/>
    <w:rsid w:val="001D76AA"/>
    <w:rsid w:val="001E21EA"/>
    <w:rsid w:val="001E288A"/>
    <w:rsid w:val="001E3ABB"/>
    <w:rsid w:val="001E4C24"/>
    <w:rsid w:val="001E5C43"/>
    <w:rsid w:val="001F07B6"/>
    <w:rsid w:val="001F0B92"/>
    <w:rsid w:val="001F1094"/>
    <w:rsid w:val="001F2F0E"/>
    <w:rsid w:val="001F33AA"/>
    <w:rsid w:val="001F6236"/>
    <w:rsid w:val="00200051"/>
    <w:rsid w:val="00202D5A"/>
    <w:rsid w:val="00205F02"/>
    <w:rsid w:val="0021307B"/>
    <w:rsid w:val="002142B8"/>
    <w:rsid w:val="002161F4"/>
    <w:rsid w:val="00216E75"/>
    <w:rsid w:val="00221907"/>
    <w:rsid w:val="00222FA8"/>
    <w:rsid w:val="0022532A"/>
    <w:rsid w:val="00227AFB"/>
    <w:rsid w:val="00235741"/>
    <w:rsid w:val="00236B18"/>
    <w:rsid w:val="002401EA"/>
    <w:rsid w:val="00241B9D"/>
    <w:rsid w:val="002439D4"/>
    <w:rsid w:val="00246A44"/>
    <w:rsid w:val="00250BAC"/>
    <w:rsid w:val="00260245"/>
    <w:rsid w:val="0026252A"/>
    <w:rsid w:val="00262BB1"/>
    <w:rsid w:val="00263D3A"/>
    <w:rsid w:val="002643BE"/>
    <w:rsid w:val="00265325"/>
    <w:rsid w:val="00266E84"/>
    <w:rsid w:val="002715FC"/>
    <w:rsid w:val="002736FD"/>
    <w:rsid w:val="00274CFA"/>
    <w:rsid w:val="00275677"/>
    <w:rsid w:val="00275A3F"/>
    <w:rsid w:val="0028068C"/>
    <w:rsid w:val="00282A89"/>
    <w:rsid w:val="00283F8F"/>
    <w:rsid w:val="002869F9"/>
    <w:rsid w:val="00292F98"/>
    <w:rsid w:val="002939A0"/>
    <w:rsid w:val="002959A3"/>
    <w:rsid w:val="0029626E"/>
    <w:rsid w:val="00296E59"/>
    <w:rsid w:val="00297CEF"/>
    <w:rsid w:val="002A0364"/>
    <w:rsid w:val="002A1661"/>
    <w:rsid w:val="002A1A25"/>
    <w:rsid w:val="002A563C"/>
    <w:rsid w:val="002B05EF"/>
    <w:rsid w:val="002B2E34"/>
    <w:rsid w:val="002B76FA"/>
    <w:rsid w:val="002C029E"/>
    <w:rsid w:val="002C2C71"/>
    <w:rsid w:val="002C5A65"/>
    <w:rsid w:val="002C71F3"/>
    <w:rsid w:val="002D2112"/>
    <w:rsid w:val="002D53D7"/>
    <w:rsid w:val="002D5508"/>
    <w:rsid w:val="002D5FC1"/>
    <w:rsid w:val="002D7AB3"/>
    <w:rsid w:val="002E1D3C"/>
    <w:rsid w:val="002E1F73"/>
    <w:rsid w:val="002E269D"/>
    <w:rsid w:val="002E3460"/>
    <w:rsid w:val="002E70AE"/>
    <w:rsid w:val="002F0C41"/>
    <w:rsid w:val="002F5B6A"/>
    <w:rsid w:val="002F5ECA"/>
    <w:rsid w:val="00306572"/>
    <w:rsid w:val="003079C7"/>
    <w:rsid w:val="003169F3"/>
    <w:rsid w:val="0032078D"/>
    <w:rsid w:val="00321CE0"/>
    <w:rsid w:val="0032231F"/>
    <w:rsid w:val="00323B43"/>
    <w:rsid w:val="00325BCC"/>
    <w:rsid w:val="003309A3"/>
    <w:rsid w:val="003345BC"/>
    <w:rsid w:val="00343662"/>
    <w:rsid w:val="0035365E"/>
    <w:rsid w:val="00355403"/>
    <w:rsid w:val="003569A8"/>
    <w:rsid w:val="00361FFF"/>
    <w:rsid w:val="00362340"/>
    <w:rsid w:val="003653A5"/>
    <w:rsid w:val="00366971"/>
    <w:rsid w:val="00367DF7"/>
    <w:rsid w:val="00370AFA"/>
    <w:rsid w:val="0037120F"/>
    <w:rsid w:val="0037242E"/>
    <w:rsid w:val="003743E9"/>
    <w:rsid w:val="0038005F"/>
    <w:rsid w:val="003803CC"/>
    <w:rsid w:val="00382949"/>
    <w:rsid w:val="00391AE3"/>
    <w:rsid w:val="00396D4C"/>
    <w:rsid w:val="003A02BE"/>
    <w:rsid w:val="003A1765"/>
    <w:rsid w:val="003A3C32"/>
    <w:rsid w:val="003A4D52"/>
    <w:rsid w:val="003A536E"/>
    <w:rsid w:val="003B6DEC"/>
    <w:rsid w:val="003B79D3"/>
    <w:rsid w:val="003C2B92"/>
    <w:rsid w:val="003D1D33"/>
    <w:rsid w:val="003D22C9"/>
    <w:rsid w:val="003D28AC"/>
    <w:rsid w:val="003D37D8"/>
    <w:rsid w:val="003D7B2A"/>
    <w:rsid w:val="003E266C"/>
    <w:rsid w:val="003E3C05"/>
    <w:rsid w:val="003F282F"/>
    <w:rsid w:val="00400E89"/>
    <w:rsid w:val="00401AB4"/>
    <w:rsid w:val="00402CA2"/>
    <w:rsid w:val="00402D95"/>
    <w:rsid w:val="00403ADD"/>
    <w:rsid w:val="00407629"/>
    <w:rsid w:val="004108EE"/>
    <w:rsid w:val="00410F1A"/>
    <w:rsid w:val="00412A31"/>
    <w:rsid w:val="004200B9"/>
    <w:rsid w:val="00426133"/>
    <w:rsid w:val="004300B1"/>
    <w:rsid w:val="00430AF8"/>
    <w:rsid w:val="0043148F"/>
    <w:rsid w:val="0043354D"/>
    <w:rsid w:val="00434EB0"/>
    <w:rsid w:val="004358AB"/>
    <w:rsid w:val="00435DA7"/>
    <w:rsid w:val="004370A2"/>
    <w:rsid w:val="00445C28"/>
    <w:rsid w:val="004468B5"/>
    <w:rsid w:val="00451E9F"/>
    <w:rsid w:val="004551F1"/>
    <w:rsid w:val="00456648"/>
    <w:rsid w:val="00457E00"/>
    <w:rsid w:val="00461E7C"/>
    <w:rsid w:val="004639E0"/>
    <w:rsid w:val="00463A6D"/>
    <w:rsid w:val="00465A21"/>
    <w:rsid w:val="0047047F"/>
    <w:rsid w:val="00472C49"/>
    <w:rsid w:val="00474DE3"/>
    <w:rsid w:val="00477959"/>
    <w:rsid w:val="00486217"/>
    <w:rsid w:val="00494D73"/>
    <w:rsid w:val="004A19C4"/>
    <w:rsid w:val="004A6EA4"/>
    <w:rsid w:val="004B146A"/>
    <w:rsid w:val="004B1E69"/>
    <w:rsid w:val="004B4146"/>
    <w:rsid w:val="004B5892"/>
    <w:rsid w:val="004B59DD"/>
    <w:rsid w:val="004B5E88"/>
    <w:rsid w:val="004B5EDE"/>
    <w:rsid w:val="004C0341"/>
    <w:rsid w:val="004C46D3"/>
    <w:rsid w:val="004C5D39"/>
    <w:rsid w:val="004C7656"/>
    <w:rsid w:val="004C7C48"/>
    <w:rsid w:val="004D21B9"/>
    <w:rsid w:val="004D21FF"/>
    <w:rsid w:val="004D2DD5"/>
    <w:rsid w:val="004D41F0"/>
    <w:rsid w:val="004D55F1"/>
    <w:rsid w:val="004D578A"/>
    <w:rsid w:val="004D656B"/>
    <w:rsid w:val="004D7523"/>
    <w:rsid w:val="004E0AA9"/>
    <w:rsid w:val="004E1AEF"/>
    <w:rsid w:val="004E3774"/>
    <w:rsid w:val="004E446B"/>
    <w:rsid w:val="004E5448"/>
    <w:rsid w:val="004E5DFC"/>
    <w:rsid w:val="004E642E"/>
    <w:rsid w:val="004E7ADC"/>
    <w:rsid w:val="004F4875"/>
    <w:rsid w:val="005031BA"/>
    <w:rsid w:val="00507211"/>
    <w:rsid w:val="00507934"/>
    <w:rsid w:val="0051171B"/>
    <w:rsid w:val="00512D1D"/>
    <w:rsid w:val="005131A5"/>
    <w:rsid w:val="00515160"/>
    <w:rsid w:val="00516D5A"/>
    <w:rsid w:val="005170FB"/>
    <w:rsid w:val="0052300D"/>
    <w:rsid w:val="00523B77"/>
    <w:rsid w:val="0052474C"/>
    <w:rsid w:val="00525074"/>
    <w:rsid w:val="00525520"/>
    <w:rsid w:val="005319EE"/>
    <w:rsid w:val="00531BE2"/>
    <w:rsid w:val="005421AC"/>
    <w:rsid w:val="00544C1A"/>
    <w:rsid w:val="00546D1B"/>
    <w:rsid w:val="0055027D"/>
    <w:rsid w:val="00554FA1"/>
    <w:rsid w:val="00556934"/>
    <w:rsid w:val="005607DF"/>
    <w:rsid w:val="00564377"/>
    <w:rsid w:val="00564538"/>
    <w:rsid w:val="00566A89"/>
    <w:rsid w:val="00567E07"/>
    <w:rsid w:val="005771F7"/>
    <w:rsid w:val="00577B7B"/>
    <w:rsid w:val="00583F7F"/>
    <w:rsid w:val="0058600B"/>
    <w:rsid w:val="00587913"/>
    <w:rsid w:val="00593428"/>
    <w:rsid w:val="00593B65"/>
    <w:rsid w:val="005A15D6"/>
    <w:rsid w:val="005A1FD8"/>
    <w:rsid w:val="005A317D"/>
    <w:rsid w:val="005A79F9"/>
    <w:rsid w:val="005C3594"/>
    <w:rsid w:val="005C46B7"/>
    <w:rsid w:val="005C7C8B"/>
    <w:rsid w:val="005D5617"/>
    <w:rsid w:val="005D6591"/>
    <w:rsid w:val="005D6869"/>
    <w:rsid w:val="005D7446"/>
    <w:rsid w:val="005E5F88"/>
    <w:rsid w:val="005F06F5"/>
    <w:rsid w:val="005F46C0"/>
    <w:rsid w:val="005F471D"/>
    <w:rsid w:val="005F720A"/>
    <w:rsid w:val="005F7467"/>
    <w:rsid w:val="005F78E7"/>
    <w:rsid w:val="006007F3"/>
    <w:rsid w:val="0060402C"/>
    <w:rsid w:val="0061252A"/>
    <w:rsid w:val="006135B3"/>
    <w:rsid w:val="006138D4"/>
    <w:rsid w:val="00616C03"/>
    <w:rsid w:val="00616F30"/>
    <w:rsid w:val="006215A2"/>
    <w:rsid w:val="00621F7D"/>
    <w:rsid w:val="00622AD1"/>
    <w:rsid w:val="00623267"/>
    <w:rsid w:val="00625428"/>
    <w:rsid w:val="0062670B"/>
    <w:rsid w:val="00630B86"/>
    <w:rsid w:val="00630F5B"/>
    <w:rsid w:val="00634C66"/>
    <w:rsid w:val="006352D1"/>
    <w:rsid w:val="00636E1A"/>
    <w:rsid w:val="00642BA5"/>
    <w:rsid w:val="006434E0"/>
    <w:rsid w:val="00650C90"/>
    <w:rsid w:val="0065172D"/>
    <w:rsid w:val="0065287D"/>
    <w:rsid w:val="0065671B"/>
    <w:rsid w:val="00656A5A"/>
    <w:rsid w:val="00663A42"/>
    <w:rsid w:val="0066418E"/>
    <w:rsid w:val="0066469F"/>
    <w:rsid w:val="0067780F"/>
    <w:rsid w:val="00686C30"/>
    <w:rsid w:val="00690FA3"/>
    <w:rsid w:val="0069331D"/>
    <w:rsid w:val="00696DF8"/>
    <w:rsid w:val="0069783E"/>
    <w:rsid w:val="00697E26"/>
    <w:rsid w:val="006A0330"/>
    <w:rsid w:val="006A3AE1"/>
    <w:rsid w:val="006A3B57"/>
    <w:rsid w:val="006A6AB2"/>
    <w:rsid w:val="006B117D"/>
    <w:rsid w:val="006B19B7"/>
    <w:rsid w:val="006B392C"/>
    <w:rsid w:val="006B4CC0"/>
    <w:rsid w:val="006B65B0"/>
    <w:rsid w:val="006C5198"/>
    <w:rsid w:val="006C6A07"/>
    <w:rsid w:val="006E0A3D"/>
    <w:rsid w:val="006E27F1"/>
    <w:rsid w:val="006E5BC8"/>
    <w:rsid w:val="006E7CBA"/>
    <w:rsid w:val="006F222F"/>
    <w:rsid w:val="006F7B69"/>
    <w:rsid w:val="0070241F"/>
    <w:rsid w:val="007024A9"/>
    <w:rsid w:val="00703C96"/>
    <w:rsid w:val="007130D7"/>
    <w:rsid w:val="00713E98"/>
    <w:rsid w:val="00715591"/>
    <w:rsid w:val="00715AE8"/>
    <w:rsid w:val="0072516F"/>
    <w:rsid w:val="0073034D"/>
    <w:rsid w:val="00731ADC"/>
    <w:rsid w:val="007330F2"/>
    <w:rsid w:val="00733DB0"/>
    <w:rsid w:val="00735043"/>
    <w:rsid w:val="00740444"/>
    <w:rsid w:val="00744577"/>
    <w:rsid w:val="007452CF"/>
    <w:rsid w:val="00746055"/>
    <w:rsid w:val="00746DA9"/>
    <w:rsid w:val="00747086"/>
    <w:rsid w:val="007515E2"/>
    <w:rsid w:val="00756D66"/>
    <w:rsid w:val="00761D80"/>
    <w:rsid w:val="0076364A"/>
    <w:rsid w:val="00766FC5"/>
    <w:rsid w:val="00770E5B"/>
    <w:rsid w:val="00772930"/>
    <w:rsid w:val="00776E20"/>
    <w:rsid w:val="007814AF"/>
    <w:rsid w:val="007825F0"/>
    <w:rsid w:val="00787F88"/>
    <w:rsid w:val="0079721A"/>
    <w:rsid w:val="007A095C"/>
    <w:rsid w:val="007A0AF8"/>
    <w:rsid w:val="007A283A"/>
    <w:rsid w:val="007A65C8"/>
    <w:rsid w:val="007A6B16"/>
    <w:rsid w:val="007A7AC4"/>
    <w:rsid w:val="007B639C"/>
    <w:rsid w:val="007B7036"/>
    <w:rsid w:val="007C0870"/>
    <w:rsid w:val="007C457D"/>
    <w:rsid w:val="007D02A9"/>
    <w:rsid w:val="007D166D"/>
    <w:rsid w:val="007D17C7"/>
    <w:rsid w:val="007D2766"/>
    <w:rsid w:val="007D2FF7"/>
    <w:rsid w:val="007D74D8"/>
    <w:rsid w:val="007E13A4"/>
    <w:rsid w:val="007E20CA"/>
    <w:rsid w:val="007E3988"/>
    <w:rsid w:val="007E4698"/>
    <w:rsid w:val="007E6959"/>
    <w:rsid w:val="007E6991"/>
    <w:rsid w:val="007E7A36"/>
    <w:rsid w:val="007F222D"/>
    <w:rsid w:val="007F3FB7"/>
    <w:rsid w:val="007F518D"/>
    <w:rsid w:val="007F68FE"/>
    <w:rsid w:val="007F7E7E"/>
    <w:rsid w:val="00803C29"/>
    <w:rsid w:val="00804E5E"/>
    <w:rsid w:val="00804FAA"/>
    <w:rsid w:val="00805678"/>
    <w:rsid w:val="00805D26"/>
    <w:rsid w:val="0081553D"/>
    <w:rsid w:val="00815BE9"/>
    <w:rsid w:val="00815C94"/>
    <w:rsid w:val="00815CF6"/>
    <w:rsid w:val="00816990"/>
    <w:rsid w:val="00817981"/>
    <w:rsid w:val="00822851"/>
    <w:rsid w:val="0082509A"/>
    <w:rsid w:val="00825A51"/>
    <w:rsid w:val="00825D53"/>
    <w:rsid w:val="008272DF"/>
    <w:rsid w:val="00831065"/>
    <w:rsid w:val="008337A7"/>
    <w:rsid w:val="00835BCB"/>
    <w:rsid w:val="00836773"/>
    <w:rsid w:val="00836E6A"/>
    <w:rsid w:val="008410D0"/>
    <w:rsid w:val="00841559"/>
    <w:rsid w:val="0084558B"/>
    <w:rsid w:val="00845924"/>
    <w:rsid w:val="00846107"/>
    <w:rsid w:val="00847E07"/>
    <w:rsid w:val="00851297"/>
    <w:rsid w:val="00853737"/>
    <w:rsid w:val="008541B8"/>
    <w:rsid w:val="00857249"/>
    <w:rsid w:val="00861067"/>
    <w:rsid w:val="00862AE2"/>
    <w:rsid w:val="00862C25"/>
    <w:rsid w:val="00863CA2"/>
    <w:rsid w:val="00864A80"/>
    <w:rsid w:val="008655ED"/>
    <w:rsid w:val="00866942"/>
    <w:rsid w:val="00871B0D"/>
    <w:rsid w:val="00871B14"/>
    <w:rsid w:val="008735A1"/>
    <w:rsid w:val="00875962"/>
    <w:rsid w:val="00880325"/>
    <w:rsid w:val="00882ABD"/>
    <w:rsid w:val="008844A4"/>
    <w:rsid w:val="008857CC"/>
    <w:rsid w:val="0089314F"/>
    <w:rsid w:val="0089328E"/>
    <w:rsid w:val="0089513A"/>
    <w:rsid w:val="00896069"/>
    <w:rsid w:val="00896786"/>
    <w:rsid w:val="008976AB"/>
    <w:rsid w:val="008A2C15"/>
    <w:rsid w:val="008A3DBA"/>
    <w:rsid w:val="008A483E"/>
    <w:rsid w:val="008A5601"/>
    <w:rsid w:val="008B7726"/>
    <w:rsid w:val="008C08EC"/>
    <w:rsid w:val="008C2997"/>
    <w:rsid w:val="008C443B"/>
    <w:rsid w:val="008C538A"/>
    <w:rsid w:val="008D0618"/>
    <w:rsid w:val="008D1AEB"/>
    <w:rsid w:val="008D1E23"/>
    <w:rsid w:val="008D2A7C"/>
    <w:rsid w:val="008D3031"/>
    <w:rsid w:val="008D4F00"/>
    <w:rsid w:val="008D7DBC"/>
    <w:rsid w:val="008E08B2"/>
    <w:rsid w:val="008E0AFC"/>
    <w:rsid w:val="008E1E43"/>
    <w:rsid w:val="008E3116"/>
    <w:rsid w:val="008E637F"/>
    <w:rsid w:val="008E66FE"/>
    <w:rsid w:val="008F27DB"/>
    <w:rsid w:val="008F5B6F"/>
    <w:rsid w:val="009002A3"/>
    <w:rsid w:val="0090038C"/>
    <w:rsid w:val="009007EC"/>
    <w:rsid w:val="00900EF5"/>
    <w:rsid w:val="00901EE5"/>
    <w:rsid w:val="0090421D"/>
    <w:rsid w:val="00906447"/>
    <w:rsid w:val="0091349D"/>
    <w:rsid w:val="009141C7"/>
    <w:rsid w:val="009160EA"/>
    <w:rsid w:val="00920597"/>
    <w:rsid w:val="00921E42"/>
    <w:rsid w:val="0092425B"/>
    <w:rsid w:val="00924D39"/>
    <w:rsid w:val="00924FFE"/>
    <w:rsid w:val="009263C3"/>
    <w:rsid w:val="009268AB"/>
    <w:rsid w:val="009364FF"/>
    <w:rsid w:val="00942397"/>
    <w:rsid w:val="009425B4"/>
    <w:rsid w:val="00946F52"/>
    <w:rsid w:val="00950F44"/>
    <w:rsid w:val="00952A7D"/>
    <w:rsid w:val="00952BF8"/>
    <w:rsid w:val="00953747"/>
    <w:rsid w:val="0095565A"/>
    <w:rsid w:val="00955918"/>
    <w:rsid w:val="00960439"/>
    <w:rsid w:val="00962D93"/>
    <w:rsid w:val="009636EF"/>
    <w:rsid w:val="0096408D"/>
    <w:rsid w:val="009651A8"/>
    <w:rsid w:val="009657E9"/>
    <w:rsid w:val="0096666B"/>
    <w:rsid w:val="009719C3"/>
    <w:rsid w:val="0097578E"/>
    <w:rsid w:val="00976E55"/>
    <w:rsid w:val="009814B0"/>
    <w:rsid w:val="00984D41"/>
    <w:rsid w:val="009852BB"/>
    <w:rsid w:val="009853C4"/>
    <w:rsid w:val="0098547C"/>
    <w:rsid w:val="009860B4"/>
    <w:rsid w:val="00986724"/>
    <w:rsid w:val="0098718E"/>
    <w:rsid w:val="00994269"/>
    <w:rsid w:val="0099439A"/>
    <w:rsid w:val="009A0F00"/>
    <w:rsid w:val="009A37AE"/>
    <w:rsid w:val="009A4059"/>
    <w:rsid w:val="009A47EF"/>
    <w:rsid w:val="009B1979"/>
    <w:rsid w:val="009B1E1B"/>
    <w:rsid w:val="009B2CC0"/>
    <w:rsid w:val="009B4C38"/>
    <w:rsid w:val="009C0DAB"/>
    <w:rsid w:val="009C1E20"/>
    <w:rsid w:val="009D0378"/>
    <w:rsid w:val="009D0F18"/>
    <w:rsid w:val="009D1EFB"/>
    <w:rsid w:val="009D5964"/>
    <w:rsid w:val="009D6A0C"/>
    <w:rsid w:val="009E0725"/>
    <w:rsid w:val="009E1492"/>
    <w:rsid w:val="009E4B3F"/>
    <w:rsid w:val="009E5877"/>
    <w:rsid w:val="009F69B0"/>
    <w:rsid w:val="00A0310D"/>
    <w:rsid w:val="00A073F4"/>
    <w:rsid w:val="00A07BBE"/>
    <w:rsid w:val="00A16439"/>
    <w:rsid w:val="00A21057"/>
    <w:rsid w:val="00A217CE"/>
    <w:rsid w:val="00A21E86"/>
    <w:rsid w:val="00A22DFB"/>
    <w:rsid w:val="00A305E3"/>
    <w:rsid w:val="00A353F1"/>
    <w:rsid w:val="00A357B0"/>
    <w:rsid w:val="00A35B22"/>
    <w:rsid w:val="00A42B99"/>
    <w:rsid w:val="00A479B6"/>
    <w:rsid w:val="00A50D3C"/>
    <w:rsid w:val="00A532E3"/>
    <w:rsid w:val="00A54D9C"/>
    <w:rsid w:val="00A57200"/>
    <w:rsid w:val="00A57865"/>
    <w:rsid w:val="00A62B31"/>
    <w:rsid w:val="00A64850"/>
    <w:rsid w:val="00A65003"/>
    <w:rsid w:val="00A65202"/>
    <w:rsid w:val="00A73299"/>
    <w:rsid w:val="00A7536B"/>
    <w:rsid w:val="00A80356"/>
    <w:rsid w:val="00A816B6"/>
    <w:rsid w:val="00A82D81"/>
    <w:rsid w:val="00A96E79"/>
    <w:rsid w:val="00AA2033"/>
    <w:rsid w:val="00AA4A07"/>
    <w:rsid w:val="00AA6230"/>
    <w:rsid w:val="00AC5444"/>
    <w:rsid w:val="00AC70E1"/>
    <w:rsid w:val="00AD1D29"/>
    <w:rsid w:val="00AD328E"/>
    <w:rsid w:val="00AD5147"/>
    <w:rsid w:val="00AE0837"/>
    <w:rsid w:val="00AE11C8"/>
    <w:rsid w:val="00AE355C"/>
    <w:rsid w:val="00AE4EFC"/>
    <w:rsid w:val="00AE7127"/>
    <w:rsid w:val="00AF6BA2"/>
    <w:rsid w:val="00AF7801"/>
    <w:rsid w:val="00B019E2"/>
    <w:rsid w:val="00B020ED"/>
    <w:rsid w:val="00B036CB"/>
    <w:rsid w:val="00B130D5"/>
    <w:rsid w:val="00B13566"/>
    <w:rsid w:val="00B13A54"/>
    <w:rsid w:val="00B14220"/>
    <w:rsid w:val="00B16868"/>
    <w:rsid w:val="00B17251"/>
    <w:rsid w:val="00B2159A"/>
    <w:rsid w:val="00B21D32"/>
    <w:rsid w:val="00B313B2"/>
    <w:rsid w:val="00B34A43"/>
    <w:rsid w:val="00B36912"/>
    <w:rsid w:val="00B404A0"/>
    <w:rsid w:val="00B4256A"/>
    <w:rsid w:val="00B432AB"/>
    <w:rsid w:val="00B54D75"/>
    <w:rsid w:val="00B60C2A"/>
    <w:rsid w:val="00B65FC0"/>
    <w:rsid w:val="00B707DD"/>
    <w:rsid w:val="00B719F4"/>
    <w:rsid w:val="00B73995"/>
    <w:rsid w:val="00B74DBC"/>
    <w:rsid w:val="00B75E08"/>
    <w:rsid w:val="00B76684"/>
    <w:rsid w:val="00B7698F"/>
    <w:rsid w:val="00B85F5F"/>
    <w:rsid w:val="00B86395"/>
    <w:rsid w:val="00B86E2B"/>
    <w:rsid w:val="00B91DEC"/>
    <w:rsid w:val="00B92A56"/>
    <w:rsid w:val="00B931F8"/>
    <w:rsid w:val="00B95DB0"/>
    <w:rsid w:val="00B97741"/>
    <w:rsid w:val="00BA0721"/>
    <w:rsid w:val="00BA1883"/>
    <w:rsid w:val="00BA227D"/>
    <w:rsid w:val="00BA4C84"/>
    <w:rsid w:val="00BC09FC"/>
    <w:rsid w:val="00BC0DD5"/>
    <w:rsid w:val="00BC60E6"/>
    <w:rsid w:val="00BE66AA"/>
    <w:rsid w:val="00BE73B9"/>
    <w:rsid w:val="00BF444F"/>
    <w:rsid w:val="00BF77F5"/>
    <w:rsid w:val="00C01D8A"/>
    <w:rsid w:val="00C023EF"/>
    <w:rsid w:val="00C15415"/>
    <w:rsid w:val="00C16FE4"/>
    <w:rsid w:val="00C172EB"/>
    <w:rsid w:val="00C22F98"/>
    <w:rsid w:val="00C2363B"/>
    <w:rsid w:val="00C26560"/>
    <w:rsid w:val="00C3062F"/>
    <w:rsid w:val="00C32E7A"/>
    <w:rsid w:val="00C408D9"/>
    <w:rsid w:val="00C447FD"/>
    <w:rsid w:val="00C44B90"/>
    <w:rsid w:val="00C51434"/>
    <w:rsid w:val="00C51743"/>
    <w:rsid w:val="00C51A61"/>
    <w:rsid w:val="00C57393"/>
    <w:rsid w:val="00C64C71"/>
    <w:rsid w:val="00C6528B"/>
    <w:rsid w:val="00C661B3"/>
    <w:rsid w:val="00C70300"/>
    <w:rsid w:val="00C7037D"/>
    <w:rsid w:val="00C70637"/>
    <w:rsid w:val="00C71DC8"/>
    <w:rsid w:val="00C73E69"/>
    <w:rsid w:val="00C74592"/>
    <w:rsid w:val="00C767BA"/>
    <w:rsid w:val="00C8048C"/>
    <w:rsid w:val="00C80C68"/>
    <w:rsid w:val="00C86E9A"/>
    <w:rsid w:val="00C93A3D"/>
    <w:rsid w:val="00C94F0A"/>
    <w:rsid w:val="00CA3203"/>
    <w:rsid w:val="00CA6058"/>
    <w:rsid w:val="00CA6BD1"/>
    <w:rsid w:val="00CB1B1B"/>
    <w:rsid w:val="00CB3E03"/>
    <w:rsid w:val="00CB580D"/>
    <w:rsid w:val="00CB6098"/>
    <w:rsid w:val="00CB623E"/>
    <w:rsid w:val="00CC0BA5"/>
    <w:rsid w:val="00CC1F3E"/>
    <w:rsid w:val="00CC236E"/>
    <w:rsid w:val="00CC2B2A"/>
    <w:rsid w:val="00CC6216"/>
    <w:rsid w:val="00CC6A8D"/>
    <w:rsid w:val="00CC70FA"/>
    <w:rsid w:val="00CD37C3"/>
    <w:rsid w:val="00CD3911"/>
    <w:rsid w:val="00CD48EF"/>
    <w:rsid w:val="00CD4BA1"/>
    <w:rsid w:val="00CD59A6"/>
    <w:rsid w:val="00CE33C1"/>
    <w:rsid w:val="00CE3834"/>
    <w:rsid w:val="00CF148C"/>
    <w:rsid w:val="00CF48A3"/>
    <w:rsid w:val="00CF5081"/>
    <w:rsid w:val="00D058E4"/>
    <w:rsid w:val="00D07178"/>
    <w:rsid w:val="00D11C0B"/>
    <w:rsid w:val="00D11EE9"/>
    <w:rsid w:val="00D13F47"/>
    <w:rsid w:val="00D14E66"/>
    <w:rsid w:val="00D17631"/>
    <w:rsid w:val="00D17CD3"/>
    <w:rsid w:val="00D21B22"/>
    <w:rsid w:val="00D24AEB"/>
    <w:rsid w:val="00D27902"/>
    <w:rsid w:val="00D27984"/>
    <w:rsid w:val="00D31D50"/>
    <w:rsid w:val="00D323E9"/>
    <w:rsid w:val="00D34F5B"/>
    <w:rsid w:val="00D35023"/>
    <w:rsid w:val="00D403B8"/>
    <w:rsid w:val="00D45C1B"/>
    <w:rsid w:val="00D45E14"/>
    <w:rsid w:val="00D5318C"/>
    <w:rsid w:val="00D53371"/>
    <w:rsid w:val="00D53BD5"/>
    <w:rsid w:val="00D55621"/>
    <w:rsid w:val="00D6000E"/>
    <w:rsid w:val="00D713D6"/>
    <w:rsid w:val="00D72DAF"/>
    <w:rsid w:val="00D75BB9"/>
    <w:rsid w:val="00D76276"/>
    <w:rsid w:val="00D77919"/>
    <w:rsid w:val="00D8083C"/>
    <w:rsid w:val="00D85F8D"/>
    <w:rsid w:val="00D87F81"/>
    <w:rsid w:val="00D90E39"/>
    <w:rsid w:val="00D97E89"/>
    <w:rsid w:val="00DA45EE"/>
    <w:rsid w:val="00DB2F5B"/>
    <w:rsid w:val="00DB46CB"/>
    <w:rsid w:val="00DB695F"/>
    <w:rsid w:val="00DC03E7"/>
    <w:rsid w:val="00DC3710"/>
    <w:rsid w:val="00DC3B9E"/>
    <w:rsid w:val="00DC4FB9"/>
    <w:rsid w:val="00DC545F"/>
    <w:rsid w:val="00DC54A9"/>
    <w:rsid w:val="00DC6139"/>
    <w:rsid w:val="00DC6686"/>
    <w:rsid w:val="00DC6D84"/>
    <w:rsid w:val="00DC7F68"/>
    <w:rsid w:val="00DD1D7F"/>
    <w:rsid w:val="00DD360A"/>
    <w:rsid w:val="00DD7F91"/>
    <w:rsid w:val="00DE0985"/>
    <w:rsid w:val="00DE42BF"/>
    <w:rsid w:val="00DE4A1A"/>
    <w:rsid w:val="00DE4E11"/>
    <w:rsid w:val="00DE53FE"/>
    <w:rsid w:val="00DE6ED8"/>
    <w:rsid w:val="00E05D64"/>
    <w:rsid w:val="00E07ABB"/>
    <w:rsid w:val="00E07D8F"/>
    <w:rsid w:val="00E13762"/>
    <w:rsid w:val="00E14E2F"/>
    <w:rsid w:val="00E1552D"/>
    <w:rsid w:val="00E1640B"/>
    <w:rsid w:val="00E317A6"/>
    <w:rsid w:val="00E3190E"/>
    <w:rsid w:val="00E31F05"/>
    <w:rsid w:val="00E32285"/>
    <w:rsid w:val="00E34295"/>
    <w:rsid w:val="00E3667E"/>
    <w:rsid w:val="00E4228D"/>
    <w:rsid w:val="00E4254E"/>
    <w:rsid w:val="00E4608C"/>
    <w:rsid w:val="00E502A2"/>
    <w:rsid w:val="00E521B6"/>
    <w:rsid w:val="00E52931"/>
    <w:rsid w:val="00E53ACE"/>
    <w:rsid w:val="00E5519B"/>
    <w:rsid w:val="00E55FEE"/>
    <w:rsid w:val="00E57BD3"/>
    <w:rsid w:val="00E57D38"/>
    <w:rsid w:val="00E65332"/>
    <w:rsid w:val="00E65F77"/>
    <w:rsid w:val="00E670CD"/>
    <w:rsid w:val="00E67EA9"/>
    <w:rsid w:val="00E7727F"/>
    <w:rsid w:val="00E83519"/>
    <w:rsid w:val="00E91889"/>
    <w:rsid w:val="00E91F0F"/>
    <w:rsid w:val="00E944E2"/>
    <w:rsid w:val="00E95C54"/>
    <w:rsid w:val="00E96103"/>
    <w:rsid w:val="00EA027D"/>
    <w:rsid w:val="00EB22CF"/>
    <w:rsid w:val="00EB3414"/>
    <w:rsid w:val="00EB39DD"/>
    <w:rsid w:val="00EB40E4"/>
    <w:rsid w:val="00EB67BA"/>
    <w:rsid w:val="00EC16F8"/>
    <w:rsid w:val="00EC306F"/>
    <w:rsid w:val="00EC408E"/>
    <w:rsid w:val="00EC41F2"/>
    <w:rsid w:val="00EC4EB3"/>
    <w:rsid w:val="00EC5617"/>
    <w:rsid w:val="00EC7C9E"/>
    <w:rsid w:val="00ED230D"/>
    <w:rsid w:val="00ED2440"/>
    <w:rsid w:val="00EE1C0B"/>
    <w:rsid w:val="00EE59D0"/>
    <w:rsid w:val="00EE7FF3"/>
    <w:rsid w:val="00EF26BF"/>
    <w:rsid w:val="00EF4861"/>
    <w:rsid w:val="00EF50C7"/>
    <w:rsid w:val="00EF5E19"/>
    <w:rsid w:val="00EF779D"/>
    <w:rsid w:val="00EF7E82"/>
    <w:rsid w:val="00F01970"/>
    <w:rsid w:val="00F01B91"/>
    <w:rsid w:val="00F06AF6"/>
    <w:rsid w:val="00F079A5"/>
    <w:rsid w:val="00F07F69"/>
    <w:rsid w:val="00F107F9"/>
    <w:rsid w:val="00F111E0"/>
    <w:rsid w:val="00F16475"/>
    <w:rsid w:val="00F22D55"/>
    <w:rsid w:val="00F24A9A"/>
    <w:rsid w:val="00F2592D"/>
    <w:rsid w:val="00F25C5F"/>
    <w:rsid w:val="00F3182D"/>
    <w:rsid w:val="00F34EF2"/>
    <w:rsid w:val="00F3580F"/>
    <w:rsid w:val="00F406BB"/>
    <w:rsid w:val="00F44AD0"/>
    <w:rsid w:val="00F50379"/>
    <w:rsid w:val="00F55102"/>
    <w:rsid w:val="00F57115"/>
    <w:rsid w:val="00F6298B"/>
    <w:rsid w:val="00F63B02"/>
    <w:rsid w:val="00F65C21"/>
    <w:rsid w:val="00F700A6"/>
    <w:rsid w:val="00F760D1"/>
    <w:rsid w:val="00F8151A"/>
    <w:rsid w:val="00F83788"/>
    <w:rsid w:val="00F84D69"/>
    <w:rsid w:val="00F85054"/>
    <w:rsid w:val="00F87AEF"/>
    <w:rsid w:val="00F87C14"/>
    <w:rsid w:val="00F94F61"/>
    <w:rsid w:val="00FA17B4"/>
    <w:rsid w:val="00FA3581"/>
    <w:rsid w:val="00FB10B8"/>
    <w:rsid w:val="00FB24BA"/>
    <w:rsid w:val="00FB28C8"/>
    <w:rsid w:val="00FB381D"/>
    <w:rsid w:val="00FB6172"/>
    <w:rsid w:val="00FB6492"/>
    <w:rsid w:val="00FC131A"/>
    <w:rsid w:val="00FC224A"/>
    <w:rsid w:val="00FC43D6"/>
    <w:rsid w:val="00FD2208"/>
    <w:rsid w:val="00FD2EC4"/>
    <w:rsid w:val="00FD63D3"/>
    <w:rsid w:val="00FD717D"/>
    <w:rsid w:val="00FF1239"/>
    <w:rsid w:val="00FF1AC1"/>
    <w:rsid w:val="00FF5DE3"/>
    <w:rsid w:val="00FF6EAF"/>
    <w:rsid w:val="00FF7408"/>
    <w:rsid w:val="0107054B"/>
    <w:rsid w:val="013B4BAD"/>
    <w:rsid w:val="01F65399"/>
    <w:rsid w:val="025A2526"/>
    <w:rsid w:val="026A1A9F"/>
    <w:rsid w:val="03226A0E"/>
    <w:rsid w:val="03F32D75"/>
    <w:rsid w:val="04260169"/>
    <w:rsid w:val="04CC4830"/>
    <w:rsid w:val="050945F2"/>
    <w:rsid w:val="050E4034"/>
    <w:rsid w:val="056F4DC0"/>
    <w:rsid w:val="05F86FA8"/>
    <w:rsid w:val="06174B4A"/>
    <w:rsid w:val="06342461"/>
    <w:rsid w:val="065C2670"/>
    <w:rsid w:val="06677EA2"/>
    <w:rsid w:val="06F06056"/>
    <w:rsid w:val="07021FF9"/>
    <w:rsid w:val="071C7BC7"/>
    <w:rsid w:val="075A67A2"/>
    <w:rsid w:val="0840050B"/>
    <w:rsid w:val="086D38AF"/>
    <w:rsid w:val="08C44882"/>
    <w:rsid w:val="08C94E4D"/>
    <w:rsid w:val="0915227D"/>
    <w:rsid w:val="09164C3B"/>
    <w:rsid w:val="099842FD"/>
    <w:rsid w:val="0A3A2559"/>
    <w:rsid w:val="0A805158"/>
    <w:rsid w:val="0AF87126"/>
    <w:rsid w:val="0B4B1CD9"/>
    <w:rsid w:val="0B896287"/>
    <w:rsid w:val="0B9B2EBC"/>
    <w:rsid w:val="0BA309DB"/>
    <w:rsid w:val="0BC90D6D"/>
    <w:rsid w:val="0BCB508B"/>
    <w:rsid w:val="0C070B14"/>
    <w:rsid w:val="0C1A22A8"/>
    <w:rsid w:val="0C26236E"/>
    <w:rsid w:val="0C9306BE"/>
    <w:rsid w:val="0CA85ED5"/>
    <w:rsid w:val="0CB05CD1"/>
    <w:rsid w:val="0D1B39E9"/>
    <w:rsid w:val="0DCB2021"/>
    <w:rsid w:val="0E3A01CC"/>
    <w:rsid w:val="0E897689"/>
    <w:rsid w:val="0E9172D3"/>
    <w:rsid w:val="0EF1422C"/>
    <w:rsid w:val="0F3B23D4"/>
    <w:rsid w:val="0F3B3DD7"/>
    <w:rsid w:val="0FED5983"/>
    <w:rsid w:val="107B6AE8"/>
    <w:rsid w:val="11195DC6"/>
    <w:rsid w:val="115A70AD"/>
    <w:rsid w:val="116421D6"/>
    <w:rsid w:val="11EA1B00"/>
    <w:rsid w:val="121F5AC5"/>
    <w:rsid w:val="125037BB"/>
    <w:rsid w:val="12521250"/>
    <w:rsid w:val="12524B60"/>
    <w:rsid w:val="12BE63A7"/>
    <w:rsid w:val="12E866AF"/>
    <w:rsid w:val="130C55D8"/>
    <w:rsid w:val="13244A23"/>
    <w:rsid w:val="135A6097"/>
    <w:rsid w:val="13EE6B6B"/>
    <w:rsid w:val="1472386E"/>
    <w:rsid w:val="148F0FC6"/>
    <w:rsid w:val="148F3B06"/>
    <w:rsid w:val="151600A7"/>
    <w:rsid w:val="156D4AE7"/>
    <w:rsid w:val="159F345A"/>
    <w:rsid w:val="15E43EF8"/>
    <w:rsid w:val="16A81136"/>
    <w:rsid w:val="16AC4207"/>
    <w:rsid w:val="170473F7"/>
    <w:rsid w:val="178A56FB"/>
    <w:rsid w:val="17A02149"/>
    <w:rsid w:val="17A8647B"/>
    <w:rsid w:val="18253B4C"/>
    <w:rsid w:val="18DC722A"/>
    <w:rsid w:val="190F1674"/>
    <w:rsid w:val="19132D2F"/>
    <w:rsid w:val="19210747"/>
    <w:rsid w:val="196E7CB2"/>
    <w:rsid w:val="198759D2"/>
    <w:rsid w:val="19D72BB5"/>
    <w:rsid w:val="1AD212BF"/>
    <w:rsid w:val="1AF900F3"/>
    <w:rsid w:val="1AFC6A2C"/>
    <w:rsid w:val="1BE0351A"/>
    <w:rsid w:val="1C120302"/>
    <w:rsid w:val="1C442FCB"/>
    <w:rsid w:val="1C532B00"/>
    <w:rsid w:val="1CCC12C5"/>
    <w:rsid w:val="1D1B1BAD"/>
    <w:rsid w:val="1D401A6B"/>
    <w:rsid w:val="1DCC5DA5"/>
    <w:rsid w:val="1E8A015B"/>
    <w:rsid w:val="1EA00E4A"/>
    <w:rsid w:val="1ECF0103"/>
    <w:rsid w:val="1F4F1109"/>
    <w:rsid w:val="1F6A0646"/>
    <w:rsid w:val="206A0332"/>
    <w:rsid w:val="2091595B"/>
    <w:rsid w:val="20F51AC3"/>
    <w:rsid w:val="20FE4BC9"/>
    <w:rsid w:val="21AE6D2F"/>
    <w:rsid w:val="21C21552"/>
    <w:rsid w:val="21C3713A"/>
    <w:rsid w:val="24A80728"/>
    <w:rsid w:val="24DA6297"/>
    <w:rsid w:val="252F3CBE"/>
    <w:rsid w:val="26694CDB"/>
    <w:rsid w:val="27A32B32"/>
    <w:rsid w:val="27B214C6"/>
    <w:rsid w:val="27EA6F11"/>
    <w:rsid w:val="282C171E"/>
    <w:rsid w:val="2849297F"/>
    <w:rsid w:val="287B5A53"/>
    <w:rsid w:val="2936596A"/>
    <w:rsid w:val="294826A7"/>
    <w:rsid w:val="2997006D"/>
    <w:rsid w:val="29AC5EF0"/>
    <w:rsid w:val="2B040631"/>
    <w:rsid w:val="2B0B5AF1"/>
    <w:rsid w:val="2B1F466A"/>
    <w:rsid w:val="2B793244"/>
    <w:rsid w:val="2C094BA0"/>
    <w:rsid w:val="2C60205D"/>
    <w:rsid w:val="2C8F5C68"/>
    <w:rsid w:val="2CAD317E"/>
    <w:rsid w:val="2CC97424"/>
    <w:rsid w:val="2D2725F0"/>
    <w:rsid w:val="2D345768"/>
    <w:rsid w:val="2D73679B"/>
    <w:rsid w:val="2E994608"/>
    <w:rsid w:val="2E9C375A"/>
    <w:rsid w:val="2EA60EE0"/>
    <w:rsid w:val="2ED8262F"/>
    <w:rsid w:val="2F242CBD"/>
    <w:rsid w:val="2FB34058"/>
    <w:rsid w:val="300C74C4"/>
    <w:rsid w:val="304B3830"/>
    <w:rsid w:val="30743897"/>
    <w:rsid w:val="307D5A91"/>
    <w:rsid w:val="30E26D83"/>
    <w:rsid w:val="316C743A"/>
    <w:rsid w:val="317B20C5"/>
    <w:rsid w:val="32A33E31"/>
    <w:rsid w:val="32D048D8"/>
    <w:rsid w:val="32D3622F"/>
    <w:rsid w:val="32D63CF2"/>
    <w:rsid w:val="32F26097"/>
    <w:rsid w:val="3341799D"/>
    <w:rsid w:val="337A399F"/>
    <w:rsid w:val="337F2EFA"/>
    <w:rsid w:val="339029A7"/>
    <w:rsid w:val="33CC5FD9"/>
    <w:rsid w:val="34697607"/>
    <w:rsid w:val="34B63B69"/>
    <w:rsid w:val="34DC6FBF"/>
    <w:rsid w:val="34EC2A7D"/>
    <w:rsid w:val="352019FA"/>
    <w:rsid w:val="35690D78"/>
    <w:rsid w:val="35731520"/>
    <w:rsid w:val="35F436C6"/>
    <w:rsid w:val="36037C49"/>
    <w:rsid w:val="36B804EA"/>
    <w:rsid w:val="371766EB"/>
    <w:rsid w:val="3728049C"/>
    <w:rsid w:val="376F19C1"/>
    <w:rsid w:val="37CD3E9A"/>
    <w:rsid w:val="37D03480"/>
    <w:rsid w:val="37D87189"/>
    <w:rsid w:val="37E87EA7"/>
    <w:rsid w:val="37F761BE"/>
    <w:rsid w:val="380B1A51"/>
    <w:rsid w:val="382056BC"/>
    <w:rsid w:val="38AB6B19"/>
    <w:rsid w:val="39035D73"/>
    <w:rsid w:val="39144BF9"/>
    <w:rsid w:val="39236305"/>
    <w:rsid w:val="397D1814"/>
    <w:rsid w:val="3991694F"/>
    <w:rsid w:val="3A096C45"/>
    <w:rsid w:val="3AF152BF"/>
    <w:rsid w:val="3B3315C9"/>
    <w:rsid w:val="3B3666AA"/>
    <w:rsid w:val="3B5D03F9"/>
    <w:rsid w:val="3B9C69ED"/>
    <w:rsid w:val="3C075E40"/>
    <w:rsid w:val="3C0F314C"/>
    <w:rsid w:val="3C8400FD"/>
    <w:rsid w:val="3C8D5215"/>
    <w:rsid w:val="3CB96E1E"/>
    <w:rsid w:val="3DA3127D"/>
    <w:rsid w:val="3E2A5A13"/>
    <w:rsid w:val="3E6A5C1B"/>
    <w:rsid w:val="3E951BD3"/>
    <w:rsid w:val="3EB91E59"/>
    <w:rsid w:val="3EC009A0"/>
    <w:rsid w:val="3FA23A80"/>
    <w:rsid w:val="3FB12BEA"/>
    <w:rsid w:val="3FB75DF9"/>
    <w:rsid w:val="40083152"/>
    <w:rsid w:val="418368ED"/>
    <w:rsid w:val="4205112A"/>
    <w:rsid w:val="425C64FC"/>
    <w:rsid w:val="4278675D"/>
    <w:rsid w:val="431F105C"/>
    <w:rsid w:val="43A12D42"/>
    <w:rsid w:val="43F003B4"/>
    <w:rsid w:val="446458DA"/>
    <w:rsid w:val="446645C4"/>
    <w:rsid w:val="44E00C2F"/>
    <w:rsid w:val="44F12828"/>
    <w:rsid w:val="453F4EE8"/>
    <w:rsid w:val="455178CD"/>
    <w:rsid w:val="457E0C0E"/>
    <w:rsid w:val="45A27895"/>
    <w:rsid w:val="45E63199"/>
    <w:rsid w:val="4654463C"/>
    <w:rsid w:val="469D1E1F"/>
    <w:rsid w:val="46F117BF"/>
    <w:rsid w:val="4703453A"/>
    <w:rsid w:val="471B6342"/>
    <w:rsid w:val="47401AE3"/>
    <w:rsid w:val="47847F9B"/>
    <w:rsid w:val="47B6276E"/>
    <w:rsid w:val="47D7714D"/>
    <w:rsid w:val="47FC7528"/>
    <w:rsid w:val="48CA305E"/>
    <w:rsid w:val="48D126A6"/>
    <w:rsid w:val="491D1161"/>
    <w:rsid w:val="4945471C"/>
    <w:rsid w:val="49C23604"/>
    <w:rsid w:val="4A472D62"/>
    <w:rsid w:val="4A6500D9"/>
    <w:rsid w:val="4B4D56DB"/>
    <w:rsid w:val="4BCB016B"/>
    <w:rsid w:val="4BCB58DC"/>
    <w:rsid w:val="4BE87F26"/>
    <w:rsid w:val="4C081E20"/>
    <w:rsid w:val="4C3974A1"/>
    <w:rsid w:val="4C4D743A"/>
    <w:rsid w:val="4C561056"/>
    <w:rsid w:val="4CDC25C4"/>
    <w:rsid w:val="4D2A1AAB"/>
    <w:rsid w:val="4DBE15DE"/>
    <w:rsid w:val="4DFF45BC"/>
    <w:rsid w:val="4E61428A"/>
    <w:rsid w:val="4E7B705D"/>
    <w:rsid w:val="4ECB455C"/>
    <w:rsid w:val="4EDB60BF"/>
    <w:rsid w:val="4EF16D21"/>
    <w:rsid w:val="4F4E6BEF"/>
    <w:rsid w:val="4F6745C5"/>
    <w:rsid w:val="4F6E0683"/>
    <w:rsid w:val="4F751E54"/>
    <w:rsid w:val="4FA10A6B"/>
    <w:rsid w:val="4FA9510C"/>
    <w:rsid w:val="50035101"/>
    <w:rsid w:val="50891C17"/>
    <w:rsid w:val="520E7D39"/>
    <w:rsid w:val="527310FD"/>
    <w:rsid w:val="52C145B3"/>
    <w:rsid w:val="532C19FA"/>
    <w:rsid w:val="536C046F"/>
    <w:rsid w:val="53777260"/>
    <w:rsid w:val="53AD0142"/>
    <w:rsid w:val="53BD324D"/>
    <w:rsid w:val="53DA3FDB"/>
    <w:rsid w:val="54B52F23"/>
    <w:rsid w:val="559025B5"/>
    <w:rsid w:val="55BE6F35"/>
    <w:rsid w:val="55C62423"/>
    <w:rsid w:val="56374E34"/>
    <w:rsid w:val="56AB5747"/>
    <w:rsid w:val="571818A0"/>
    <w:rsid w:val="57435475"/>
    <w:rsid w:val="57466A30"/>
    <w:rsid w:val="57E7750E"/>
    <w:rsid w:val="582C3304"/>
    <w:rsid w:val="583E683E"/>
    <w:rsid w:val="584263FC"/>
    <w:rsid w:val="58911718"/>
    <w:rsid w:val="58AA248A"/>
    <w:rsid w:val="592757C1"/>
    <w:rsid w:val="5A097D45"/>
    <w:rsid w:val="5A232744"/>
    <w:rsid w:val="5A3F1BA7"/>
    <w:rsid w:val="5A8E433F"/>
    <w:rsid w:val="5ACC5639"/>
    <w:rsid w:val="5AFE0937"/>
    <w:rsid w:val="5B022AFF"/>
    <w:rsid w:val="5B1C238B"/>
    <w:rsid w:val="5BB72396"/>
    <w:rsid w:val="5BDA2541"/>
    <w:rsid w:val="5C8E70AE"/>
    <w:rsid w:val="5C9700DF"/>
    <w:rsid w:val="5CFF5AEE"/>
    <w:rsid w:val="5D5260D6"/>
    <w:rsid w:val="5DB431B3"/>
    <w:rsid w:val="5E4106DA"/>
    <w:rsid w:val="5E4B362D"/>
    <w:rsid w:val="5E4B3828"/>
    <w:rsid w:val="5E640C33"/>
    <w:rsid w:val="5EC32979"/>
    <w:rsid w:val="5EFC5263"/>
    <w:rsid w:val="5F2B51D9"/>
    <w:rsid w:val="5F37440C"/>
    <w:rsid w:val="5F9E1395"/>
    <w:rsid w:val="609E7926"/>
    <w:rsid w:val="60CC769A"/>
    <w:rsid w:val="60F3280A"/>
    <w:rsid w:val="615A0826"/>
    <w:rsid w:val="616E5025"/>
    <w:rsid w:val="62117B48"/>
    <w:rsid w:val="6233066F"/>
    <w:rsid w:val="625714F8"/>
    <w:rsid w:val="62730CFC"/>
    <w:rsid w:val="62AF2B34"/>
    <w:rsid w:val="62D7081D"/>
    <w:rsid w:val="632E3BC3"/>
    <w:rsid w:val="63687194"/>
    <w:rsid w:val="638E50BC"/>
    <w:rsid w:val="63A90999"/>
    <w:rsid w:val="64D27A6F"/>
    <w:rsid w:val="64D31C7E"/>
    <w:rsid w:val="655362A8"/>
    <w:rsid w:val="65765688"/>
    <w:rsid w:val="65A40D91"/>
    <w:rsid w:val="65AD4BAF"/>
    <w:rsid w:val="661425C0"/>
    <w:rsid w:val="66F55A6B"/>
    <w:rsid w:val="66FE22BD"/>
    <w:rsid w:val="671C3278"/>
    <w:rsid w:val="67327F2E"/>
    <w:rsid w:val="674609A7"/>
    <w:rsid w:val="67465B30"/>
    <w:rsid w:val="676C468C"/>
    <w:rsid w:val="68082611"/>
    <w:rsid w:val="688C533B"/>
    <w:rsid w:val="68C12CE3"/>
    <w:rsid w:val="692F0DD2"/>
    <w:rsid w:val="692F6DB1"/>
    <w:rsid w:val="696B16A5"/>
    <w:rsid w:val="69772905"/>
    <w:rsid w:val="6A360EF4"/>
    <w:rsid w:val="6A736A2C"/>
    <w:rsid w:val="6AC4173D"/>
    <w:rsid w:val="6B3F6E7C"/>
    <w:rsid w:val="6B4F76A1"/>
    <w:rsid w:val="6BB6746F"/>
    <w:rsid w:val="6BEA7D8E"/>
    <w:rsid w:val="6BFD03AE"/>
    <w:rsid w:val="6BFF6077"/>
    <w:rsid w:val="6C2308EC"/>
    <w:rsid w:val="6C867767"/>
    <w:rsid w:val="6CA34648"/>
    <w:rsid w:val="6D031FFE"/>
    <w:rsid w:val="6D870368"/>
    <w:rsid w:val="6DEF74D5"/>
    <w:rsid w:val="6E54601D"/>
    <w:rsid w:val="6E9856D0"/>
    <w:rsid w:val="6EB840FC"/>
    <w:rsid w:val="6EE920DC"/>
    <w:rsid w:val="6F377C99"/>
    <w:rsid w:val="6F7E7DE2"/>
    <w:rsid w:val="6FAA433E"/>
    <w:rsid w:val="704F1D50"/>
    <w:rsid w:val="7062369D"/>
    <w:rsid w:val="70D8666D"/>
    <w:rsid w:val="70F82977"/>
    <w:rsid w:val="711203ED"/>
    <w:rsid w:val="712A76BE"/>
    <w:rsid w:val="713E1444"/>
    <w:rsid w:val="716D6D00"/>
    <w:rsid w:val="718926A5"/>
    <w:rsid w:val="719901C6"/>
    <w:rsid w:val="71B131C3"/>
    <w:rsid w:val="71CC5821"/>
    <w:rsid w:val="71F26BCA"/>
    <w:rsid w:val="71F95A1C"/>
    <w:rsid w:val="71FC2C8C"/>
    <w:rsid w:val="720542F1"/>
    <w:rsid w:val="72380013"/>
    <w:rsid w:val="72540D30"/>
    <w:rsid w:val="73426C39"/>
    <w:rsid w:val="73594771"/>
    <w:rsid w:val="740F0E4D"/>
    <w:rsid w:val="7469799F"/>
    <w:rsid w:val="74A66F51"/>
    <w:rsid w:val="74E24705"/>
    <w:rsid w:val="750506F3"/>
    <w:rsid w:val="758944AE"/>
    <w:rsid w:val="758C4507"/>
    <w:rsid w:val="75AA1A6C"/>
    <w:rsid w:val="76C0735A"/>
    <w:rsid w:val="76DE39EB"/>
    <w:rsid w:val="77121B5D"/>
    <w:rsid w:val="774B42DA"/>
    <w:rsid w:val="77CC2AC5"/>
    <w:rsid w:val="789B77B6"/>
    <w:rsid w:val="78AC0F28"/>
    <w:rsid w:val="78AD7E4B"/>
    <w:rsid w:val="7922758B"/>
    <w:rsid w:val="79766799"/>
    <w:rsid w:val="79B255D2"/>
    <w:rsid w:val="79B45BBB"/>
    <w:rsid w:val="79D0307E"/>
    <w:rsid w:val="79DE121D"/>
    <w:rsid w:val="79E249A2"/>
    <w:rsid w:val="7A5C7B4D"/>
    <w:rsid w:val="7B1F1C18"/>
    <w:rsid w:val="7B387938"/>
    <w:rsid w:val="7C341C52"/>
    <w:rsid w:val="7C7C70AA"/>
    <w:rsid w:val="7CED7E89"/>
    <w:rsid w:val="7D033238"/>
    <w:rsid w:val="7D2F6ABF"/>
    <w:rsid w:val="7D50024E"/>
    <w:rsid w:val="7D637EF4"/>
    <w:rsid w:val="7E341B98"/>
    <w:rsid w:val="7E51328E"/>
    <w:rsid w:val="7F14576E"/>
    <w:rsid w:val="7FB735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3">
    <w:name w:val="heading 1"/>
    <w:basedOn w:val="1"/>
    <w:next w:val="1"/>
    <w:link w:val="31"/>
    <w:qFormat/>
    <w:uiPriority w:val="99"/>
    <w:pPr>
      <w:keepNext/>
      <w:keepLines/>
      <w:adjustRightInd/>
      <w:snapToGrid/>
      <w:spacing w:before="200" w:line="360" w:lineRule="auto"/>
      <w:jc w:val="center"/>
      <w:textAlignment w:val="baseline"/>
      <w:outlineLvl w:val="0"/>
    </w:pPr>
    <w:rPr>
      <w:rFonts w:ascii="Times New Roman" w:hAnsi="Times New Roman" w:eastAsia="黑体" w:cs="Times New Roman"/>
      <w:b/>
      <w:bCs/>
      <w:color w:val="000000"/>
      <w:kern w:val="44"/>
      <w:sz w:val="36"/>
      <w:szCs w:val="44"/>
      <w:u w:color="000000"/>
    </w:rPr>
  </w:style>
  <w:style w:type="paragraph" w:styleId="4">
    <w:name w:val="heading 2"/>
    <w:basedOn w:val="1"/>
    <w:next w:val="1"/>
    <w:link w:val="32"/>
    <w:qFormat/>
    <w:uiPriority w:val="99"/>
    <w:pPr>
      <w:keepNext/>
      <w:keepLines/>
      <w:widowControl w:val="0"/>
      <w:adjustRightInd/>
      <w:snapToGrid/>
      <w:spacing w:before="260" w:after="260" w:line="416" w:lineRule="auto"/>
      <w:jc w:val="both"/>
      <w:outlineLvl w:val="1"/>
    </w:pPr>
    <w:rPr>
      <w:rFonts w:ascii="Arial" w:hAnsi="Arial" w:eastAsia="黑体" w:cs="Times New Roman"/>
      <w:b/>
      <w:bCs/>
      <w:kern w:val="2"/>
      <w:sz w:val="32"/>
      <w:szCs w:val="32"/>
    </w:rPr>
  </w:style>
  <w:style w:type="paragraph" w:styleId="5">
    <w:name w:val="heading 3"/>
    <w:basedOn w:val="1"/>
    <w:next w:val="1"/>
    <w:link w:val="33"/>
    <w:qFormat/>
    <w:uiPriority w:val="99"/>
    <w:pPr>
      <w:keepNext/>
      <w:keepLines/>
      <w:adjustRightInd/>
      <w:snapToGrid/>
      <w:spacing w:before="260" w:after="260" w:line="360" w:lineRule="auto"/>
      <w:textAlignment w:val="baseline"/>
      <w:outlineLvl w:val="2"/>
    </w:pPr>
    <w:rPr>
      <w:rFonts w:ascii="Times New Roman" w:hAnsi="Times New Roman" w:eastAsia="仿宋_GB2312" w:cs="Times New Roman"/>
      <w:b/>
      <w:bCs/>
      <w:sz w:val="30"/>
      <w:szCs w:val="32"/>
      <w:u w:color="000000"/>
    </w:rPr>
  </w:style>
  <w:style w:type="paragraph" w:styleId="6">
    <w:name w:val="heading 4"/>
    <w:basedOn w:val="1"/>
    <w:next w:val="1"/>
    <w:link w:val="34"/>
    <w:unhideWhenUsed/>
    <w:qFormat/>
    <w:uiPriority w:val="0"/>
    <w:pPr>
      <w:keepNext/>
      <w:keepLines/>
      <w:widowControl w:val="0"/>
      <w:adjustRightInd/>
      <w:snapToGrid/>
      <w:spacing w:before="280" w:after="290" w:line="376" w:lineRule="auto"/>
      <w:jc w:val="both"/>
      <w:outlineLvl w:val="3"/>
    </w:pPr>
    <w:rPr>
      <w:rFonts w:asciiTheme="majorHAnsi" w:hAnsiTheme="majorHAnsi" w:eastAsiaTheme="majorEastAsia" w:cstheme="majorBidi"/>
      <w:b/>
      <w:bCs/>
      <w:kern w:val="2"/>
      <w:sz w:val="28"/>
      <w:szCs w:val="28"/>
    </w:rPr>
  </w:style>
  <w:style w:type="paragraph" w:styleId="7">
    <w:name w:val="heading 5"/>
    <w:basedOn w:val="1"/>
    <w:next w:val="1"/>
    <w:link w:val="35"/>
    <w:unhideWhenUsed/>
    <w:qFormat/>
    <w:uiPriority w:val="0"/>
    <w:pPr>
      <w:keepNext/>
      <w:keepLines/>
      <w:widowControl w:val="0"/>
      <w:adjustRightInd/>
      <w:snapToGrid/>
      <w:spacing w:before="280" w:after="290" w:line="376" w:lineRule="auto"/>
      <w:jc w:val="both"/>
      <w:outlineLvl w:val="4"/>
    </w:pPr>
    <w:rPr>
      <w:rFonts w:ascii="Times New Roman" w:hAnsi="Times New Roman" w:eastAsia="宋体" w:cs="Times New Roman"/>
      <w:b/>
      <w:bCs/>
      <w:kern w:val="2"/>
      <w:sz w:val="28"/>
      <w:szCs w:val="28"/>
    </w:rPr>
  </w:style>
  <w:style w:type="paragraph" w:styleId="8">
    <w:name w:val="heading 6"/>
    <w:basedOn w:val="1"/>
    <w:next w:val="1"/>
    <w:link w:val="36"/>
    <w:unhideWhenUsed/>
    <w:qFormat/>
    <w:uiPriority w:val="0"/>
    <w:pPr>
      <w:keepNext/>
      <w:keepLines/>
      <w:widowControl w:val="0"/>
      <w:adjustRightInd/>
      <w:snapToGrid/>
      <w:spacing w:before="240" w:after="64" w:line="320" w:lineRule="auto"/>
      <w:jc w:val="both"/>
      <w:outlineLvl w:val="5"/>
    </w:pPr>
    <w:rPr>
      <w:rFonts w:asciiTheme="majorHAnsi" w:hAnsiTheme="majorHAnsi" w:eastAsiaTheme="majorEastAsia" w:cstheme="majorBidi"/>
      <w:b/>
      <w:bCs/>
      <w:kern w:val="2"/>
      <w:sz w:val="24"/>
      <w:szCs w:val="24"/>
    </w:rPr>
  </w:style>
  <w:style w:type="character" w:default="1" w:styleId="24">
    <w:name w:val="Default Paragraph Font"/>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39"/>
    <w:pPr>
      <w:widowControl w:val="0"/>
      <w:adjustRightInd/>
      <w:snapToGrid/>
      <w:spacing w:after="0"/>
      <w:ind w:left="420" w:leftChars="200"/>
      <w:jc w:val="both"/>
    </w:pPr>
    <w:rPr>
      <w:rFonts w:ascii="Times New Roman" w:hAnsi="Times New Roman" w:eastAsia="宋体" w:cs="Times New Roman"/>
      <w:kern w:val="2"/>
      <w:sz w:val="30"/>
      <w:szCs w:val="24"/>
    </w:rPr>
  </w:style>
  <w:style w:type="paragraph" w:styleId="9">
    <w:name w:val="Document Map"/>
    <w:basedOn w:val="1"/>
    <w:link w:val="43"/>
    <w:semiHidden/>
    <w:qFormat/>
    <w:uiPriority w:val="99"/>
    <w:pPr>
      <w:widowControl w:val="0"/>
      <w:shd w:val="clear" w:color="auto" w:fill="000080"/>
      <w:adjustRightInd/>
      <w:snapToGrid/>
      <w:spacing w:after="0"/>
      <w:jc w:val="both"/>
    </w:pPr>
    <w:rPr>
      <w:rFonts w:ascii="Times New Roman" w:hAnsi="Times New Roman" w:eastAsia="宋体" w:cs="Times New Roman"/>
      <w:kern w:val="2"/>
      <w:sz w:val="21"/>
      <w:szCs w:val="24"/>
    </w:rPr>
  </w:style>
  <w:style w:type="paragraph" w:styleId="10">
    <w:name w:val="annotation text"/>
    <w:basedOn w:val="1"/>
    <w:link w:val="41"/>
    <w:unhideWhenUsed/>
    <w:qFormat/>
    <w:uiPriority w:val="99"/>
  </w:style>
  <w:style w:type="paragraph" w:styleId="11">
    <w:name w:val="Body Text"/>
    <w:basedOn w:val="1"/>
    <w:link w:val="44"/>
    <w:qFormat/>
    <w:uiPriority w:val="99"/>
    <w:pPr>
      <w:widowControl w:val="0"/>
      <w:adjustRightInd/>
      <w:snapToGrid/>
      <w:spacing w:after="120"/>
      <w:jc w:val="both"/>
    </w:pPr>
    <w:rPr>
      <w:rFonts w:ascii="Times New Roman" w:hAnsi="Times New Roman" w:eastAsia="宋体" w:cs="Times New Roman"/>
      <w:kern w:val="2"/>
      <w:sz w:val="21"/>
      <w:szCs w:val="24"/>
    </w:rPr>
  </w:style>
  <w:style w:type="paragraph" w:styleId="12">
    <w:name w:val="toc 3"/>
    <w:basedOn w:val="1"/>
    <w:next w:val="1"/>
    <w:qFormat/>
    <w:uiPriority w:val="39"/>
    <w:pPr>
      <w:widowControl w:val="0"/>
      <w:adjustRightInd/>
      <w:snapToGrid/>
      <w:spacing w:after="0"/>
      <w:ind w:left="840" w:leftChars="400"/>
      <w:jc w:val="both"/>
    </w:pPr>
    <w:rPr>
      <w:rFonts w:ascii="Times New Roman" w:hAnsi="Times New Roman" w:eastAsia="宋体" w:cs="Times New Roman"/>
      <w:kern w:val="2"/>
      <w:sz w:val="28"/>
      <w:szCs w:val="24"/>
    </w:rPr>
  </w:style>
  <w:style w:type="paragraph" w:styleId="13">
    <w:name w:val="Plain Text"/>
    <w:basedOn w:val="1"/>
    <w:link w:val="45"/>
    <w:qFormat/>
    <w:uiPriority w:val="99"/>
    <w:pPr>
      <w:adjustRightInd/>
      <w:snapToGrid/>
      <w:spacing w:after="0" w:line="351" w:lineRule="atLeast"/>
      <w:ind w:firstLine="419"/>
      <w:jc w:val="both"/>
      <w:textAlignment w:val="baseline"/>
    </w:pPr>
    <w:rPr>
      <w:rFonts w:ascii="宋体" w:hAnsi="Times New Roman" w:eastAsia="宋体" w:cs="Times New Roman"/>
      <w:color w:val="000000"/>
      <w:sz w:val="21"/>
      <w:szCs w:val="20"/>
      <w:u w:color="000000"/>
    </w:rPr>
  </w:style>
  <w:style w:type="paragraph" w:styleId="14">
    <w:name w:val="Balloon Text"/>
    <w:basedOn w:val="1"/>
    <w:link w:val="46"/>
    <w:qFormat/>
    <w:uiPriority w:val="99"/>
    <w:pPr>
      <w:widowControl w:val="0"/>
      <w:adjustRightInd/>
      <w:snapToGrid/>
      <w:spacing w:after="0"/>
      <w:jc w:val="both"/>
    </w:pPr>
    <w:rPr>
      <w:rFonts w:ascii="Times New Roman" w:hAnsi="Times New Roman" w:eastAsia="宋体" w:cs="Times New Roman"/>
      <w:kern w:val="2"/>
      <w:sz w:val="18"/>
      <w:szCs w:val="18"/>
    </w:rPr>
  </w:style>
  <w:style w:type="paragraph" w:styleId="15">
    <w:name w:val="footer"/>
    <w:basedOn w:val="1"/>
    <w:link w:val="38"/>
    <w:unhideWhenUsed/>
    <w:qFormat/>
    <w:uiPriority w:val="99"/>
    <w:pPr>
      <w:tabs>
        <w:tab w:val="center" w:pos="4153"/>
        <w:tab w:val="right" w:pos="8306"/>
      </w:tabs>
    </w:pPr>
    <w:rPr>
      <w:sz w:val="18"/>
      <w:szCs w:val="18"/>
    </w:rPr>
  </w:style>
  <w:style w:type="paragraph" w:styleId="16">
    <w:name w:val="header"/>
    <w:basedOn w:val="1"/>
    <w:link w:val="37"/>
    <w:unhideWhenUsed/>
    <w:qFormat/>
    <w:uiPriority w:val="99"/>
    <w:pPr>
      <w:pBdr>
        <w:bottom w:val="single" w:color="auto" w:sz="6" w:space="1"/>
      </w:pBdr>
      <w:tabs>
        <w:tab w:val="center" w:pos="4153"/>
        <w:tab w:val="right" w:pos="8306"/>
      </w:tabs>
      <w:jc w:val="center"/>
    </w:pPr>
    <w:rPr>
      <w:sz w:val="18"/>
      <w:szCs w:val="18"/>
    </w:rPr>
  </w:style>
  <w:style w:type="paragraph" w:styleId="17">
    <w:name w:val="toc 1"/>
    <w:basedOn w:val="1"/>
    <w:next w:val="1"/>
    <w:qFormat/>
    <w:uiPriority w:val="39"/>
    <w:pPr>
      <w:widowControl w:val="0"/>
      <w:tabs>
        <w:tab w:val="right" w:leader="dot" w:pos="8777"/>
      </w:tabs>
      <w:adjustRightInd/>
      <w:snapToGrid/>
      <w:spacing w:after="0" w:line="360" w:lineRule="auto"/>
      <w:jc w:val="both"/>
    </w:pPr>
    <w:rPr>
      <w:rFonts w:ascii="Times New Roman" w:hAnsi="Times New Roman" w:eastAsia="黑体" w:cs="Times New Roman"/>
      <w:kern w:val="2"/>
      <w:sz w:val="32"/>
      <w:szCs w:val="32"/>
    </w:rPr>
  </w:style>
  <w:style w:type="paragraph" w:styleId="18">
    <w:name w:val="footnote text"/>
    <w:basedOn w:val="1"/>
    <w:link w:val="47"/>
    <w:qFormat/>
    <w:uiPriority w:val="99"/>
    <w:pPr>
      <w:widowControl w:val="0"/>
      <w:adjustRightInd/>
      <w:spacing w:after="0"/>
    </w:pPr>
    <w:rPr>
      <w:rFonts w:ascii="Times New Roman" w:hAnsi="Times New Roman" w:eastAsia="宋体" w:cs="Times New Roman"/>
      <w:kern w:val="2"/>
      <w:sz w:val="18"/>
      <w:szCs w:val="18"/>
    </w:rPr>
  </w:style>
  <w:style w:type="paragraph" w:styleId="19">
    <w:name w:val="HTML Preformatted"/>
    <w:basedOn w:val="1"/>
    <w:link w:val="4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hAnsi="宋体" w:eastAsia="宋体" w:cs="宋体"/>
      <w:sz w:val="24"/>
      <w:szCs w:val="24"/>
    </w:rPr>
  </w:style>
  <w:style w:type="paragraph" w:styleId="20">
    <w:name w:val="Normal (Web)"/>
    <w:basedOn w:val="1"/>
    <w:qFormat/>
    <w:uiPriority w:val="99"/>
    <w:pPr>
      <w:adjustRightInd/>
      <w:snapToGrid/>
      <w:spacing w:before="100" w:beforeAutospacing="1" w:after="100" w:afterAutospacing="1"/>
    </w:pPr>
    <w:rPr>
      <w:rFonts w:ascii="宋体" w:hAnsi="宋体" w:eastAsia="宋体" w:cs="宋体"/>
      <w:sz w:val="24"/>
      <w:szCs w:val="24"/>
    </w:rPr>
  </w:style>
  <w:style w:type="paragraph" w:styleId="21">
    <w:name w:val="Title"/>
    <w:basedOn w:val="1"/>
    <w:next w:val="1"/>
    <w:link w:val="70"/>
    <w:qFormat/>
    <w:uiPriority w:val="0"/>
    <w:pPr>
      <w:widowControl w:val="0"/>
      <w:adjustRightInd/>
      <w:snapToGrid/>
      <w:spacing w:before="240" w:after="60"/>
      <w:jc w:val="center"/>
      <w:outlineLvl w:val="0"/>
    </w:pPr>
    <w:rPr>
      <w:rFonts w:eastAsia="宋体" w:asciiTheme="majorHAnsi" w:hAnsiTheme="majorHAnsi" w:cstheme="majorBidi"/>
      <w:b/>
      <w:bCs/>
      <w:kern w:val="2"/>
      <w:sz w:val="32"/>
      <w:szCs w:val="32"/>
    </w:rPr>
  </w:style>
  <w:style w:type="paragraph" w:styleId="22">
    <w:name w:val="annotation subject"/>
    <w:basedOn w:val="10"/>
    <w:next w:val="10"/>
    <w:link w:val="42"/>
    <w:qFormat/>
    <w:uiPriority w:val="99"/>
    <w:pPr>
      <w:widowControl w:val="0"/>
      <w:adjustRightInd/>
      <w:snapToGrid/>
      <w:spacing w:after="0"/>
    </w:pPr>
    <w:rPr>
      <w:rFonts w:ascii="Times New Roman" w:hAnsi="Times New Roman" w:eastAsia="宋体" w:cs="Times New Roman"/>
      <w:b/>
      <w:bCs/>
      <w:kern w:val="2"/>
      <w:sz w:val="21"/>
      <w:szCs w:val="24"/>
    </w:rPr>
  </w:style>
  <w:style w:type="character" w:styleId="25">
    <w:name w:val="page number"/>
    <w:basedOn w:val="24"/>
    <w:qFormat/>
    <w:uiPriority w:val="99"/>
  </w:style>
  <w:style w:type="character" w:styleId="26">
    <w:name w:val="FollowedHyperlink"/>
    <w:basedOn w:val="24"/>
    <w:unhideWhenUsed/>
    <w:qFormat/>
    <w:uiPriority w:val="99"/>
    <w:rPr>
      <w:color w:val="800080"/>
      <w:u w:val="single"/>
    </w:rPr>
  </w:style>
  <w:style w:type="character" w:styleId="27">
    <w:name w:val="Emphasis"/>
    <w:qFormat/>
    <w:uiPriority w:val="99"/>
    <w:rPr>
      <w:color w:val="CC0000"/>
    </w:rPr>
  </w:style>
  <w:style w:type="character" w:styleId="28">
    <w:name w:val="Hyperlink"/>
    <w:qFormat/>
    <w:uiPriority w:val="99"/>
    <w:rPr>
      <w:color w:val="0000FF"/>
      <w:u w:val="single"/>
    </w:rPr>
  </w:style>
  <w:style w:type="character" w:styleId="29">
    <w:name w:val="annotation reference"/>
    <w:basedOn w:val="24"/>
    <w:qFormat/>
    <w:uiPriority w:val="99"/>
    <w:rPr>
      <w:sz w:val="21"/>
      <w:szCs w:val="21"/>
    </w:rPr>
  </w:style>
  <w:style w:type="character" w:styleId="30">
    <w:name w:val="footnote reference"/>
    <w:basedOn w:val="24"/>
    <w:qFormat/>
    <w:uiPriority w:val="99"/>
    <w:rPr>
      <w:vertAlign w:val="superscript"/>
    </w:rPr>
  </w:style>
  <w:style w:type="character" w:customStyle="1" w:styleId="31">
    <w:name w:val="标题 1 Char"/>
    <w:basedOn w:val="24"/>
    <w:link w:val="3"/>
    <w:qFormat/>
    <w:uiPriority w:val="99"/>
    <w:rPr>
      <w:rFonts w:ascii="Times New Roman" w:hAnsi="Times New Roman" w:eastAsia="黑体" w:cs="Times New Roman"/>
      <w:b/>
      <w:bCs/>
      <w:color w:val="000000"/>
      <w:kern w:val="44"/>
      <w:sz w:val="36"/>
      <w:szCs w:val="44"/>
      <w:u w:color="000000"/>
    </w:rPr>
  </w:style>
  <w:style w:type="character" w:customStyle="1" w:styleId="32">
    <w:name w:val="标题 2 Char"/>
    <w:basedOn w:val="24"/>
    <w:link w:val="4"/>
    <w:qFormat/>
    <w:uiPriority w:val="99"/>
    <w:rPr>
      <w:rFonts w:ascii="Arial" w:hAnsi="Arial" w:eastAsia="黑体" w:cs="Times New Roman"/>
      <w:b/>
      <w:bCs/>
      <w:kern w:val="2"/>
      <w:sz w:val="32"/>
      <w:szCs w:val="32"/>
    </w:rPr>
  </w:style>
  <w:style w:type="character" w:customStyle="1" w:styleId="33">
    <w:name w:val="标题 3 Char"/>
    <w:basedOn w:val="24"/>
    <w:link w:val="5"/>
    <w:qFormat/>
    <w:uiPriority w:val="99"/>
    <w:rPr>
      <w:rFonts w:ascii="Times New Roman" w:hAnsi="Times New Roman" w:eastAsia="仿宋_GB2312" w:cs="Times New Roman"/>
      <w:b/>
      <w:bCs/>
      <w:sz w:val="30"/>
      <w:szCs w:val="32"/>
      <w:u w:color="000000"/>
    </w:rPr>
  </w:style>
  <w:style w:type="character" w:customStyle="1" w:styleId="34">
    <w:name w:val="标题 4 Char"/>
    <w:basedOn w:val="24"/>
    <w:link w:val="6"/>
    <w:qFormat/>
    <w:uiPriority w:val="0"/>
    <w:rPr>
      <w:rFonts w:asciiTheme="majorHAnsi" w:hAnsiTheme="majorHAnsi" w:eastAsiaTheme="majorEastAsia" w:cstheme="majorBidi"/>
      <w:b/>
      <w:bCs/>
      <w:kern w:val="2"/>
      <w:sz w:val="28"/>
      <w:szCs w:val="28"/>
    </w:rPr>
  </w:style>
  <w:style w:type="character" w:customStyle="1" w:styleId="35">
    <w:name w:val="标题 5 Char"/>
    <w:basedOn w:val="24"/>
    <w:link w:val="7"/>
    <w:qFormat/>
    <w:uiPriority w:val="0"/>
    <w:rPr>
      <w:rFonts w:ascii="Times New Roman" w:hAnsi="Times New Roman" w:eastAsia="宋体" w:cs="Times New Roman"/>
      <w:b/>
      <w:bCs/>
      <w:kern w:val="2"/>
      <w:sz w:val="28"/>
      <w:szCs w:val="28"/>
    </w:rPr>
  </w:style>
  <w:style w:type="character" w:customStyle="1" w:styleId="36">
    <w:name w:val="标题 6 Char"/>
    <w:basedOn w:val="24"/>
    <w:link w:val="8"/>
    <w:qFormat/>
    <w:uiPriority w:val="0"/>
    <w:rPr>
      <w:rFonts w:asciiTheme="majorHAnsi" w:hAnsiTheme="majorHAnsi" w:eastAsiaTheme="majorEastAsia" w:cstheme="majorBidi"/>
      <w:b/>
      <w:bCs/>
      <w:kern w:val="2"/>
      <w:sz w:val="24"/>
      <w:szCs w:val="24"/>
    </w:rPr>
  </w:style>
  <w:style w:type="character" w:customStyle="1" w:styleId="37">
    <w:name w:val="页眉 Char"/>
    <w:basedOn w:val="24"/>
    <w:link w:val="16"/>
    <w:qFormat/>
    <w:uiPriority w:val="99"/>
    <w:rPr>
      <w:rFonts w:ascii="Tahoma" w:hAnsi="Tahoma"/>
      <w:sz w:val="18"/>
      <w:szCs w:val="18"/>
    </w:rPr>
  </w:style>
  <w:style w:type="character" w:customStyle="1" w:styleId="38">
    <w:name w:val="页脚 Char"/>
    <w:basedOn w:val="24"/>
    <w:link w:val="15"/>
    <w:qFormat/>
    <w:uiPriority w:val="99"/>
    <w:rPr>
      <w:rFonts w:ascii="Tahoma" w:hAnsi="Tahoma"/>
      <w:sz w:val="18"/>
      <w:szCs w:val="18"/>
    </w:rPr>
  </w:style>
  <w:style w:type="paragraph" w:customStyle="1" w:styleId="39">
    <w:name w:val="标题1"/>
    <w:basedOn w:val="1"/>
    <w:qFormat/>
    <w:uiPriority w:val="0"/>
    <w:pPr>
      <w:widowControl w:val="0"/>
      <w:adjustRightInd/>
      <w:snapToGrid/>
      <w:spacing w:after="0"/>
      <w:ind w:firstLine="640" w:firstLineChars="200"/>
      <w:jc w:val="center"/>
    </w:pPr>
    <w:rPr>
      <w:rFonts w:ascii="Times New Roman" w:hAnsi="Times New Roman" w:eastAsia="黑体" w:cs="Times New Roman"/>
      <w:kern w:val="2"/>
      <w:sz w:val="32"/>
      <w:szCs w:val="21"/>
    </w:rPr>
  </w:style>
  <w:style w:type="paragraph" w:styleId="40">
    <w:name w:val="List Paragraph"/>
    <w:basedOn w:val="1"/>
    <w:qFormat/>
    <w:uiPriority w:val="99"/>
    <w:pPr>
      <w:ind w:firstLine="420" w:firstLineChars="200"/>
    </w:pPr>
  </w:style>
  <w:style w:type="character" w:customStyle="1" w:styleId="41">
    <w:name w:val="批注文字 Char"/>
    <w:basedOn w:val="24"/>
    <w:link w:val="10"/>
    <w:qFormat/>
    <w:uiPriority w:val="99"/>
    <w:rPr>
      <w:rFonts w:ascii="Tahoma" w:hAnsi="Tahoma"/>
    </w:rPr>
  </w:style>
  <w:style w:type="character" w:customStyle="1" w:styleId="42">
    <w:name w:val="批注主题 Char"/>
    <w:basedOn w:val="41"/>
    <w:link w:val="22"/>
    <w:qFormat/>
    <w:uiPriority w:val="99"/>
    <w:rPr>
      <w:rFonts w:ascii="Times New Roman" w:hAnsi="Times New Roman" w:eastAsia="宋体" w:cs="Times New Roman"/>
      <w:b/>
      <w:bCs/>
      <w:kern w:val="2"/>
      <w:sz w:val="21"/>
      <w:szCs w:val="24"/>
    </w:rPr>
  </w:style>
  <w:style w:type="character" w:customStyle="1" w:styleId="43">
    <w:name w:val="文档结构图 Char"/>
    <w:basedOn w:val="24"/>
    <w:link w:val="9"/>
    <w:semiHidden/>
    <w:qFormat/>
    <w:uiPriority w:val="99"/>
    <w:rPr>
      <w:rFonts w:ascii="Times New Roman" w:hAnsi="Times New Roman" w:eastAsia="宋体" w:cs="Times New Roman"/>
      <w:kern w:val="2"/>
      <w:sz w:val="21"/>
      <w:szCs w:val="24"/>
      <w:shd w:val="clear" w:color="auto" w:fill="000080"/>
    </w:rPr>
  </w:style>
  <w:style w:type="character" w:customStyle="1" w:styleId="44">
    <w:name w:val="正文文本 Char"/>
    <w:basedOn w:val="24"/>
    <w:link w:val="11"/>
    <w:qFormat/>
    <w:uiPriority w:val="99"/>
    <w:rPr>
      <w:rFonts w:ascii="Times New Roman" w:hAnsi="Times New Roman" w:eastAsia="宋体" w:cs="Times New Roman"/>
      <w:kern w:val="2"/>
      <w:sz w:val="21"/>
      <w:szCs w:val="24"/>
    </w:rPr>
  </w:style>
  <w:style w:type="character" w:customStyle="1" w:styleId="45">
    <w:name w:val="纯文本 Char"/>
    <w:basedOn w:val="24"/>
    <w:link w:val="13"/>
    <w:qFormat/>
    <w:uiPriority w:val="99"/>
    <w:rPr>
      <w:rFonts w:ascii="宋体" w:hAnsi="Times New Roman" w:eastAsia="宋体" w:cs="Times New Roman"/>
      <w:color w:val="000000"/>
      <w:sz w:val="21"/>
      <w:szCs w:val="20"/>
      <w:u w:color="000000"/>
    </w:rPr>
  </w:style>
  <w:style w:type="character" w:customStyle="1" w:styleId="46">
    <w:name w:val="批注框文本 Char"/>
    <w:basedOn w:val="24"/>
    <w:link w:val="14"/>
    <w:qFormat/>
    <w:uiPriority w:val="99"/>
    <w:rPr>
      <w:rFonts w:ascii="Times New Roman" w:hAnsi="Times New Roman" w:eastAsia="宋体" w:cs="Times New Roman"/>
      <w:kern w:val="2"/>
      <w:sz w:val="18"/>
      <w:szCs w:val="18"/>
    </w:rPr>
  </w:style>
  <w:style w:type="character" w:customStyle="1" w:styleId="47">
    <w:name w:val="脚注文本 Char"/>
    <w:basedOn w:val="24"/>
    <w:link w:val="18"/>
    <w:qFormat/>
    <w:uiPriority w:val="99"/>
    <w:rPr>
      <w:rFonts w:ascii="Times New Roman" w:hAnsi="Times New Roman" w:eastAsia="宋体" w:cs="Times New Roman"/>
      <w:kern w:val="2"/>
      <w:sz w:val="18"/>
      <w:szCs w:val="18"/>
    </w:rPr>
  </w:style>
  <w:style w:type="character" w:customStyle="1" w:styleId="48">
    <w:name w:val="HTML 预设格式 Char"/>
    <w:basedOn w:val="24"/>
    <w:link w:val="19"/>
    <w:qFormat/>
    <w:uiPriority w:val="0"/>
    <w:rPr>
      <w:rFonts w:ascii="宋体" w:hAnsi="宋体" w:eastAsia="宋体" w:cs="宋体"/>
      <w:sz w:val="24"/>
      <w:szCs w:val="24"/>
    </w:rPr>
  </w:style>
  <w:style w:type="paragraph" w:customStyle="1" w:styleId="49">
    <w:name w:val="xl69"/>
    <w:basedOn w:val="1"/>
    <w:qFormat/>
    <w:uiPriority w:val="99"/>
    <w:pPr>
      <w:pBdr>
        <w:top w:val="single" w:color="auto" w:sz="8" w:space="0"/>
        <w:left w:val="single" w:color="auto" w:sz="8" w:space="0"/>
        <w:right w:val="single" w:color="auto" w:sz="8"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50">
    <w:name w:val="xl74"/>
    <w:basedOn w:val="1"/>
    <w:qFormat/>
    <w:uiPriority w:val="99"/>
    <w:pPr>
      <w:pBdr>
        <w:right w:val="single" w:color="auto" w:sz="8" w:space="0"/>
      </w:pBdr>
      <w:adjustRightInd/>
      <w:snapToGrid/>
      <w:spacing w:before="100" w:beforeAutospacing="1" w:after="100" w:afterAutospacing="1"/>
      <w:jc w:val="center"/>
    </w:pPr>
    <w:rPr>
      <w:rFonts w:ascii="宋体" w:hAnsi="宋体" w:eastAsia="宋体" w:cs="宋体"/>
    </w:rPr>
  </w:style>
  <w:style w:type="paragraph" w:customStyle="1" w:styleId="51">
    <w:name w:val="xl70"/>
    <w:basedOn w:val="1"/>
    <w:qFormat/>
    <w:uiPriority w:val="99"/>
    <w:pPr>
      <w:pBdr>
        <w:left w:val="single" w:color="auto" w:sz="8" w:space="0"/>
        <w:bottom w:val="single" w:color="auto" w:sz="8" w:space="0"/>
        <w:right w:val="single" w:color="auto" w:sz="8"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52">
    <w:name w:val="font7"/>
    <w:basedOn w:val="1"/>
    <w:qFormat/>
    <w:uiPriority w:val="99"/>
    <w:pPr>
      <w:adjustRightInd/>
      <w:snapToGrid/>
      <w:spacing w:before="100" w:beforeAutospacing="1" w:after="100" w:afterAutospacing="1"/>
    </w:pPr>
    <w:rPr>
      <w:rFonts w:ascii="宋体" w:hAnsi="宋体" w:eastAsia="宋体" w:cs="宋体"/>
      <w:color w:val="000000"/>
      <w:sz w:val="24"/>
      <w:szCs w:val="24"/>
    </w:rPr>
  </w:style>
  <w:style w:type="paragraph" w:customStyle="1" w:styleId="53">
    <w:name w:val="xl72"/>
    <w:basedOn w:val="1"/>
    <w:qFormat/>
    <w:uiPriority w:val="99"/>
    <w:pPr>
      <w:pBdr>
        <w:bottom w:val="single" w:color="auto" w:sz="8" w:space="0"/>
        <w:right w:val="single" w:color="auto" w:sz="8" w:space="0"/>
      </w:pBdr>
      <w:adjustRightInd/>
      <w:snapToGrid/>
      <w:spacing w:before="100" w:beforeAutospacing="1" w:after="100" w:afterAutospacing="1"/>
      <w:jc w:val="center"/>
    </w:pPr>
    <w:rPr>
      <w:rFonts w:ascii="宋体" w:hAnsi="宋体" w:eastAsia="宋体" w:cs="宋体"/>
      <w:b/>
      <w:bCs/>
    </w:rPr>
  </w:style>
  <w:style w:type="paragraph" w:customStyle="1" w:styleId="54">
    <w:name w:val="xl67"/>
    <w:basedOn w:val="1"/>
    <w:qFormat/>
    <w:uiPriority w:val="99"/>
    <w:pPr>
      <w:pBdr>
        <w:bottom w:val="single" w:color="auto" w:sz="8" w:space="0"/>
        <w:right w:val="single" w:color="auto" w:sz="8"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55">
    <w:name w:val="font5"/>
    <w:basedOn w:val="1"/>
    <w:qFormat/>
    <w:uiPriority w:val="99"/>
    <w:pPr>
      <w:adjustRightInd/>
      <w:snapToGrid/>
      <w:spacing w:before="100" w:beforeAutospacing="1" w:after="100" w:afterAutospacing="1"/>
    </w:pPr>
    <w:rPr>
      <w:rFonts w:ascii="宋体" w:hAnsi="宋体" w:eastAsia="宋体" w:cs="宋体"/>
      <w:b/>
      <w:bCs/>
      <w:color w:val="000000"/>
      <w:sz w:val="24"/>
      <w:szCs w:val="24"/>
    </w:rPr>
  </w:style>
  <w:style w:type="paragraph" w:customStyle="1" w:styleId="56">
    <w:name w:val="xl65"/>
    <w:basedOn w:val="1"/>
    <w:qFormat/>
    <w:uiPriority w:val="99"/>
    <w:pPr>
      <w:adjustRightInd/>
      <w:snapToGrid/>
      <w:spacing w:before="100" w:beforeAutospacing="1" w:after="100" w:afterAutospacing="1"/>
    </w:pPr>
    <w:rPr>
      <w:rFonts w:ascii="宋体" w:hAnsi="宋体" w:eastAsia="宋体" w:cs="宋体"/>
      <w:sz w:val="24"/>
      <w:szCs w:val="24"/>
    </w:rPr>
  </w:style>
  <w:style w:type="paragraph" w:customStyle="1" w:styleId="57">
    <w:name w:val="font6"/>
    <w:basedOn w:val="1"/>
    <w:qFormat/>
    <w:uiPriority w:val="99"/>
    <w:pPr>
      <w:adjustRightInd/>
      <w:snapToGrid/>
      <w:spacing w:before="100" w:beforeAutospacing="1" w:after="100" w:afterAutospacing="1"/>
    </w:pPr>
    <w:rPr>
      <w:rFonts w:ascii="宋体" w:hAnsi="宋体" w:eastAsia="宋体" w:cs="宋体"/>
      <w:color w:val="000000"/>
    </w:rPr>
  </w:style>
  <w:style w:type="paragraph" w:customStyle="1" w:styleId="58">
    <w:name w:val="xl75"/>
    <w:basedOn w:val="1"/>
    <w:qFormat/>
    <w:uiPriority w:val="99"/>
    <w:pPr>
      <w:pBdr>
        <w:bottom w:val="single" w:color="auto" w:sz="8" w:space="0"/>
        <w:right w:val="single" w:color="auto" w:sz="8" w:space="0"/>
      </w:pBdr>
      <w:adjustRightInd/>
      <w:snapToGrid/>
      <w:spacing w:before="100" w:beforeAutospacing="1" w:after="100" w:afterAutospacing="1"/>
      <w:jc w:val="center"/>
    </w:pPr>
    <w:rPr>
      <w:rFonts w:ascii="宋体" w:hAnsi="宋体" w:eastAsia="宋体" w:cs="宋体"/>
    </w:rPr>
  </w:style>
  <w:style w:type="paragraph" w:customStyle="1" w:styleId="59">
    <w:name w:val="Char Char Char Char Char Char1 Char"/>
    <w:basedOn w:val="1"/>
    <w:qFormat/>
    <w:uiPriority w:val="99"/>
    <w:pPr>
      <w:adjustRightInd/>
      <w:snapToGrid/>
      <w:spacing w:after="160" w:line="240" w:lineRule="exact"/>
    </w:pPr>
    <w:rPr>
      <w:rFonts w:ascii="Times New Roman" w:hAnsi="Times New Roman" w:eastAsia="宋体" w:cs="Times New Roman"/>
      <w:kern w:val="2"/>
      <w:sz w:val="21"/>
      <w:szCs w:val="24"/>
    </w:rPr>
  </w:style>
  <w:style w:type="paragraph" w:customStyle="1" w:styleId="60">
    <w:name w:val="xl68"/>
    <w:basedOn w:val="1"/>
    <w:qFormat/>
    <w:uiPriority w:val="99"/>
    <w:pPr>
      <w:pBdr>
        <w:bottom w:val="single" w:color="auto" w:sz="8" w:space="0"/>
        <w:right w:val="single" w:color="auto" w:sz="8" w:space="0"/>
      </w:pBdr>
      <w:adjustRightInd/>
      <w:snapToGrid/>
      <w:spacing w:before="100" w:beforeAutospacing="1" w:after="100" w:afterAutospacing="1"/>
      <w:jc w:val="center"/>
      <w:textAlignment w:val="top"/>
    </w:pPr>
    <w:rPr>
      <w:rFonts w:ascii="宋体" w:hAnsi="宋体" w:eastAsia="宋体" w:cs="宋体"/>
    </w:rPr>
  </w:style>
  <w:style w:type="paragraph" w:customStyle="1" w:styleId="61">
    <w:name w:val="xl66"/>
    <w:basedOn w:val="1"/>
    <w:qFormat/>
    <w:uiPriority w:val="99"/>
    <w:pPr>
      <w:pBdr>
        <w:top w:val="single" w:color="auto" w:sz="8" w:space="0"/>
        <w:bottom w:val="single" w:color="auto" w:sz="8" w:space="0"/>
        <w:right w:val="single" w:color="auto" w:sz="8"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62">
    <w:name w:val="xl73"/>
    <w:basedOn w:val="1"/>
    <w:qFormat/>
    <w:uiPriority w:val="99"/>
    <w:pPr>
      <w:pBdr>
        <w:top w:val="single" w:color="auto" w:sz="8" w:space="0"/>
        <w:right w:val="single" w:color="auto" w:sz="8"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63">
    <w:name w:val="xl71"/>
    <w:basedOn w:val="1"/>
    <w:qFormat/>
    <w:uiPriority w:val="99"/>
    <w:pPr>
      <w:pBdr>
        <w:right w:val="single" w:color="auto" w:sz="8" w:space="0"/>
      </w:pBdr>
      <w:adjustRightInd/>
      <w:snapToGrid/>
      <w:spacing w:before="100" w:beforeAutospacing="1" w:after="100" w:afterAutospacing="1"/>
      <w:jc w:val="center"/>
    </w:pPr>
    <w:rPr>
      <w:rFonts w:ascii="宋体" w:hAnsi="宋体" w:eastAsia="宋体" w:cs="宋体"/>
      <w:b/>
      <w:bCs/>
    </w:rPr>
  </w:style>
  <w:style w:type="paragraph" w:customStyle="1" w:styleId="64">
    <w:name w:val="样式 标题 2 + 行距: 固定值 30 磅"/>
    <w:basedOn w:val="4"/>
    <w:qFormat/>
    <w:uiPriority w:val="99"/>
    <w:pPr>
      <w:widowControl/>
      <w:spacing w:line="600" w:lineRule="exact"/>
      <w:jc w:val="left"/>
      <w:textAlignment w:val="baseline"/>
    </w:pPr>
    <w:rPr>
      <w:rFonts w:eastAsia="楷体_GB2312" w:cs="宋体"/>
      <w:color w:val="000000"/>
      <w:kern w:val="0"/>
      <w:szCs w:val="20"/>
      <w:u w:color="000000"/>
    </w:rPr>
  </w:style>
  <w:style w:type="paragraph" w:customStyle="1" w:styleId="65">
    <w:name w:val="列出段落1"/>
    <w:basedOn w:val="1"/>
    <w:qFormat/>
    <w:uiPriority w:val="99"/>
    <w:pPr>
      <w:widowControl w:val="0"/>
      <w:adjustRightInd/>
      <w:snapToGrid/>
      <w:spacing w:after="0"/>
      <w:ind w:firstLine="420" w:firstLineChars="200"/>
      <w:jc w:val="both"/>
    </w:pPr>
    <w:rPr>
      <w:rFonts w:ascii="Times New Roman" w:hAnsi="Times New Roman" w:eastAsia="宋体" w:cs="Times New Roman"/>
      <w:kern w:val="2"/>
      <w:sz w:val="21"/>
      <w:szCs w:val="24"/>
    </w:rPr>
  </w:style>
  <w:style w:type="paragraph" w:customStyle="1" w:styleId="66">
    <w:name w:val="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67">
    <w:name w:val="Char"/>
    <w:basedOn w:val="1"/>
    <w:qFormat/>
    <w:uiPriority w:val="99"/>
    <w:pPr>
      <w:adjustRightInd/>
      <w:snapToGrid/>
      <w:spacing w:after="160" w:line="240" w:lineRule="exact"/>
    </w:pPr>
    <w:rPr>
      <w:rFonts w:ascii="Calibri" w:hAnsi="Calibri" w:eastAsia="宋体" w:cs="Times New Roman"/>
      <w:kern w:val="2"/>
      <w:sz w:val="21"/>
    </w:rPr>
  </w:style>
  <w:style w:type="paragraph" w:customStyle="1" w:styleId="68">
    <w:name w:val="p"/>
    <w:basedOn w:val="1"/>
    <w:qFormat/>
    <w:uiPriority w:val="99"/>
    <w:pPr>
      <w:adjustRightInd/>
      <w:snapToGrid/>
      <w:spacing w:before="100" w:beforeAutospacing="1" w:after="100" w:afterAutospacing="1"/>
    </w:pPr>
    <w:rPr>
      <w:rFonts w:ascii="宋体" w:hAnsi="宋体" w:eastAsia="宋体" w:cs="宋体"/>
      <w:sz w:val="24"/>
      <w:szCs w:val="24"/>
    </w:rPr>
  </w:style>
  <w:style w:type="paragraph" w:customStyle="1" w:styleId="69">
    <w:name w:val="默认段落字体 Para Char Char Char Char"/>
    <w:basedOn w:val="1"/>
    <w:qFormat/>
    <w:uiPriority w:val="99"/>
    <w:pPr>
      <w:widowControl w:val="0"/>
      <w:adjustRightInd/>
      <w:snapToGrid/>
      <w:spacing w:after="0"/>
      <w:jc w:val="both"/>
    </w:pPr>
    <w:rPr>
      <w:rFonts w:ascii="Times New Roman" w:hAnsi="Times New Roman" w:eastAsia="宋体" w:cs="Times New Roman"/>
      <w:sz w:val="21"/>
      <w:szCs w:val="20"/>
      <w:lang w:eastAsia="en-US"/>
    </w:rPr>
  </w:style>
  <w:style w:type="character" w:customStyle="1" w:styleId="70">
    <w:name w:val="标题 Char"/>
    <w:basedOn w:val="24"/>
    <w:link w:val="21"/>
    <w:qFormat/>
    <w:uiPriority w:val="0"/>
    <w:rPr>
      <w:rFonts w:eastAsia="宋体" w:asciiTheme="majorHAnsi" w:hAnsiTheme="majorHAnsi" w:cstheme="majorBidi"/>
      <w:b/>
      <w:bCs/>
      <w:kern w:val="2"/>
      <w:sz w:val="32"/>
      <w:szCs w:val="32"/>
    </w:rPr>
  </w:style>
  <w:style w:type="paragraph" w:customStyle="1" w:styleId="71">
    <w:name w:val="TOC 标题1"/>
    <w:basedOn w:val="3"/>
    <w:next w:val="1"/>
    <w:unhideWhenUsed/>
    <w:qFormat/>
    <w:uiPriority w:val="39"/>
    <w:pPr>
      <w:spacing w:before="480" w:after="0" w:line="276" w:lineRule="auto"/>
      <w:jc w:val="left"/>
      <w:textAlignment w:val="auto"/>
      <w:outlineLvl w:val="9"/>
    </w:pPr>
    <w:rPr>
      <w:rFonts w:asciiTheme="majorHAnsi" w:hAnsiTheme="majorHAnsi" w:eastAsiaTheme="majorEastAsia" w:cstheme="majorBidi"/>
      <w:color w:val="376092" w:themeColor="accent1" w:themeShade="BF"/>
      <w:kern w:val="0"/>
      <w:sz w:val="28"/>
      <w:szCs w:val="28"/>
    </w:rPr>
  </w:style>
  <w:style w:type="character" w:customStyle="1" w:styleId="72">
    <w:name w:val="font01"/>
    <w:basedOn w:val="24"/>
    <w:qFormat/>
    <w:uiPriority w:val="0"/>
    <w:rPr>
      <w:rFonts w:hint="eastAsia" w:ascii="宋体" w:hAnsi="宋体" w:eastAsia="宋体" w:cs="宋体"/>
      <w:b/>
      <w:color w:val="000000"/>
      <w:sz w:val="32"/>
      <w:szCs w:val="32"/>
      <w:u w:val="none"/>
    </w:rPr>
  </w:style>
  <w:style w:type="character" w:customStyle="1" w:styleId="73">
    <w:name w:val="font21"/>
    <w:basedOn w:val="24"/>
    <w:qFormat/>
    <w:uiPriority w:val="0"/>
    <w:rPr>
      <w:rFonts w:hint="default" w:ascii="Times New Roman" w:hAnsi="Times New Roman" w:cs="Times New Roman"/>
      <w:b/>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21326;\Desktop\&#26354;&#38451;&#24212;&#24613;&#23616;&#32489;&#25928;&#35780;&#20215;\&#34920;&#2668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21326;\Desktop\&#26354;&#38451;&#24212;&#24613;&#23616;&#32489;&#25928;&#35780;&#20215;\&#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4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2021</a:t>
            </a:r>
            <a:r>
              <a:rPr altLang="en-US" sz="1400" b="0" i="0" u="none" strike="noStrike" baseline="0">
                <a:solidFill>
                  <a:srgbClr val="333333"/>
                </a:solidFill>
                <a:latin typeface="等线" panose="02010600030101010101" charset="-122"/>
                <a:ea typeface="等线" panose="02010600030101010101" charset="-122"/>
                <a:cs typeface="等线" panose="02010600030101010101" charset="-122"/>
              </a:rPr>
              <a:t>年预算收入与决算收入对比图</a:t>
            </a:r>
            <a:endParaRPr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203657971909245"/>
          <c:y val="0.00530195036609861"/>
        </c:manualLayout>
      </c:layout>
      <c:overlay val="0"/>
      <c:spPr>
        <a:noFill/>
        <a:ln>
          <a:noFill/>
        </a:ln>
        <a:effectLst/>
      </c:spPr>
    </c:title>
    <c:autoTitleDeleted val="0"/>
    <c:plotArea>
      <c:layout/>
      <c:barChart>
        <c:barDir val="col"/>
        <c:grouping val="clustered"/>
        <c:varyColors val="0"/>
        <c:ser>
          <c:idx val="0"/>
          <c:order val="0"/>
          <c:tx>
            <c:strRef>
              <c:f>[表格.xlsx]Sheet1!$E$16</c:f>
              <c:strCache>
                <c:ptCount val="1"/>
                <c:pt idx="0">
                  <c:v>预算</c:v>
                </c:pt>
              </c:strCache>
            </c:strRef>
          </c:tx>
          <c:spPr>
            <a:solidFill>
              <a:schemeClr val="accent1"/>
            </a:solidFill>
            <a:ln>
              <a:noFill/>
            </a:ln>
            <a:effectLst/>
          </c:spPr>
          <c:invertIfNegative val="0"/>
          <c:dLbls>
            <c:dLbl>
              <c:idx val="0"/>
              <c:layout>
                <c:manualLayout>
                  <c:x val="-0.00694551628337706"/>
                  <c:y val="0.0144927536231884"/>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26429299476019"/>
                  <c:y val="-0.000875935658544325"/>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607979734008866"/>
                  <c:y val="-0.000948638026832904"/>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0.0670044331855605"/>
                      <c:h val="0.0468898224691693"/>
                    </c:manualLayout>
                  </c15:layout>
                </c:ext>
              </c:extLst>
            </c:dLbl>
            <c:dLbl>
              <c:idx val="4"/>
              <c:layout>
                <c:manualLayout>
                  <c:x val="-0.0246673643294962"/>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224192526915769"/>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[表格.xlsx]Sheet1!$D$17:$D$23</c:f>
              <c:strCache>
                <c:ptCount val="7"/>
                <c:pt idx="0">
                  <c:v>科学技术支出</c:v>
                </c:pt>
                <c:pt idx="1">
                  <c:v>社会保障和就业支出</c:v>
                </c:pt>
                <c:pt idx="2">
                  <c:v>卫生健康支出</c:v>
                </c:pt>
                <c:pt idx="3">
                  <c:v>农林水支出</c:v>
                </c:pt>
                <c:pt idx="4">
                  <c:v>住房保障支出</c:v>
                </c:pt>
                <c:pt idx="5">
                  <c:v>灾害防治及应急管理支出</c:v>
                </c:pt>
                <c:pt idx="6">
                  <c:v>其他支出</c:v>
                </c:pt>
              </c:strCache>
            </c:strRef>
          </c:cat>
          <c:val>
            <c:numRef>
              <c:f>[表格.xlsx]Sheet1!$E$17:$E$23</c:f>
              <c:numCache>
                <c:formatCode>General</c:formatCode>
                <c:ptCount val="7"/>
                <c:pt idx="0">
                  <c:v>0</c:v>
                </c:pt>
                <c:pt idx="1">
                  <c:v>133.13</c:v>
                </c:pt>
                <c:pt idx="2" c:formatCode="0.00_ ">
                  <c:v>45.44</c:v>
                </c:pt>
                <c:pt idx="3" c:formatCode="0.00_ ">
                  <c:v>0</c:v>
                </c:pt>
                <c:pt idx="4" c:formatCode="0.00_ ">
                  <c:v>75.96</c:v>
                </c:pt>
                <c:pt idx="5" c:formatCode="0.00_ ">
                  <c:v>1001.93</c:v>
                </c:pt>
                <c:pt idx="6" c:formatCode="0.00_ ">
                  <c:v>158.45</c:v>
                </c:pt>
              </c:numCache>
            </c:numRef>
          </c:val>
        </c:ser>
        <c:ser>
          <c:idx val="1"/>
          <c:order val="1"/>
          <c:tx>
            <c:strRef>
              <c:f>[表格.xlsx]Sheet1!$F$16</c:f>
              <c:strCache>
                <c:ptCount val="1"/>
                <c:pt idx="0">
                  <c:v>决算</c:v>
                </c:pt>
              </c:strCache>
            </c:strRef>
          </c:tx>
          <c:spPr>
            <a:gradFill>
              <a:gsLst>
                <a:gs pos="0">
                  <a:srgbClr val="FE4444"/>
                </a:gs>
                <a:gs pos="100000">
                  <a:srgbClr val="832B2B"/>
                </a:gs>
              </a:gsLst>
              <a:lin ang="5400000" scaled="0"/>
            </a:gradFill>
            <a:ln>
              <a:noFill/>
            </a:ln>
            <a:effectLst/>
          </c:spPr>
          <c:invertIfNegative val="0"/>
          <c:dPt>
            <c:idx val="2"/>
            <c:invertIfNegative val="0"/>
            <c:bubble3D val="0"/>
          </c:dPt>
          <c:dLbls>
            <c:dLbl>
              <c:idx val="0"/>
              <c:layout>
                <c:manualLayout>
                  <c:x val="-0.00221115966828309"/>
                  <c:y val="-0.030447163100579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8.9</a:t>
                    </a:r>
                    <a:r>
                      <a:rPr lang="en-US" altLang="zh-CN"/>
                      <a:t>9</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43271391356013"/>
                  <c:y val="-0.029320589632247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216.5</a:t>
                    </a:r>
                    <a:r>
                      <a:rPr lang="en-US" altLang="zh-CN"/>
                      <a:t>2</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180256211731376"/>
                  <c:y val="0.0027103943623797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0177327422419253"/>
                  <c:y val="-0.00731806477842526"/>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358798026610854"/>
                  <c:y val="-0.0494505494505494"/>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138062064597847"/>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[表格.xlsx]Sheet1!$D$17:$D$23</c:f>
              <c:strCache>
                <c:ptCount val="7"/>
                <c:pt idx="0">
                  <c:v>科学技术支出</c:v>
                </c:pt>
                <c:pt idx="1">
                  <c:v>社会保障和就业支出</c:v>
                </c:pt>
                <c:pt idx="2">
                  <c:v>卫生健康支出</c:v>
                </c:pt>
                <c:pt idx="3">
                  <c:v>农林水支出</c:v>
                </c:pt>
                <c:pt idx="4">
                  <c:v>住房保障支出</c:v>
                </c:pt>
                <c:pt idx="5">
                  <c:v>灾害防治及应急管理支出</c:v>
                </c:pt>
                <c:pt idx="6">
                  <c:v>其他支出</c:v>
                </c:pt>
              </c:strCache>
            </c:strRef>
          </c:cat>
          <c:val>
            <c:numRef>
              <c:f>[表格.xlsx]Sheet1!$F$17:$F$23</c:f>
              <c:numCache>
                <c:formatCode>General</c:formatCode>
                <c:ptCount val="7"/>
                <c:pt idx="0">
                  <c:v>8.985</c:v>
                </c:pt>
                <c:pt idx="1">
                  <c:v>216.515354</c:v>
                </c:pt>
                <c:pt idx="2" c:formatCode="0.00_ ">
                  <c:v>44.501163</c:v>
                </c:pt>
                <c:pt idx="3" c:formatCode="0.00_ ">
                  <c:v>17.8</c:v>
                </c:pt>
                <c:pt idx="4" c:formatCode="0.00_ ">
                  <c:v>78.296628</c:v>
                </c:pt>
                <c:pt idx="5" c:formatCode="0.00_ ">
                  <c:v>1178.487776</c:v>
                </c:pt>
                <c:pt idx="6" c:formatCode="0.00_ ">
                  <c:v>19.9442</c:v>
                </c:pt>
              </c:numCache>
            </c:numRef>
          </c:val>
        </c:ser>
        <c:dLbls>
          <c:showLegendKey val="0"/>
          <c:showVal val="0"/>
          <c:showCatName val="0"/>
          <c:showSerName val="0"/>
          <c:showPercent val="0"/>
          <c:showBubbleSize val="0"/>
        </c:dLbls>
        <c:gapWidth val="219"/>
        <c:overlap val="-27"/>
        <c:axId val="132446850"/>
        <c:axId val="917294263"/>
      </c:barChart>
      <c:catAx>
        <c:axId val="13244685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7294263"/>
        <c:crosses val="autoZero"/>
        <c:auto val="1"/>
        <c:lblAlgn val="ctr"/>
        <c:lblOffset val="100"/>
        <c:noMultiLvlLbl val="0"/>
      </c:catAx>
      <c:valAx>
        <c:axId val="917294263"/>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244685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4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2021</a:t>
            </a:r>
            <a:r>
              <a:rPr altLang="en-US" sz="1400" b="0" i="0" u="none" strike="noStrike" baseline="0">
                <a:solidFill>
                  <a:srgbClr val="333333"/>
                </a:solidFill>
                <a:latin typeface="等线" panose="02010600030101010101" charset="-122"/>
                <a:ea typeface="等线" panose="02010600030101010101" charset="-122"/>
                <a:cs typeface="等线" panose="02010600030101010101" charset="-122"/>
              </a:rPr>
              <a:t>年预算支出与决算支出对比图</a:t>
            </a:r>
            <a:endParaRPr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215463917525773"/>
          <c:y val="0.0255536626916525"/>
        </c:manualLayout>
      </c:layout>
      <c:overlay val="0"/>
      <c:spPr>
        <a:noFill/>
        <a:ln>
          <a:noFill/>
        </a:ln>
        <a:effectLst/>
      </c:spPr>
    </c:title>
    <c:autoTitleDeleted val="0"/>
    <c:plotArea>
      <c:layout>
        <c:manualLayout>
          <c:layoutTarget val="inner"/>
          <c:xMode val="edge"/>
          <c:yMode val="edge"/>
          <c:x val="0.140858151966399"/>
          <c:y val="0.218086851741557"/>
          <c:w val="0.735648148148148"/>
          <c:h val="0.454259259259259"/>
        </c:manualLayout>
      </c:layout>
      <c:barChart>
        <c:barDir val="col"/>
        <c:grouping val="clustered"/>
        <c:varyColors val="0"/>
        <c:ser>
          <c:idx val="0"/>
          <c:order val="0"/>
          <c:tx>
            <c:strRef>
              <c:f>[表格.xlsx]Sheet1!$E$35</c:f>
              <c:strCache>
                <c:ptCount val="1"/>
                <c:pt idx="0">
                  <c:v>预算</c:v>
                </c:pt>
              </c:strCache>
            </c:strRef>
          </c:tx>
          <c:spPr>
            <a:solidFill>
              <a:schemeClr val="accent1"/>
            </a:solidFill>
            <a:ln>
              <a:noFill/>
            </a:ln>
            <a:effectLst/>
          </c:spPr>
          <c:invertIfNegative val="0"/>
          <c:dLbls>
            <c:dLbl>
              <c:idx val="0"/>
              <c:layout>
                <c:manualLayout>
                  <c:x val="-0.0185567010309278"/>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44329896907217"/>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206185567010309"/>
                  <c:y val="-0.0438062788999757"/>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0902853015529072"/>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196220055374985"/>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[表格.xlsx]Sheet1!$D$36:$D$42</c:f>
              <c:strCache>
                <c:ptCount val="7"/>
                <c:pt idx="0">
                  <c:v>科学技术支出</c:v>
                </c:pt>
                <c:pt idx="1">
                  <c:v>社会保障和就业支出</c:v>
                </c:pt>
                <c:pt idx="2">
                  <c:v>卫生健康支出</c:v>
                </c:pt>
                <c:pt idx="3">
                  <c:v>农林水支出</c:v>
                </c:pt>
                <c:pt idx="4">
                  <c:v>住房保障支出</c:v>
                </c:pt>
                <c:pt idx="5">
                  <c:v>灾害防治及应急管理支出</c:v>
                </c:pt>
                <c:pt idx="6">
                  <c:v>其他支出</c:v>
                </c:pt>
              </c:strCache>
            </c:strRef>
          </c:cat>
          <c:val>
            <c:numRef>
              <c:f>[表格.xlsx]Sheet1!$E$36:$E$42</c:f>
              <c:numCache>
                <c:formatCode>General</c:formatCode>
                <c:ptCount val="7"/>
                <c:pt idx="0">
                  <c:v>0</c:v>
                </c:pt>
                <c:pt idx="1">
                  <c:v>133.13</c:v>
                </c:pt>
                <c:pt idx="2" c:formatCode="0.00_ ">
                  <c:v>45.44</c:v>
                </c:pt>
                <c:pt idx="3" c:formatCode="0.00_ ">
                  <c:v>0</c:v>
                </c:pt>
                <c:pt idx="4" c:formatCode="0.00_ ">
                  <c:v>75.96</c:v>
                </c:pt>
                <c:pt idx="5" c:formatCode="0.00_ ">
                  <c:v>1001.93</c:v>
                </c:pt>
                <c:pt idx="6" c:formatCode="0.00_ ">
                  <c:v>158.45</c:v>
                </c:pt>
              </c:numCache>
            </c:numRef>
          </c:val>
        </c:ser>
        <c:ser>
          <c:idx val="1"/>
          <c:order val="1"/>
          <c:tx>
            <c:strRef>
              <c:f>[表格.xlsx]Sheet1!$F$35</c:f>
              <c:strCache>
                <c:ptCount val="1"/>
                <c:pt idx="0">
                  <c:v>决算</c:v>
                </c:pt>
              </c:strCache>
            </c:strRef>
          </c:tx>
          <c:spPr>
            <a:gradFill>
              <a:gsLst>
                <a:gs pos="0">
                  <a:srgbClr val="FE4444"/>
                </a:gs>
                <a:gs pos="100000">
                  <a:srgbClr val="832B2B"/>
                </a:gs>
              </a:gsLst>
              <a:lin ang="5400000" scaled="0"/>
            </a:gradFill>
            <a:ln>
              <a:noFill/>
            </a:ln>
            <a:effectLst/>
          </c:spPr>
          <c:invertIfNegative val="0"/>
          <c:dLbls>
            <c:dLbl>
              <c:idx val="0"/>
              <c:layout>
                <c:manualLayout>
                  <c:x val="0.0218685272264479"/>
                  <c:y val="-0.0147532066931625"/>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44329896907217"/>
                  <c:y val="-0.0536033353186421"/>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206185567010303"/>
                  <c:y val="-0.00230540290485116"/>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114361381967016"/>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172143974960876"/>
                  <c:y val="0"/>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0.0636812326953172"/>
                      <c:h val="0.0776418242491657"/>
                    </c:manualLayout>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[表格.xlsx]Sheet1!$D$36:$D$42</c:f>
              <c:strCache>
                <c:ptCount val="7"/>
                <c:pt idx="0">
                  <c:v>科学技术支出</c:v>
                </c:pt>
                <c:pt idx="1">
                  <c:v>社会保障和就业支出</c:v>
                </c:pt>
                <c:pt idx="2">
                  <c:v>卫生健康支出</c:v>
                </c:pt>
                <c:pt idx="3">
                  <c:v>农林水支出</c:v>
                </c:pt>
                <c:pt idx="4">
                  <c:v>住房保障支出</c:v>
                </c:pt>
                <c:pt idx="5">
                  <c:v>灾害防治及应急管理支出</c:v>
                </c:pt>
                <c:pt idx="6">
                  <c:v>其他支出</c:v>
                </c:pt>
              </c:strCache>
            </c:strRef>
          </c:cat>
          <c:val>
            <c:numRef>
              <c:f>[表格.xlsx]Sheet1!$F$36:$F$42</c:f>
              <c:numCache>
                <c:formatCode>0.00_ </c:formatCode>
                <c:ptCount val="7"/>
                <c:pt idx="0">
                  <c:v>8.985</c:v>
                </c:pt>
                <c:pt idx="1">
                  <c:v>216.515354</c:v>
                </c:pt>
                <c:pt idx="2">
                  <c:v>44.501163</c:v>
                </c:pt>
                <c:pt idx="3">
                  <c:v>17.8</c:v>
                </c:pt>
                <c:pt idx="4">
                  <c:v>78.296628</c:v>
                </c:pt>
                <c:pt idx="5">
                  <c:v>1178.479758</c:v>
                </c:pt>
                <c:pt idx="6">
                  <c:v>19.9442</c:v>
                </c:pt>
              </c:numCache>
            </c:numRef>
          </c:val>
        </c:ser>
        <c:dLbls>
          <c:showLegendKey val="0"/>
          <c:showVal val="0"/>
          <c:showCatName val="0"/>
          <c:showSerName val="0"/>
          <c:showPercent val="0"/>
          <c:showBubbleSize val="0"/>
        </c:dLbls>
        <c:gapWidth val="219"/>
        <c:overlap val="-27"/>
        <c:axId val="911260392"/>
        <c:axId val="467849746"/>
      </c:barChart>
      <c:catAx>
        <c:axId val="911260392"/>
        <c:scaling>
          <c:orientation val="minMax"/>
        </c:scaling>
        <c:delete val="0"/>
        <c:axPos val="b"/>
        <c:majorTickMark val="none"/>
        <c:minorTickMark val="none"/>
        <c:tickLblPos val="nextTo"/>
        <c:spPr>
          <a:noFill/>
          <a:ln w="317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7849746"/>
        <c:crosses val="autoZero"/>
        <c:auto val="1"/>
        <c:lblAlgn val="ctr"/>
        <c:lblOffset val="100"/>
        <c:noMultiLvlLbl val="0"/>
      </c:catAx>
      <c:valAx>
        <c:axId val="46784974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1260392"/>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B40203-EA67-47C5-A774-862D3FD116D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15966</Words>
  <Characters>17201</Characters>
  <Lines>137</Lines>
  <Paragraphs>38</Paragraphs>
  <TotalTime>2</TotalTime>
  <ScaleCrop>false</ScaleCrop>
  <LinksUpToDate>false</LinksUpToDate>
  <CharactersWithSpaces>17502</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2019-11-18T06:52:00Z</dcterms:created>
  <dc:creator>Administrator</dc:creator>
  <cp:lastModifiedBy>Administrator</cp:lastModifiedBy>
  <cp:lastPrinted>2021-12-29T06:59:00Z</cp:lastPrinted>
  <dcterms:modified xsi:type="dcterms:W3CDTF">2022-11-07T03:09:45Z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362CF912556F465DB62A7006C948F992</vt:lpwstr>
  </property>
</Properties>
</file>