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sz w:val="24"/>
          <w:szCs w:val="24"/>
        </w:rPr>
      </w:pPr>
    </w:p>
    <w:p>
      <w:pPr>
        <w:jc w:val="center"/>
        <w:rPr>
          <w:rFonts w:ascii="宋体" w:hAnsi="宋体"/>
          <w:sz w:val="24"/>
          <w:szCs w:val="24"/>
        </w:rPr>
      </w:pPr>
    </w:p>
    <w:p>
      <w:pPr>
        <w:jc w:val="center"/>
        <w:rPr>
          <w:rFonts w:ascii="宋体" w:hAnsi="宋体"/>
          <w:sz w:val="24"/>
          <w:szCs w:val="24"/>
        </w:rPr>
      </w:pPr>
    </w:p>
    <w:p>
      <w:pPr>
        <w:jc w:val="center"/>
        <w:rPr>
          <w:rFonts w:ascii="宋体" w:hAnsi="宋体"/>
          <w:sz w:val="24"/>
          <w:szCs w:val="24"/>
        </w:rPr>
      </w:pPr>
    </w:p>
    <w:p>
      <w:pPr>
        <w:rPr>
          <w:rFonts w:ascii="宋体" w:hAnsi="宋体"/>
          <w:sz w:val="36"/>
          <w:szCs w:val="36"/>
        </w:rPr>
      </w:pPr>
    </w:p>
    <w:p>
      <w:pPr>
        <w:jc w:val="center"/>
        <w:rPr>
          <w:rFonts w:ascii="宋体" w:hAnsi="宋体"/>
          <w:szCs w:val="21"/>
        </w:rPr>
      </w:pPr>
    </w:p>
    <w:p>
      <w:pPr>
        <w:spacing w:line="900" w:lineRule="exact"/>
        <w:jc w:val="center"/>
        <w:rPr>
          <w:rFonts w:hint="eastAsia" w:ascii="仿宋" w:hAnsi="仿宋" w:eastAsia="仿宋" w:cs="仿宋"/>
          <w:b/>
          <w:bCs/>
          <w:sz w:val="52"/>
          <w:szCs w:val="52"/>
        </w:rPr>
      </w:pPr>
      <w:r>
        <w:rPr>
          <w:rFonts w:hint="eastAsia" w:ascii="仿宋" w:hAnsi="仿宋" w:eastAsia="仿宋" w:cs="仿宋"/>
          <w:b/>
          <w:bCs/>
          <w:sz w:val="52"/>
          <w:szCs w:val="52"/>
        </w:rPr>
        <w:t>重点资金支出项目绩效评价报告</w:t>
      </w:r>
    </w:p>
    <w:p>
      <w:pPr>
        <w:spacing w:line="900" w:lineRule="exact"/>
        <w:jc w:val="center"/>
        <w:rPr>
          <w:rFonts w:ascii="方正小标宋_GBK" w:eastAsia="方正小标宋_GBK"/>
          <w:sz w:val="52"/>
          <w:szCs w:val="52"/>
        </w:rPr>
      </w:pPr>
    </w:p>
    <w:p>
      <w:pPr>
        <w:jc w:val="center"/>
        <w:rPr>
          <w:rFonts w:hint="eastAsia" w:ascii="仿宋" w:hAnsi="仿宋" w:eastAsia="仿宋" w:cs="仿宋"/>
          <w:sz w:val="32"/>
          <w:szCs w:val="32"/>
        </w:rPr>
      </w:pPr>
      <w:r>
        <w:rPr>
          <w:rFonts w:hint="eastAsia" w:ascii="仿宋" w:hAnsi="仿宋" w:eastAsia="仿宋" w:cs="仿宋"/>
          <w:sz w:val="32"/>
          <w:szCs w:val="32"/>
        </w:rPr>
        <w:t>（   202</w:t>
      </w:r>
      <w:r>
        <w:rPr>
          <w:rFonts w:hint="eastAsia" w:ascii="仿宋" w:hAnsi="仿宋" w:eastAsia="仿宋" w:cs="仿宋"/>
          <w:sz w:val="32"/>
          <w:szCs w:val="32"/>
          <w:lang w:val="en-US" w:eastAsia="zh-CN"/>
        </w:rPr>
        <w:t>1</w:t>
      </w:r>
      <w:r>
        <w:rPr>
          <w:rFonts w:hint="eastAsia" w:ascii="仿宋" w:hAnsi="仿宋" w:eastAsia="仿宋" w:cs="仿宋"/>
          <w:sz w:val="32"/>
          <w:szCs w:val="32"/>
        </w:rPr>
        <w:t xml:space="preserve">  年度）</w:t>
      </w:r>
    </w:p>
    <w:p>
      <w:pPr>
        <w:rPr>
          <w:rFonts w:hint="eastAsia" w:ascii="仿宋" w:hAnsi="仿宋" w:eastAsia="仿宋" w:cs="仿宋"/>
          <w:sz w:val="32"/>
          <w:szCs w:val="32"/>
        </w:rPr>
      </w:pPr>
    </w:p>
    <w:p>
      <w:pPr>
        <w:pStyle w:val="2"/>
        <w:rPr>
          <w:rFonts w:hint="eastAsia" w:ascii="仿宋" w:hAnsi="仿宋" w:eastAsia="仿宋" w:cs="仿宋"/>
          <w:sz w:val="32"/>
          <w:szCs w:val="32"/>
        </w:rPr>
      </w:pPr>
    </w:p>
    <w:p>
      <w:pPr>
        <w:rPr>
          <w:rFonts w:hint="eastAsia"/>
        </w:rPr>
      </w:pPr>
    </w:p>
    <w:p>
      <w:pPr>
        <w:spacing w:line="900" w:lineRule="exact"/>
        <w:ind w:firstLine="1050" w:firstLineChars="350"/>
        <w:rPr>
          <w:rFonts w:ascii="宋体" w:hAnsi="宋体"/>
          <w:sz w:val="30"/>
          <w:szCs w:val="30"/>
        </w:rPr>
      </w:pPr>
    </w:p>
    <w:p>
      <w:pPr>
        <w:pStyle w:val="2"/>
      </w:pPr>
    </w:p>
    <w:p>
      <w:pPr>
        <w:spacing w:line="900" w:lineRule="exact"/>
        <w:ind w:firstLine="1120" w:firstLineChars="350"/>
        <w:jc w:val="left"/>
        <w:rPr>
          <w:rFonts w:hint="eastAsia" w:ascii="仿宋" w:hAnsi="仿宋" w:eastAsia="仿宋" w:cs="仿宋"/>
          <w:sz w:val="32"/>
          <w:szCs w:val="32"/>
        </w:rPr>
      </w:pPr>
      <w:r>
        <w:rPr>
          <w:rFonts w:hint="eastAsia" w:ascii="仿宋" w:hAnsi="仿宋" w:eastAsia="仿宋" w:cs="仿宋"/>
          <w:sz w:val="32"/>
          <w:szCs w:val="32"/>
        </w:rPr>
        <w:t>评价机构：</w:t>
      </w:r>
      <w:r>
        <w:rPr>
          <w:rFonts w:hint="eastAsia" w:ascii="仿宋" w:hAnsi="仿宋" w:eastAsia="仿宋" w:cs="仿宋"/>
          <w:sz w:val="32"/>
          <w:szCs w:val="32"/>
          <w:lang w:eastAsia="zh-CN"/>
        </w:rPr>
        <w:t>曲阳县财政局、</w:t>
      </w:r>
      <w:r>
        <w:rPr>
          <w:rFonts w:hint="eastAsia" w:ascii="仿宋" w:hAnsi="仿宋" w:eastAsia="仿宋" w:cs="仿宋"/>
          <w:sz w:val="32"/>
          <w:szCs w:val="32"/>
        </w:rPr>
        <w:t>河北中盛信达会计师事务所有限公司</w:t>
      </w:r>
    </w:p>
    <w:p>
      <w:pPr>
        <w:spacing w:line="900" w:lineRule="exact"/>
        <w:ind w:firstLine="1120" w:firstLineChars="350"/>
        <w:jc w:val="left"/>
        <w:rPr>
          <w:rFonts w:hint="eastAsia" w:ascii="仿宋" w:hAnsi="仿宋" w:eastAsia="仿宋" w:cs="仿宋"/>
          <w:sz w:val="32"/>
          <w:szCs w:val="32"/>
        </w:rPr>
      </w:pPr>
      <w:r>
        <w:rPr>
          <w:rFonts w:hint="eastAsia" w:ascii="仿宋" w:hAnsi="仿宋" w:eastAsia="仿宋" w:cs="仿宋"/>
          <w:sz w:val="32"/>
          <w:szCs w:val="32"/>
        </w:rPr>
        <w:t>项目名称：202</w:t>
      </w:r>
      <w:r>
        <w:rPr>
          <w:rFonts w:hint="eastAsia" w:ascii="仿宋" w:hAnsi="仿宋" w:eastAsia="仿宋" w:cs="仿宋"/>
          <w:sz w:val="32"/>
          <w:szCs w:val="32"/>
          <w:lang w:val="en-US" w:eastAsia="zh-CN"/>
        </w:rPr>
        <w:t>1</w:t>
      </w:r>
      <w:r>
        <w:rPr>
          <w:rFonts w:hint="eastAsia" w:ascii="仿宋" w:hAnsi="仿宋" w:eastAsia="仿宋" w:cs="仿宋"/>
          <w:sz w:val="32"/>
          <w:szCs w:val="32"/>
        </w:rPr>
        <w:t>年</w:t>
      </w:r>
      <w:r>
        <w:rPr>
          <w:rFonts w:hint="eastAsia" w:ascii="仿宋" w:hAnsi="仿宋" w:eastAsia="仿宋" w:cs="仿宋"/>
          <w:sz w:val="32"/>
          <w:szCs w:val="32"/>
          <w:lang w:val="en-US" w:eastAsia="zh-CN"/>
        </w:rPr>
        <w:t>中央城乡居民养老保险补助</w:t>
      </w:r>
      <w:r>
        <w:rPr>
          <w:rFonts w:hint="eastAsia" w:ascii="仿宋" w:hAnsi="仿宋" w:eastAsia="仿宋" w:cs="仿宋"/>
          <w:sz w:val="32"/>
          <w:szCs w:val="32"/>
        </w:rPr>
        <w:t>项目</w:t>
      </w:r>
    </w:p>
    <w:p>
      <w:pPr>
        <w:spacing w:line="900" w:lineRule="exact"/>
        <w:ind w:firstLine="1120" w:firstLineChars="350"/>
        <w:jc w:val="left"/>
        <w:rPr>
          <w:rFonts w:hint="eastAsia" w:ascii="仿宋" w:hAnsi="仿宋" w:eastAsia="仿宋" w:cs="仿宋"/>
          <w:sz w:val="32"/>
          <w:szCs w:val="32"/>
          <w:lang w:eastAsia="zh-CN"/>
        </w:rPr>
      </w:pPr>
      <w:r>
        <w:rPr>
          <w:rFonts w:hint="eastAsia" w:ascii="仿宋" w:hAnsi="仿宋" w:eastAsia="仿宋" w:cs="仿宋"/>
          <w:sz w:val="32"/>
          <w:szCs w:val="32"/>
        </w:rPr>
        <w:t>项目承担单位：</w:t>
      </w:r>
      <w:r>
        <w:rPr>
          <w:rFonts w:hint="eastAsia" w:ascii="仿宋" w:hAnsi="仿宋" w:eastAsia="仿宋" w:cs="仿宋"/>
          <w:sz w:val="32"/>
          <w:szCs w:val="32"/>
          <w:lang w:eastAsia="zh-CN"/>
        </w:rPr>
        <w:t>曲阳县城乡居民社会养老保险服务中心</w:t>
      </w:r>
    </w:p>
    <w:p>
      <w:pPr>
        <w:spacing w:line="900" w:lineRule="exact"/>
        <w:ind w:firstLine="1120" w:firstLineChars="350"/>
        <w:jc w:val="left"/>
        <w:rPr>
          <w:rFonts w:hint="eastAsia" w:ascii="仿宋" w:hAnsi="仿宋" w:eastAsia="仿宋" w:cs="仿宋"/>
          <w:sz w:val="32"/>
          <w:szCs w:val="32"/>
        </w:rPr>
      </w:pPr>
      <w:r>
        <w:rPr>
          <w:rFonts w:hint="eastAsia" w:ascii="仿宋" w:hAnsi="仿宋" w:eastAsia="仿宋" w:cs="仿宋"/>
          <w:sz w:val="32"/>
          <w:szCs w:val="32"/>
        </w:rPr>
        <w:t>报 告 日 期：202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日</w:t>
      </w:r>
    </w:p>
    <w:p>
      <w:pPr>
        <w:pStyle w:val="2"/>
      </w:pPr>
    </w:p>
    <w:p/>
    <w:p/>
    <w:sdt>
      <w:sdtPr>
        <w:rPr>
          <w:rFonts w:ascii="宋体" w:hAnsi="宋体" w:eastAsia="宋体" w:cs="Times New Roman"/>
          <w:kern w:val="2"/>
          <w:sz w:val="21"/>
          <w:lang w:val="en-US" w:eastAsia="zh-CN" w:bidi="ar-SA"/>
        </w:rPr>
        <w:id w:val="147465289"/>
        <w15:color w:val="DBDBDB"/>
        <w:docPartObj>
          <w:docPartGallery w:val="Table of Contents"/>
          <w:docPartUnique/>
        </w:docPartObj>
      </w:sdtPr>
      <w:sdtEndPr>
        <w:rPr>
          <w:rFonts w:hint="eastAsia" w:ascii="仿宋" w:hAnsi="仿宋" w:eastAsia="仿宋" w:cs="仿宋"/>
          <w:kern w:val="2"/>
          <w:sz w:val="30"/>
          <w:szCs w:val="30"/>
          <w:lang w:val="en-US" w:eastAsia="zh-CN" w:bidi="ar-SA"/>
        </w:rPr>
      </w:sdtEndPr>
      <w:sdtContent>
        <w:p>
          <w:pPr>
            <w:spacing w:before="0" w:beforeLines="0" w:after="0" w:afterLines="0" w:line="240" w:lineRule="auto"/>
            <w:ind w:left="0" w:leftChars="0" w:right="0" w:rightChars="0" w:firstLine="0" w:firstLineChars="0"/>
            <w:jc w:val="center"/>
            <w:rPr>
              <w:rFonts w:ascii="宋体" w:hAnsi="宋体" w:eastAsia="宋体" w:cs="Times New Roman"/>
              <w:kern w:val="2"/>
              <w:sz w:val="21"/>
              <w:lang w:val="en-US" w:eastAsia="zh-CN" w:bidi="ar-SA"/>
            </w:rPr>
          </w:pPr>
        </w:p>
        <w:p>
          <w:pPr>
            <w:pStyle w:val="2"/>
            <w:rPr>
              <w:rFonts w:ascii="宋体" w:hAnsi="宋体" w:eastAsia="宋体" w:cs="Times New Roman"/>
              <w:kern w:val="2"/>
              <w:sz w:val="21"/>
              <w:lang w:val="en-US" w:eastAsia="zh-CN" w:bidi="ar-SA"/>
            </w:rPr>
          </w:pPr>
        </w:p>
        <w:p>
          <w:pPr>
            <w:rPr>
              <w:rFonts w:ascii="宋体" w:hAnsi="宋体" w:eastAsia="宋体" w:cs="Times New Roman"/>
              <w:kern w:val="2"/>
              <w:sz w:val="21"/>
              <w:lang w:val="en-US" w:eastAsia="zh-CN" w:bidi="ar-SA"/>
            </w:rPr>
          </w:pPr>
        </w:p>
        <w:p>
          <w:pPr>
            <w:pStyle w:val="2"/>
            <w:rPr>
              <w:lang w:val="en-US" w:eastAsia="zh-CN"/>
            </w:rPr>
          </w:pPr>
        </w:p>
        <w:p>
          <w:pPr>
            <w:spacing w:before="0" w:beforeLines="0" w:after="0" w:afterLines="0" w:line="240" w:lineRule="auto"/>
            <w:ind w:left="0" w:leftChars="0" w:right="0" w:rightChars="0" w:firstLine="0" w:firstLineChars="0"/>
            <w:jc w:val="center"/>
            <w:rPr>
              <w:b/>
              <w:bCs/>
              <w:sz w:val="30"/>
              <w:szCs w:val="30"/>
            </w:rPr>
          </w:pPr>
          <w:r>
            <w:rPr>
              <w:rFonts w:ascii="宋体" w:hAnsi="宋体" w:eastAsia="宋体"/>
              <w:b/>
              <w:bCs/>
              <w:sz w:val="30"/>
              <w:szCs w:val="30"/>
            </w:rPr>
            <w:t>目录</w:t>
          </w: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TOC \o "1-1" \h \u </w:instrText>
          </w:r>
          <w:r>
            <w:rPr>
              <w:rFonts w:hint="eastAsia" w:ascii="仿宋" w:hAnsi="仿宋" w:eastAsia="仿宋" w:cs="仿宋"/>
              <w:sz w:val="30"/>
              <w:szCs w:val="30"/>
            </w:rPr>
            <w:fldChar w:fldCharType="separate"/>
          </w: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_Toc8967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一、</w:t>
          </w:r>
          <w:r>
            <w:rPr>
              <w:rFonts w:hint="eastAsia" w:ascii="仿宋" w:hAnsi="仿宋" w:eastAsia="仿宋" w:cs="仿宋"/>
              <w:bCs/>
              <w:sz w:val="30"/>
              <w:szCs w:val="30"/>
            </w:rPr>
            <w:t>项目概况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_Toc8967 \h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_Toc19822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二、</w:t>
          </w:r>
          <w:r>
            <w:rPr>
              <w:rFonts w:hint="eastAsia" w:ascii="仿宋" w:hAnsi="仿宋" w:eastAsia="仿宋" w:cs="仿宋"/>
              <w:bCs/>
              <w:sz w:val="30"/>
              <w:szCs w:val="30"/>
            </w:rPr>
            <w:t>项目实施内容和范围</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_Toc19822 \h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_Toc1525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三、</w:t>
          </w:r>
          <w:r>
            <w:rPr>
              <w:rFonts w:hint="eastAsia" w:ascii="仿宋" w:hAnsi="仿宋" w:eastAsia="仿宋" w:cs="仿宋"/>
              <w:bCs/>
              <w:sz w:val="30"/>
              <w:szCs w:val="30"/>
            </w:rPr>
            <w:t>项目资金使用情况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_Toc1525 \h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_Toc21592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四、</w:t>
          </w:r>
          <w:r>
            <w:rPr>
              <w:rFonts w:hint="eastAsia" w:ascii="仿宋" w:hAnsi="仿宋" w:eastAsia="仿宋" w:cs="仿宋"/>
              <w:bCs/>
              <w:sz w:val="30"/>
              <w:szCs w:val="30"/>
            </w:rPr>
            <w:t>项目</w:t>
          </w:r>
          <w:r>
            <w:rPr>
              <w:rFonts w:hint="eastAsia" w:ascii="仿宋" w:hAnsi="仿宋" w:eastAsia="仿宋" w:cs="仿宋"/>
              <w:bCs/>
              <w:sz w:val="30"/>
              <w:szCs w:val="30"/>
              <w:lang w:val="en-US" w:eastAsia="zh-CN"/>
            </w:rPr>
            <w:t>管理</w:t>
          </w:r>
          <w:r>
            <w:rPr>
              <w:rFonts w:hint="eastAsia" w:ascii="仿宋" w:hAnsi="仿宋" w:eastAsia="仿宋" w:cs="仿宋"/>
              <w:bCs/>
              <w:sz w:val="30"/>
              <w:szCs w:val="30"/>
            </w:rPr>
            <w:t>绩效</w:t>
          </w:r>
          <w:r>
            <w:rPr>
              <w:rFonts w:hint="eastAsia" w:ascii="仿宋" w:hAnsi="仿宋" w:eastAsia="仿宋" w:cs="仿宋"/>
              <w:bCs/>
              <w:sz w:val="30"/>
              <w:szCs w:val="30"/>
              <w:lang w:val="en-US" w:eastAsia="zh-CN"/>
            </w:rPr>
            <w:t>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_Toc21592 \h </w:instrText>
          </w:r>
          <w:r>
            <w:rPr>
              <w:rFonts w:hint="eastAsia" w:ascii="仿宋" w:hAnsi="仿宋" w:eastAsia="仿宋" w:cs="仿宋"/>
              <w:sz w:val="30"/>
              <w:szCs w:val="30"/>
            </w:rPr>
            <w:fldChar w:fldCharType="separate"/>
          </w:r>
          <w:r>
            <w:rPr>
              <w:rFonts w:hint="eastAsia" w:ascii="仿宋" w:hAnsi="仿宋" w:eastAsia="仿宋" w:cs="仿宋"/>
              <w:sz w:val="30"/>
              <w:szCs w:val="30"/>
            </w:rPr>
            <w:t>2</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_Toc10581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五、</w:t>
          </w:r>
          <w:r>
            <w:rPr>
              <w:rFonts w:hint="eastAsia" w:ascii="仿宋" w:hAnsi="仿宋" w:eastAsia="仿宋" w:cs="仿宋"/>
              <w:bCs/>
              <w:sz w:val="30"/>
              <w:szCs w:val="30"/>
            </w:rPr>
            <w:t>绩效评价依据</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_Toc10581 \h </w:instrText>
          </w:r>
          <w:r>
            <w:rPr>
              <w:rFonts w:hint="eastAsia" w:ascii="仿宋" w:hAnsi="仿宋" w:eastAsia="仿宋" w:cs="仿宋"/>
              <w:sz w:val="30"/>
              <w:szCs w:val="30"/>
            </w:rPr>
            <w:fldChar w:fldCharType="separate"/>
          </w:r>
          <w:r>
            <w:rPr>
              <w:rFonts w:hint="eastAsia" w:ascii="仿宋" w:hAnsi="仿宋" w:eastAsia="仿宋" w:cs="仿宋"/>
              <w:sz w:val="30"/>
              <w:szCs w:val="30"/>
            </w:rPr>
            <w:t>9</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_Toc2211 </w:instrText>
          </w:r>
          <w:r>
            <w:rPr>
              <w:rFonts w:hint="eastAsia" w:ascii="仿宋" w:hAnsi="仿宋" w:eastAsia="仿宋" w:cs="仿宋"/>
              <w:sz w:val="30"/>
              <w:szCs w:val="30"/>
            </w:rPr>
            <w:fldChar w:fldCharType="separate"/>
          </w:r>
          <w:r>
            <w:rPr>
              <w:rFonts w:hint="eastAsia" w:ascii="仿宋" w:hAnsi="仿宋" w:eastAsia="仿宋" w:cs="仿宋"/>
              <w:sz w:val="30"/>
              <w:szCs w:val="30"/>
              <w:lang w:val="en-US" w:eastAsia="zh-CN"/>
            </w:rPr>
            <w:t>六</w:t>
          </w:r>
          <w:r>
            <w:rPr>
              <w:rFonts w:hint="eastAsia" w:ascii="仿宋" w:hAnsi="仿宋" w:eastAsia="仿宋" w:cs="仿宋"/>
              <w:sz w:val="30"/>
              <w:szCs w:val="30"/>
            </w:rPr>
            <w:t>、项目综合评价结论和评价等级</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_Toc2211 \h </w:instrText>
          </w:r>
          <w:r>
            <w:rPr>
              <w:rFonts w:hint="eastAsia" w:ascii="仿宋" w:hAnsi="仿宋" w:eastAsia="仿宋" w:cs="仿宋"/>
              <w:sz w:val="30"/>
              <w:szCs w:val="30"/>
            </w:rPr>
            <w:fldChar w:fldCharType="separate"/>
          </w:r>
          <w:r>
            <w:rPr>
              <w:rFonts w:hint="eastAsia" w:ascii="仿宋" w:hAnsi="仿宋" w:eastAsia="仿宋" w:cs="仿宋"/>
              <w:sz w:val="30"/>
              <w:szCs w:val="30"/>
            </w:rPr>
            <w:t>10</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_Toc30518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七</w:t>
          </w:r>
          <w:r>
            <w:rPr>
              <w:rFonts w:hint="eastAsia" w:ascii="仿宋" w:hAnsi="仿宋" w:eastAsia="仿宋" w:cs="仿宋"/>
              <w:bCs/>
              <w:sz w:val="30"/>
              <w:szCs w:val="30"/>
            </w:rPr>
            <w:t>、存在的问题及改进措施</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_Toc30518 \h </w:instrText>
          </w:r>
          <w:r>
            <w:rPr>
              <w:rFonts w:hint="eastAsia" w:ascii="仿宋" w:hAnsi="仿宋" w:eastAsia="仿宋" w:cs="仿宋"/>
              <w:sz w:val="30"/>
              <w:szCs w:val="30"/>
            </w:rPr>
            <w:fldChar w:fldCharType="separate"/>
          </w:r>
          <w:r>
            <w:rPr>
              <w:rFonts w:hint="eastAsia" w:ascii="仿宋" w:hAnsi="仿宋" w:eastAsia="仿宋" w:cs="仿宋"/>
              <w:sz w:val="30"/>
              <w:szCs w:val="30"/>
            </w:rPr>
            <w:t>10</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_Toc23781 </w:instrText>
          </w:r>
          <w:r>
            <w:rPr>
              <w:rFonts w:hint="eastAsia" w:ascii="仿宋" w:hAnsi="仿宋" w:eastAsia="仿宋" w:cs="仿宋"/>
              <w:sz w:val="30"/>
              <w:szCs w:val="30"/>
            </w:rPr>
            <w:fldChar w:fldCharType="separate"/>
          </w:r>
          <w:r>
            <w:rPr>
              <w:rFonts w:hint="eastAsia" w:ascii="仿宋" w:hAnsi="仿宋" w:eastAsia="仿宋" w:cs="仿宋"/>
              <w:kern w:val="2"/>
              <w:sz w:val="30"/>
              <w:szCs w:val="30"/>
            </w:rPr>
            <w:t>附件：绩效评价指标体系及评分情况表</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_Toc23781 \h </w:instrText>
          </w:r>
          <w:r>
            <w:rPr>
              <w:rFonts w:hint="eastAsia" w:ascii="仿宋" w:hAnsi="仿宋" w:eastAsia="仿宋" w:cs="仿宋"/>
              <w:sz w:val="30"/>
              <w:szCs w:val="30"/>
            </w:rPr>
            <w:fldChar w:fldCharType="separate"/>
          </w:r>
          <w:r>
            <w:rPr>
              <w:rFonts w:hint="eastAsia" w:ascii="仿宋" w:hAnsi="仿宋" w:eastAsia="仿宋" w:cs="仿宋"/>
              <w:sz w:val="30"/>
              <w:szCs w:val="30"/>
            </w:rPr>
            <w:t>11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rPr>
              <w:rFonts w:hint="eastAsia" w:ascii="仿宋" w:hAnsi="仿宋" w:eastAsia="仿宋" w:cs="仿宋"/>
              <w:sz w:val="30"/>
              <w:szCs w:val="30"/>
            </w:rPr>
          </w:pPr>
          <w:r>
            <w:rPr>
              <w:rFonts w:hint="eastAsia" w:ascii="仿宋" w:hAnsi="仿宋" w:eastAsia="仿宋" w:cs="仿宋"/>
              <w:sz w:val="30"/>
              <w:szCs w:val="30"/>
            </w:rPr>
            <w:fldChar w:fldCharType="end"/>
          </w:r>
        </w:p>
      </w:sdtContent>
    </w:sdt>
    <w:p>
      <w:pPr>
        <w:pStyle w:val="2"/>
        <w:rPr>
          <w:rFonts w:hint="eastAsia" w:ascii="仿宋" w:hAnsi="仿宋" w:eastAsia="仿宋" w:cs="仿宋"/>
          <w:sz w:val="30"/>
          <w:szCs w:val="30"/>
        </w:rPr>
      </w:pPr>
    </w:p>
    <w:p>
      <w:pPr>
        <w:rPr>
          <w:rFonts w:hint="eastAsia" w:ascii="仿宋" w:hAnsi="仿宋" w:eastAsia="仿宋" w:cs="仿宋"/>
          <w:sz w:val="30"/>
          <w:szCs w:val="30"/>
        </w:rPr>
      </w:pPr>
    </w:p>
    <w:p>
      <w:pPr>
        <w:pStyle w:val="2"/>
        <w:rPr>
          <w:rFonts w:hint="eastAsia" w:ascii="仿宋" w:hAnsi="仿宋" w:eastAsia="仿宋" w:cs="仿宋"/>
          <w:sz w:val="30"/>
          <w:szCs w:val="30"/>
        </w:rPr>
      </w:pPr>
    </w:p>
    <w:p>
      <w:pPr>
        <w:pStyle w:val="2"/>
      </w:pPr>
    </w:p>
    <w:p>
      <w:pPr>
        <w:sectPr>
          <w:footerReference r:id="rId5" w:type="first"/>
          <w:headerReference r:id="rId3" w:type="default"/>
          <w:footerReference r:id="rId4" w:type="default"/>
          <w:pgSz w:w="11906" w:h="16838"/>
          <w:pgMar w:top="1077" w:right="1304" w:bottom="1077" w:left="1304" w:header="1134" w:footer="680" w:gutter="0"/>
          <w:pgBorders>
            <w:top w:val="none" w:sz="0" w:space="0"/>
            <w:left w:val="none" w:sz="0" w:space="0"/>
            <w:bottom w:val="none" w:sz="0" w:space="0"/>
            <w:right w:val="none" w:sz="0" w:space="0"/>
          </w:pgBorders>
          <w:pgNumType w:fmt="decimal" w:start="1"/>
          <w:cols w:space="720" w:num="1"/>
          <w:docGrid w:type="lines" w:linePitch="312" w:charSpace="0"/>
        </w:sectPr>
      </w:pPr>
    </w:p>
    <w:p>
      <w:pPr>
        <w:pStyle w:val="2"/>
      </w:pPr>
    </w:p>
    <w:p>
      <w:pPr>
        <w:spacing w:line="560" w:lineRule="exact"/>
        <w:ind w:firstLine="1084" w:firstLineChars="300"/>
        <w:outlineLvl w:val="0"/>
        <w:rPr>
          <w:rFonts w:hint="eastAsia" w:ascii="仿宋" w:hAnsi="仿宋" w:eastAsia="仿宋" w:cs="仿宋"/>
          <w:b/>
          <w:bCs w:val="0"/>
          <w:sz w:val="36"/>
          <w:szCs w:val="36"/>
        </w:rPr>
      </w:pPr>
      <w:bookmarkStart w:id="0" w:name="_Toc18092"/>
      <w:bookmarkStart w:id="1" w:name="_Toc30375"/>
      <w:r>
        <w:rPr>
          <w:rFonts w:hint="eastAsia" w:ascii="仿宋" w:hAnsi="仿宋" w:eastAsia="仿宋" w:cs="仿宋"/>
          <w:b/>
          <w:bCs w:val="0"/>
          <w:sz w:val="36"/>
          <w:szCs w:val="36"/>
          <w:lang w:val="en-US" w:eastAsia="zh-CN"/>
        </w:rPr>
        <w:t>曲阳县</w:t>
      </w:r>
      <w:r>
        <w:rPr>
          <w:rFonts w:hint="eastAsia" w:ascii="仿宋" w:hAnsi="仿宋" w:eastAsia="仿宋" w:cs="仿宋"/>
          <w:b/>
          <w:bCs w:val="0"/>
          <w:sz w:val="36"/>
          <w:szCs w:val="36"/>
        </w:rPr>
        <w:t>20</w:t>
      </w:r>
      <w:r>
        <w:rPr>
          <w:rFonts w:hint="eastAsia" w:ascii="仿宋" w:hAnsi="仿宋" w:eastAsia="仿宋" w:cs="仿宋"/>
          <w:b/>
          <w:bCs w:val="0"/>
          <w:sz w:val="36"/>
          <w:szCs w:val="36"/>
          <w:lang w:val="en-US" w:eastAsia="zh-CN"/>
        </w:rPr>
        <w:t>21</w:t>
      </w:r>
      <w:r>
        <w:rPr>
          <w:rFonts w:hint="eastAsia" w:ascii="仿宋" w:hAnsi="仿宋" w:eastAsia="仿宋" w:cs="仿宋"/>
          <w:b/>
          <w:bCs w:val="0"/>
          <w:sz w:val="36"/>
          <w:szCs w:val="36"/>
        </w:rPr>
        <w:t>年</w:t>
      </w:r>
      <w:bookmarkEnd w:id="0"/>
      <w:bookmarkEnd w:id="1"/>
      <w:r>
        <w:rPr>
          <w:rFonts w:hint="eastAsia" w:ascii="仿宋" w:hAnsi="仿宋" w:eastAsia="仿宋" w:cs="仿宋"/>
          <w:b/>
          <w:bCs w:val="0"/>
          <w:sz w:val="36"/>
          <w:szCs w:val="36"/>
        </w:rPr>
        <w:t>中央城乡居民养老保险补助项目</w:t>
      </w:r>
    </w:p>
    <w:p>
      <w:pPr>
        <w:spacing w:after="156" w:line="560" w:lineRule="exact"/>
        <w:ind w:left="-359" w:leftChars="-171"/>
        <w:jc w:val="center"/>
        <w:outlineLvl w:val="0"/>
        <w:rPr>
          <w:rFonts w:hint="eastAsia" w:ascii="仿宋" w:hAnsi="仿宋" w:eastAsia="仿宋" w:cs="仿宋"/>
          <w:b/>
          <w:bCs w:val="0"/>
          <w:sz w:val="36"/>
          <w:szCs w:val="36"/>
        </w:rPr>
      </w:pPr>
      <w:bookmarkStart w:id="2" w:name="_Toc2651"/>
      <w:bookmarkStart w:id="3" w:name="_Toc12514"/>
      <w:r>
        <w:rPr>
          <w:rFonts w:hint="eastAsia" w:ascii="仿宋" w:hAnsi="仿宋" w:eastAsia="仿宋" w:cs="仿宋"/>
          <w:b/>
          <w:bCs w:val="0"/>
          <w:sz w:val="36"/>
          <w:szCs w:val="36"/>
        </w:rPr>
        <w:t>绩效评价报告</w:t>
      </w:r>
      <w:bookmarkEnd w:id="2"/>
      <w:bookmarkEnd w:id="3"/>
    </w:p>
    <w:p>
      <w:pPr>
        <w:spacing w:afterLines="50" w:line="560" w:lineRule="exact"/>
        <w:ind w:firstLine="1239" w:firstLineChars="590"/>
        <w:rPr>
          <w:rFonts w:hint="eastAsia" w:ascii="仿宋" w:hAnsi="仿宋" w:eastAsia="仿宋" w:cs="仿宋"/>
          <w:sz w:val="24"/>
          <w:szCs w:val="24"/>
        </w:rPr>
      </w:pPr>
      <w:r>
        <w:rPr>
          <w:rFonts w:hint="eastAsia"/>
        </w:rPr>
        <w:t xml:space="preserve">                                          </w:t>
      </w:r>
      <w:r>
        <w:rPr>
          <w:rFonts w:hint="eastAsia" w:ascii="仿宋" w:hAnsi="仿宋" w:eastAsia="仿宋" w:cs="仿宋"/>
          <w:sz w:val="24"/>
          <w:szCs w:val="24"/>
        </w:rPr>
        <w:t xml:space="preserve"> </w:t>
      </w:r>
      <w:r>
        <w:rPr>
          <w:rFonts w:hint="eastAsia" w:ascii="仿宋" w:hAnsi="仿宋" w:eastAsia="仿宋" w:cs="仿宋"/>
          <w:b/>
          <w:sz w:val="24"/>
          <w:szCs w:val="24"/>
        </w:rPr>
        <w:t xml:space="preserve">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根据《曲阳县财政局关于印发</w:t>
      </w:r>
      <w:r>
        <w:rPr>
          <w:rFonts w:hint="eastAsia" w:ascii="仿宋" w:hAnsi="仿宋" w:eastAsia="仿宋" w:cs="仿宋"/>
          <w:sz w:val="30"/>
          <w:szCs w:val="30"/>
          <w:lang w:val="en-US" w:eastAsia="zh-CN"/>
        </w:rPr>
        <w:t>2022年县级财政重点绩效评价计划的通知</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曲财</w:t>
      </w:r>
      <w:r>
        <w:rPr>
          <w:rFonts w:hint="eastAsia" w:ascii="仿宋" w:hAnsi="仿宋" w:eastAsia="仿宋" w:cs="仿宋"/>
          <w:sz w:val="30"/>
          <w:szCs w:val="30"/>
          <w:lang w:val="en-US" w:eastAsia="zh-CN"/>
        </w:rPr>
        <w:t>[2022] 54号),</w:t>
      </w:r>
      <w:r>
        <w:rPr>
          <w:rFonts w:hint="eastAsia" w:ascii="仿宋" w:hAnsi="仿宋" w:eastAsia="仿宋" w:cs="仿宋"/>
          <w:sz w:val="30"/>
          <w:szCs w:val="30"/>
        </w:rPr>
        <w:t>对</w:t>
      </w:r>
      <w:r>
        <w:rPr>
          <w:rFonts w:hint="eastAsia" w:ascii="仿宋" w:hAnsi="仿宋" w:eastAsia="仿宋" w:cs="仿宋"/>
          <w:sz w:val="30"/>
          <w:szCs w:val="30"/>
          <w:lang w:eastAsia="zh-CN"/>
        </w:rPr>
        <w:t>曲阳县城乡居民社会养老保险服务中心</w:t>
      </w:r>
      <w:r>
        <w:rPr>
          <w:rFonts w:hint="eastAsia" w:ascii="仿宋" w:hAnsi="仿宋" w:eastAsia="仿宋" w:cs="仿宋"/>
          <w:sz w:val="30"/>
          <w:szCs w:val="30"/>
        </w:rPr>
        <w:t>承担的曲阳县2021年中央城乡居民养老保险补助项目（以下简称“该项目”）的具体实施情况进行了绩效评价。</w:t>
      </w:r>
      <w:r>
        <w:rPr>
          <w:rFonts w:hint="eastAsia" w:ascii="仿宋" w:hAnsi="仿宋" w:eastAsia="仿宋" w:cs="仿宋"/>
          <w:sz w:val="30"/>
          <w:szCs w:val="30"/>
          <w:lang w:eastAsia="zh-CN"/>
        </w:rPr>
        <w:t>曲阳县城乡居民社会养老保险服务中心</w:t>
      </w:r>
      <w:r>
        <w:rPr>
          <w:rFonts w:hint="eastAsia" w:ascii="仿宋" w:hAnsi="仿宋" w:eastAsia="仿宋" w:cs="仿宋"/>
          <w:sz w:val="30"/>
          <w:szCs w:val="30"/>
        </w:rPr>
        <w:t>和相关单位提供与绩效评价有关的项目资料，并对其真实性、完整性、合法性负责，我们的责任是根据项目相关资料，对该项目的项目投入、项目过程管理、项目产出、项目效益四个方面和执行国家法律、法规的情况发表评价意见。</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color w:val="000000"/>
          <w:sz w:val="30"/>
          <w:szCs w:val="30"/>
        </w:rPr>
      </w:pPr>
      <w:r>
        <w:rPr>
          <w:rFonts w:hint="eastAsia" w:ascii="仿宋" w:hAnsi="仿宋" w:eastAsia="仿宋" w:cs="仿宋"/>
          <w:sz w:val="30"/>
          <w:szCs w:val="30"/>
        </w:rPr>
        <w:t>在评价工作中，我们结合该项目的实际情况制定了绩效评价指标体系，实施了包括资料查看、现场检查、问卷调查等我们认为必要的评价手段。绩效评价工作现已完成，具体</w:t>
      </w:r>
      <w:r>
        <w:rPr>
          <w:rFonts w:hint="eastAsia" w:ascii="仿宋" w:hAnsi="仿宋" w:eastAsia="仿宋" w:cs="仿宋"/>
          <w:color w:val="000000"/>
          <w:sz w:val="30"/>
          <w:szCs w:val="30"/>
        </w:rPr>
        <w:t>评价情况汇总如下：</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rPr>
      </w:pPr>
      <w:bookmarkStart w:id="4" w:name="_Toc8967"/>
      <w:bookmarkStart w:id="5" w:name="_Toc83631027"/>
      <w:bookmarkStart w:id="6" w:name="_Toc30480"/>
      <w:bookmarkStart w:id="7" w:name="_Toc83630317"/>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项目概况</w:t>
      </w:r>
      <w:bookmarkEnd w:id="4"/>
      <w:bookmarkEnd w:id="5"/>
      <w:bookmarkEnd w:id="6"/>
      <w:bookmarkEnd w:id="7"/>
    </w:p>
    <w:p>
      <w:pPr>
        <w:pageBreakBefore w:val="0"/>
        <w:numPr>
          <w:ilvl w:val="0"/>
          <w:numId w:val="0"/>
        </w:numPr>
        <w:kinsoku/>
        <w:wordWrap/>
        <w:overflowPunct/>
        <w:topLinePunct w:val="0"/>
        <w:autoSpaceDE/>
        <w:autoSpaceDN/>
        <w:bidi w:val="0"/>
        <w:adjustRightInd/>
        <w:snapToGrid/>
        <w:spacing w:line="560" w:lineRule="exact"/>
        <w:ind w:firstLine="600" w:firstLineChars="200"/>
        <w:outlineLvl w:val="0"/>
        <w:rPr>
          <w:rFonts w:hint="default" w:ascii="仿宋" w:hAnsi="仿宋" w:eastAsia="仿宋" w:cs="仿宋"/>
          <w:sz w:val="30"/>
          <w:szCs w:val="30"/>
          <w:lang w:val="en-US" w:eastAsia="zh-CN"/>
        </w:rPr>
      </w:pPr>
      <w:bookmarkStart w:id="8" w:name="_Toc83630318"/>
      <w:bookmarkStart w:id="9" w:name="_Toc25381"/>
      <w:bookmarkStart w:id="10" w:name="_Toc19822"/>
      <w:bookmarkStart w:id="11" w:name="_Toc22961"/>
      <w:bookmarkStart w:id="12" w:name="_Toc83631028"/>
      <w:bookmarkStart w:id="13" w:name="_Toc22022"/>
      <w:r>
        <w:rPr>
          <w:rFonts w:hint="eastAsia" w:ascii="仿宋" w:hAnsi="仿宋" w:eastAsia="仿宋" w:cs="仿宋"/>
          <w:sz w:val="30"/>
          <w:szCs w:val="30"/>
          <w:lang w:val="en-US" w:eastAsia="zh-CN"/>
        </w:rPr>
        <w:t>城乡居民养老保险关系到广大群众的切身利益，影响社会和谐稳定。城乡居民养老保险是一项重大惠农政策，是我国养老保险制度向“全民老有所养”目标迈出的关键一步。为推动城乡居民养老事业的顺利实施，省财政厅设立了中央财政补助资金，对符合条件的城乡居民按时足额发放城乡老年居民基础养老金。</w:t>
      </w:r>
    </w:p>
    <w:p>
      <w:pPr>
        <w:pageBreakBefore w:val="0"/>
        <w:numPr>
          <w:ilvl w:val="0"/>
          <w:numId w:val="0"/>
        </w:numPr>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rPr>
      </w:pP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项目实施内容和范围</w:t>
      </w:r>
      <w:bookmarkEnd w:id="8"/>
      <w:bookmarkEnd w:id="9"/>
      <w:bookmarkEnd w:id="10"/>
      <w:bookmarkEnd w:id="11"/>
      <w:bookmarkEnd w:id="12"/>
      <w:bookmarkEnd w:id="13"/>
    </w:p>
    <w:p>
      <w:pPr>
        <w:pageBreakBefore w:val="0"/>
        <w:kinsoku/>
        <w:wordWrap/>
        <w:overflowPunct/>
        <w:topLinePunct w:val="0"/>
        <w:autoSpaceDE/>
        <w:autoSpaceDN/>
        <w:bidi w:val="0"/>
        <w:adjustRightInd/>
        <w:snapToGrid/>
        <w:spacing w:line="560" w:lineRule="exact"/>
        <w:ind w:firstLine="600" w:firstLineChars="200"/>
        <w:outlineLvl w:val="0"/>
        <w:rPr>
          <w:rFonts w:hint="eastAsia" w:ascii="仿宋" w:hAnsi="仿宋" w:eastAsia="仿宋" w:cs="仿宋"/>
          <w:sz w:val="30"/>
          <w:szCs w:val="30"/>
          <w:lang w:val="en-US" w:eastAsia="zh-CN"/>
        </w:rPr>
      </w:pPr>
      <w:bookmarkStart w:id="14" w:name="_Toc83631029"/>
      <w:bookmarkStart w:id="15" w:name="_Toc24391"/>
      <w:bookmarkStart w:id="16" w:name="_Toc1525"/>
      <w:bookmarkStart w:id="17" w:name="_Toc83630319"/>
      <w:bookmarkStart w:id="18" w:name="_Toc17013"/>
      <w:bookmarkStart w:id="19" w:name="_Toc8527"/>
      <w:r>
        <w:rPr>
          <w:rFonts w:hint="eastAsia" w:ascii="仿宋" w:hAnsi="仿宋" w:eastAsia="仿宋" w:cs="仿宋"/>
          <w:sz w:val="30"/>
          <w:szCs w:val="30"/>
          <w:lang w:val="en-US" w:eastAsia="zh-CN"/>
        </w:rPr>
        <w:t>2021年中央城乡居民养老保险补助预算9124万元，其中中央财政补助资金9124万元，主要用于为60周岁以上符合待遇领取条件的城乡居民发放养老金，补贴居民生活开销，改善生活水平，提供养老保障，提升人民群众的幸福感。</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rPr>
      </w:pPr>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项目资金使用情况</w:t>
      </w:r>
      <w:bookmarkEnd w:id="14"/>
      <w:bookmarkEnd w:id="15"/>
      <w:bookmarkEnd w:id="16"/>
      <w:bookmarkEnd w:id="17"/>
      <w:bookmarkEnd w:id="18"/>
      <w:bookmarkEnd w:id="19"/>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202</w:t>
      </w:r>
      <w:r>
        <w:rPr>
          <w:rFonts w:hint="eastAsia" w:ascii="仿宋" w:hAnsi="仿宋" w:eastAsia="仿宋" w:cs="仿宋"/>
          <w:sz w:val="30"/>
          <w:szCs w:val="30"/>
          <w:lang w:val="en-US" w:eastAsia="zh-CN"/>
        </w:rPr>
        <w:t>1</w:t>
      </w:r>
      <w:r>
        <w:rPr>
          <w:rFonts w:hint="eastAsia" w:ascii="仿宋" w:hAnsi="仿宋" w:eastAsia="仿宋" w:cs="仿宋"/>
          <w:sz w:val="30"/>
          <w:szCs w:val="30"/>
        </w:rPr>
        <w:t>年中央财政补助资金为</w:t>
      </w:r>
      <w:r>
        <w:rPr>
          <w:rFonts w:hint="eastAsia" w:ascii="仿宋" w:hAnsi="仿宋" w:eastAsia="仿宋" w:cs="仿宋"/>
          <w:sz w:val="30"/>
          <w:szCs w:val="30"/>
          <w:lang w:val="en-US" w:eastAsia="zh-CN"/>
        </w:rPr>
        <w:t>9124</w:t>
      </w:r>
      <w:r>
        <w:rPr>
          <w:rFonts w:hint="eastAsia" w:ascii="仿宋" w:hAnsi="仿宋" w:eastAsia="仿宋" w:cs="仿宋"/>
          <w:sz w:val="30"/>
          <w:szCs w:val="30"/>
        </w:rPr>
        <w:t>.00万元。202</w:t>
      </w:r>
      <w:r>
        <w:rPr>
          <w:rFonts w:hint="eastAsia" w:ascii="仿宋" w:hAnsi="仿宋" w:eastAsia="仿宋" w:cs="仿宋"/>
          <w:sz w:val="30"/>
          <w:szCs w:val="30"/>
          <w:lang w:val="en-US" w:eastAsia="zh-CN"/>
        </w:rPr>
        <w:t>1</w:t>
      </w:r>
      <w:r>
        <w:rPr>
          <w:rFonts w:hint="eastAsia" w:ascii="仿宋" w:hAnsi="仿宋" w:eastAsia="仿宋" w:cs="仿宋"/>
          <w:sz w:val="30"/>
          <w:szCs w:val="30"/>
        </w:rPr>
        <w:t>年使用资金</w:t>
      </w:r>
      <w:r>
        <w:rPr>
          <w:rFonts w:hint="eastAsia" w:ascii="仿宋" w:hAnsi="仿宋" w:eastAsia="仿宋" w:cs="仿宋"/>
          <w:sz w:val="30"/>
          <w:szCs w:val="30"/>
          <w:lang w:val="en-US" w:eastAsia="zh-CN"/>
        </w:rPr>
        <w:t>9124</w:t>
      </w:r>
      <w:r>
        <w:rPr>
          <w:rFonts w:hint="eastAsia" w:ascii="仿宋" w:hAnsi="仿宋" w:eastAsia="仿宋" w:cs="仿宋"/>
          <w:sz w:val="30"/>
          <w:szCs w:val="30"/>
        </w:rPr>
        <w:t>万元，结余资金</w:t>
      </w:r>
      <w:r>
        <w:rPr>
          <w:rFonts w:hint="eastAsia" w:ascii="仿宋" w:hAnsi="仿宋" w:eastAsia="仿宋" w:cs="仿宋"/>
          <w:sz w:val="30"/>
          <w:szCs w:val="30"/>
          <w:lang w:val="en-US" w:eastAsia="zh-CN"/>
        </w:rPr>
        <w:t>0.00</w:t>
      </w:r>
      <w:r>
        <w:rPr>
          <w:rFonts w:hint="eastAsia" w:ascii="仿宋" w:hAnsi="仿宋" w:eastAsia="仿宋" w:cs="仿宋"/>
          <w:sz w:val="30"/>
          <w:szCs w:val="30"/>
        </w:rPr>
        <w:t>万元。</w:t>
      </w:r>
    </w:p>
    <w:p>
      <w:pPr>
        <w:pageBreakBefore w:val="0"/>
        <w:kinsoku/>
        <w:wordWrap/>
        <w:overflowPunct/>
        <w:topLinePunct w:val="0"/>
        <w:autoSpaceDE/>
        <w:autoSpaceDN/>
        <w:bidi w:val="0"/>
        <w:adjustRightInd/>
        <w:snapToGrid/>
        <w:spacing w:line="560" w:lineRule="exact"/>
        <w:ind w:firstLine="951" w:firstLineChars="296"/>
        <w:outlineLvl w:val="0"/>
        <w:rPr>
          <w:rFonts w:hint="eastAsia" w:ascii="仿宋" w:hAnsi="仿宋" w:eastAsia="仿宋" w:cs="仿宋"/>
          <w:b/>
          <w:bCs/>
          <w:sz w:val="32"/>
          <w:szCs w:val="32"/>
          <w:lang w:val="en-US" w:eastAsia="zh-CN"/>
        </w:rPr>
      </w:pPr>
      <w:bookmarkStart w:id="20" w:name="_Toc21403"/>
      <w:bookmarkStart w:id="21" w:name="_Toc83631030"/>
      <w:bookmarkStart w:id="22" w:name="_Toc83630320"/>
      <w:bookmarkStart w:id="23" w:name="_Toc14351"/>
      <w:bookmarkStart w:id="24" w:name="_Toc18734"/>
      <w:bookmarkStart w:id="25" w:name="_Toc21592"/>
      <w:r>
        <w:rPr>
          <w:rFonts w:hint="eastAsia" w:ascii="仿宋" w:hAnsi="仿宋" w:eastAsia="仿宋" w:cs="仿宋"/>
          <w:b/>
          <w:bCs/>
          <w:sz w:val="32"/>
          <w:szCs w:val="32"/>
          <w:lang w:val="en-US" w:eastAsia="zh-CN"/>
        </w:rPr>
        <w:t>四、</w:t>
      </w:r>
      <w:r>
        <w:rPr>
          <w:rFonts w:hint="eastAsia" w:ascii="仿宋" w:hAnsi="仿宋" w:eastAsia="仿宋" w:cs="仿宋"/>
          <w:b/>
          <w:bCs/>
          <w:sz w:val="32"/>
          <w:szCs w:val="32"/>
        </w:rPr>
        <w:t>项目</w:t>
      </w:r>
      <w:r>
        <w:rPr>
          <w:rFonts w:hint="eastAsia" w:ascii="仿宋" w:hAnsi="仿宋" w:eastAsia="仿宋" w:cs="仿宋"/>
          <w:b/>
          <w:bCs/>
          <w:sz w:val="32"/>
          <w:szCs w:val="32"/>
          <w:lang w:val="en-US" w:eastAsia="zh-CN"/>
        </w:rPr>
        <w:t>管理</w:t>
      </w:r>
      <w:r>
        <w:rPr>
          <w:rFonts w:hint="eastAsia" w:ascii="仿宋" w:hAnsi="仿宋" w:eastAsia="仿宋" w:cs="仿宋"/>
          <w:b/>
          <w:bCs/>
          <w:sz w:val="32"/>
          <w:szCs w:val="32"/>
        </w:rPr>
        <w:t>绩效</w:t>
      </w:r>
      <w:bookmarkEnd w:id="20"/>
      <w:bookmarkEnd w:id="21"/>
      <w:bookmarkEnd w:id="22"/>
      <w:bookmarkEnd w:id="23"/>
      <w:r>
        <w:rPr>
          <w:rFonts w:hint="eastAsia" w:ascii="仿宋" w:hAnsi="仿宋" w:eastAsia="仿宋" w:cs="仿宋"/>
          <w:b/>
          <w:bCs/>
          <w:sz w:val="32"/>
          <w:szCs w:val="32"/>
          <w:lang w:val="en-US" w:eastAsia="zh-CN"/>
        </w:rPr>
        <w:t>情况</w:t>
      </w:r>
      <w:bookmarkEnd w:id="24"/>
      <w:bookmarkEnd w:id="25"/>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rPr>
      </w:pPr>
      <w:bookmarkStart w:id="26" w:name="_Toc12908"/>
      <w:bookmarkStart w:id="27" w:name="_Toc32445"/>
      <w:bookmarkStart w:id="28" w:name="_Toc83630330"/>
      <w:bookmarkStart w:id="29" w:name="_Toc12058"/>
      <w:bookmarkStart w:id="30" w:name="_Toc501368359"/>
      <w:bookmarkStart w:id="31" w:name="_Toc83631040"/>
      <w:r>
        <w:rPr>
          <w:rFonts w:hint="eastAsia" w:ascii="仿宋" w:hAnsi="仿宋" w:eastAsia="仿宋" w:cs="仿宋"/>
          <w:b w:val="0"/>
          <w:bCs w:val="0"/>
          <w:sz w:val="30"/>
          <w:szCs w:val="30"/>
        </w:rPr>
        <w:t>（一）项目立项（10分）</w:t>
      </w:r>
      <w:bookmarkEnd w:id="26"/>
      <w:bookmarkEnd w:id="27"/>
      <w:bookmarkEnd w:id="28"/>
      <w:bookmarkEnd w:id="29"/>
      <w:bookmarkEnd w:id="30"/>
      <w:bookmarkEnd w:id="31"/>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一级指标主要反映项目立项是否符合国家法规、政策规定，符合社会经济发展战略规划，项目决策是否满足政府职能，用于调节经济、市场监管、提供公共产品和服务，绩效目标的制定是否合理，绩效指标的制定是否清晰、细化、量化、可衡量。</w:t>
      </w:r>
    </w:p>
    <w:tbl>
      <w:tblPr>
        <w:tblStyle w:val="16"/>
        <w:tblW w:w="4996" w:type="pct"/>
        <w:jc w:val="center"/>
        <w:tblLayout w:type="autofit"/>
        <w:tblCellMar>
          <w:top w:w="15" w:type="dxa"/>
          <w:left w:w="15" w:type="dxa"/>
          <w:bottom w:w="15" w:type="dxa"/>
          <w:right w:w="15" w:type="dxa"/>
        </w:tblCellMar>
      </w:tblPr>
      <w:tblGrid>
        <w:gridCol w:w="2202"/>
        <w:gridCol w:w="2223"/>
        <w:gridCol w:w="2393"/>
        <w:gridCol w:w="1506"/>
        <w:gridCol w:w="1336"/>
      </w:tblGrid>
      <w:tr>
        <w:tblPrEx>
          <w:tblCellMar>
            <w:top w:w="15" w:type="dxa"/>
            <w:left w:w="15" w:type="dxa"/>
            <w:bottom w:w="15" w:type="dxa"/>
            <w:right w:w="15" w:type="dxa"/>
          </w:tblCellMar>
        </w:tblPrEx>
        <w:trPr>
          <w:trHeight w:val="680" w:hRule="atLeast"/>
          <w:jc w:val="center"/>
        </w:trPr>
        <w:tc>
          <w:tcPr>
            <w:tcW w:w="11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一级指标</w:t>
            </w:r>
          </w:p>
        </w:tc>
        <w:tc>
          <w:tcPr>
            <w:tcW w:w="115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二级指标</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三级指标</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分数权重</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得分</w:t>
            </w:r>
          </w:p>
        </w:tc>
      </w:tr>
      <w:tr>
        <w:tblPrEx>
          <w:tblCellMar>
            <w:top w:w="15" w:type="dxa"/>
            <w:left w:w="15" w:type="dxa"/>
            <w:bottom w:w="15" w:type="dxa"/>
            <w:right w:w="15" w:type="dxa"/>
          </w:tblCellMar>
        </w:tblPrEx>
        <w:trPr>
          <w:trHeight w:val="680" w:hRule="atLeast"/>
          <w:jc w:val="center"/>
        </w:trPr>
        <w:tc>
          <w:tcPr>
            <w:tcW w:w="114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项目立项</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(10分)</w:t>
            </w: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决策机制（5分）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项目设立的依据</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3</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p>
        </w:tc>
      </w:tr>
      <w:tr>
        <w:tblPrEx>
          <w:tblCellMar>
            <w:top w:w="15" w:type="dxa"/>
            <w:left w:w="15" w:type="dxa"/>
            <w:bottom w:w="15" w:type="dxa"/>
            <w:right w:w="15" w:type="dxa"/>
          </w:tblCellMar>
        </w:tblPrEx>
        <w:trPr>
          <w:trHeight w:val="680" w:hRule="atLeas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项目决策必要性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w:t>
            </w:r>
          </w:p>
        </w:tc>
      </w:tr>
      <w:tr>
        <w:tblPrEx>
          <w:tblCellMar>
            <w:top w:w="15" w:type="dxa"/>
            <w:left w:w="15" w:type="dxa"/>
            <w:bottom w:w="15" w:type="dxa"/>
            <w:right w:w="15" w:type="dxa"/>
          </w:tblCellMar>
        </w:tblPrEx>
        <w:trPr>
          <w:trHeight w:val="680" w:hRule="atLeas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绩效目标（5分）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合理性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3</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w:t>
            </w:r>
          </w:p>
        </w:tc>
      </w:tr>
      <w:tr>
        <w:tblPrEx>
          <w:tblCellMar>
            <w:top w:w="15" w:type="dxa"/>
            <w:left w:w="15" w:type="dxa"/>
            <w:bottom w:w="15" w:type="dxa"/>
            <w:right w:w="15" w:type="dxa"/>
          </w:tblCellMar>
        </w:tblPrEx>
        <w:trPr>
          <w:trHeight w:val="680" w:hRule="atLeas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明确性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w:t>
            </w:r>
          </w:p>
        </w:tc>
      </w:tr>
      <w:tr>
        <w:tblPrEx>
          <w:tblCellMar>
            <w:top w:w="15" w:type="dxa"/>
            <w:left w:w="15" w:type="dxa"/>
            <w:bottom w:w="15" w:type="dxa"/>
            <w:right w:w="15" w:type="dxa"/>
          </w:tblCellMar>
        </w:tblPrEx>
        <w:trPr>
          <w:trHeight w:val="680" w:hRule="atLeast"/>
          <w:jc w:val="center"/>
        </w:trPr>
        <w:tc>
          <w:tcPr>
            <w:tcW w:w="3528"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合  计</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10</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1.决策机制（5分）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该指标包含2个三级指标，主要评价项目立项是否符合国家法规、政策规定，符合社会经济发展战略规划；项目决策是否满足政府职能，用于调节经济、市场监管、提供公共产品和服务</w:t>
      </w:r>
    </w:p>
    <w:p>
      <w:pPr>
        <w:pageBreakBefore w:val="0"/>
        <w:numPr>
          <w:ilvl w:val="0"/>
          <w:numId w:val="1"/>
        </w:numPr>
        <w:kinsoku/>
        <w:wordWrap/>
        <w:overflowPunct/>
        <w:topLinePunct w:val="0"/>
        <w:autoSpaceDE/>
        <w:autoSpaceDN/>
        <w:bidi w:val="0"/>
        <w:adjustRightInd/>
        <w:snapToGrid/>
        <w:spacing w:line="560" w:lineRule="exact"/>
        <w:ind w:firstLine="300" w:firstLineChars="100"/>
        <w:jc w:val="left"/>
        <w:rPr>
          <w:rFonts w:hint="eastAsia" w:ascii="仿宋" w:hAnsi="仿宋" w:eastAsia="仿宋" w:cs="仿宋"/>
          <w:sz w:val="30"/>
          <w:szCs w:val="30"/>
        </w:rPr>
      </w:pPr>
      <w:r>
        <w:rPr>
          <w:rFonts w:hint="eastAsia" w:ascii="仿宋" w:hAnsi="仿宋" w:eastAsia="仿宋" w:cs="仿宋"/>
          <w:sz w:val="30"/>
          <w:szCs w:val="30"/>
        </w:rPr>
        <w:t>项目设立的依据（3分）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lang w:eastAsia="zh-CN"/>
        </w:rPr>
      </w:pPr>
      <w:r>
        <w:rPr>
          <w:rFonts w:hint="eastAsia" w:ascii="仿宋" w:hAnsi="仿宋" w:eastAsia="仿宋" w:cs="仿宋"/>
          <w:sz w:val="30"/>
          <w:szCs w:val="30"/>
        </w:rPr>
        <w:t xml:space="preserve">   该指标主要评价该项目立项是否符合国家法规、政策规定，符合社会经济发展战略规划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 w:hAnsi="仿宋" w:eastAsia="仿宋" w:cs="仿宋"/>
          <w:sz w:val="30"/>
          <w:szCs w:val="30"/>
        </w:rPr>
      </w:pPr>
      <w:bookmarkStart w:id="32" w:name="_Toc83630427"/>
      <w:bookmarkStart w:id="33" w:name="_Toc25534"/>
      <w:bookmarkStart w:id="34" w:name="_Toc21059"/>
      <w:bookmarkStart w:id="35" w:name="_Toc83631041"/>
      <w:bookmarkStart w:id="36" w:name="_Toc83630331"/>
      <w:r>
        <w:rPr>
          <w:rFonts w:hint="eastAsia" w:ascii="仿宋" w:hAnsi="仿宋" w:eastAsia="仿宋" w:cs="仿宋"/>
          <w:sz w:val="30"/>
          <w:szCs w:val="30"/>
        </w:rPr>
        <w:t>经检查，该项目设立的主要依据</w:t>
      </w:r>
      <w:bookmarkEnd w:id="32"/>
      <w:bookmarkEnd w:id="33"/>
      <w:bookmarkEnd w:id="34"/>
      <w:bookmarkEnd w:id="35"/>
      <w:bookmarkEnd w:id="36"/>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河北省</w:t>
      </w:r>
      <w:r>
        <w:rPr>
          <w:rFonts w:hint="eastAsia" w:ascii="仿宋" w:hAnsi="仿宋" w:eastAsia="仿宋" w:cs="仿宋"/>
          <w:sz w:val="30"/>
          <w:szCs w:val="30"/>
        </w:rPr>
        <w:t>人力资源和社会保障</w:t>
      </w:r>
      <w:r>
        <w:rPr>
          <w:rFonts w:hint="eastAsia" w:ascii="仿宋" w:hAnsi="仿宋" w:eastAsia="仿宋" w:cs="仿宋"/>
          <w:sz w:val="30"/>
          <w:szCs w:val="30"/>
          <w:lang w:val="en-US" w:eastAsia="zh-CN"/>
        </w:rPr>
        <w:t>厅</w:t>
      </w: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河北省财政厅 关于做好提高城乡居民基本养老保险基础养老金最低标准工作的通知</w:t>
      </w: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冀</w:t>
      </w:r>
      <w:r>
        <w:rPr>
          <w:rFonts w:hint="eastAsia" w:ascii="仿宋" w:hAnsi="仿宋" w:eastAsia="仿宋" w:cs="仿宋"/>
          <w:sz w:val="30"/>
          <w:szCs w:val="30"/>
        </w:rPr>
        <w:t>人社</w:t>
      </w:r>
      <w:r>
        <w:rPr>
          <w:rFonts w:hint="eastAsia" w:ascii="仿宋" w:hAnsi="仿宋" w:eastAsia="仿宋" w:cs="仿宋"/>
          <w:sz w:val="30"/>
          <w:szCs w:val="30"/>
          <w:lang w:val="en-US" w:eastAsia="zh-CN"/>
        </w:rPr>
        <w:t>发</w:t>
      </w:r>
      <w:r>
        <w:rPr>
          <w:rFonts w:hint="eastAsia" w:ascii="仿宋" w:hAnsi="仿宋" w:eastAsia="仿宋" w:cs="仿宋"/>
          <w:sz w:val="30"/>
          <w:szCs w:val="30"/>
        </w:rPr>
        <w:t>[20</w:t>
      </w:r>
      <w:r>
        <w:rPr>
          <w:rFonts w:hint="eastAsia" w:ascii="仿宋" w:hAnsi="仿宋" w:eastAsia="仿宋" w:cs="仿宋"/>
          <w:sz w:val="30"/>
          <w:szCs w:val="30"/>
          <w:lang w:val="en-US" w:eastAsia="zh-CN"/>
        </w:rPr>
        <w:t>20</w:t>
      </w:r>
      <w:r>
        <w:rPr>
          <w:rFonts w:hint="eastAsia" w:ascii="仿宋" w:hAnsi="仿宋" w:eastAsia="仿宋" w:cs="仿宋"/>
          <w:sz w:val="30"/>
          <w:szCs w:val="30"/>
        </w:rPr>
        <w:t>]3</w:t>
      </w:r>
      <w:r>
        <w:rPr>
          <w:rFonts w:hint="eastAsia" w:ascii="仿宋" w:hAnsi="仿宋" w:eastAsia="仿宋" w:cs="仿宋"/>
          <w:sz w:val="30"/>
          <w:szCs w:val="30"/>
          <w:lang w:val="en-US" w:eastAsia="zh-CN"/>
        </w:rPr>
        <w:t>5</w:t>
      </w:r>
      <w:r>
        <w:rPr>
          <w:rFonts w:hint="eastAsia" w:ascii="仿宋" w:hAnsi="仿宋" w:eastAsia="仿宋" w:cs="仿宋"/>
          <w:sz w:val="30"/>
          <w:szCs w:val="30"/>
        </w:rPr>
        <w:t>号）；</w:t>
      </w:r>
      <w:r>
        <w:rPr>
          <w:rFonts w:hint="eastAsia" w:ascii="仿宋" w:hAnsi="仿宋" w:eastAsia="仿宋" w:cs="仿宋"/>
          <w:sz w:val="30"/>
          <w:szCs w:val="30"/>
          <w:lang w:val="en-US" w:eastAsia="zh-CN"/>
        </w:rPr>
        <w:t>保定市人力资源和社会保障局 关于转发《河北省人力资源和社会保障厅关于贯彻落实&lt;关于建立城乡居民基本养老保险待遇确定和基础养老金正常调整机制的实施意见&gt;的通知</w:t>
      </w:r>
      <w:r>
        <w:rPr>
          <w:rFonts w:hint="eastAsia" w:ascii="仿宋" w:hAnsi="仿宋" w:eastAsia="仿宋" w:cs="仿宋"/>
          <w:sz w:val="30"/>
          <w:szCs w:val="30"/>
          <w:highlight w:val="none"/>
          <w:lang w:val="en-US" w:eastAsia="zh-CN"/>
        </w:rPr>
        <w:t>》的通知（保人社字[2019]54号）</w:t>
      </w:r>
      <w:r>
        <w:rPr>
          <w:rFonts w:hint="eastAsia" w:ascii="仿宋" w:hAnsi="仿宋" w:eastAsia="仿宋" w:cs="仿宋"/>
          <w:sz w:val="30"/>
          <w:szCs w:val="30"/>
          <w:highlight w:val="none"/>
        </w:rPr>
        <w:t>；</w:t>
      </w:r>
      <w:r>
        <w:rPr>
          <w:rFonts w:hint="eastAsia" w:ascii="仿宋" w:hAnsi="仿宋" w:eastAsia="仿宋" w:cs="仿宋"/>
          <w:sz w:val="30"/>
          <w:szCs w:val="30"/>
          <w:lang w:val="en-US" w:eastAsia="zh-CN"/>
        </w:rPr>
        <w:t>河北省人力资源和社会保障厅关于贯彻落实《关于建立城乡居民基本养老保险待遇确定和基础养老金正常调整机制的实施意见》的通知（冀人社字[2019]122号）、河北省财政厅关于提前下达2021年城乡居民基本养老保险中央财政补助资金预算指标的通知（冀财社[2020]143号）</w:t>
      </w:r>
      <w:r>
        <w:rPr>
          <w:rFonts w:hint="eastAsia" w:ascii="仿宋" w:hAnsi="仿宋" w:eastAsia="仿宋" w:cs="仿宋"/>
          <w:sz w:val="30"/>
          <w:szCs w:val="30"/>
        </w:rPr>
        <w:t>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我们认为该项目设定依据充分，目标设定明确、合理、科学、可行，符合国家法规、政策规定，符合社会经济发展战略规划。</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该指标实际得分3分。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（2）项目决策必要性（2分）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该指标主要评价项目内容设置与国家及地方政策、规划、社会需求等相关内容相符程度，决策过程是否规范，用以反映和考核项目决策的必要性。</w:t>
      </w:r>
    </w:p>
    <w:p>
      <w:pPr>
        <w:pageBreakBefore w:val="0"/>
        <w:kinsoku/>
        <w:wordWrap/>
        <w:overflowPunct/>
        <w:topLinePunct w:val="0"/>
        <w:autoSpaceDE/>
        <w:autoSpaceDN/>
        <w:bidi w:val="0"/>
        <w:adjustRightInd/>
        <w:snapToGrid/>
        <w:spacing w:line="560" w:lineRule="exact"/>
        <w:ind w:firstLine="588" w:firstLineChars="196"/>
        <w:outlineLvl w:val="0"/>
        <w:rPr>
          <w:rFonts w:hint="eastAsia" w:ascii="仿宋" w:hAnsi="仿宋" w:eastAsia="仿宋" w:cs="仿宋"/>
          <w:sz w:val="30"/>
          <w:szCs w:val="30"/>
        </w:rPr>
      </w:pPr>
      <w:bookmarkStart w:id="37" w:name="_Toc83630332"/>
      <w:bookmarkStart w:id="38" w:name="_Toc24207"/>
      <w:bookmarkStart w:id="39" w:name="_Toc83630428"/>
      <w:bookmarkStart w:id="40" w:name="_Toc32149"/>
      <w:bookmarkStart w:id="41" w:name="_Toc83631042"/>
      <w:r>
        <w:rPr>
          <w:rFonts w:hint="eastAsia" w:ascii="仿宋" w:hAnsi="仿宋" w:eastAsia="仿宋" w:cs="仿宋"/>
          <w:sz w:val="30"/>
          <w:szCs w:val="30"/>
        </w:rPr>
        <w:t>项目的实施为</w:t>
      </w:r>
      <w:r>
        <w:rPr>
          <w:rFonts w:hint="eastAsia" w:ascii="仿宋" w:hAnsi="仿宋" w:eastAsia="仿宋" w:cs="仿宋"/>
          <w:sz w:val="30"/>
          <w:szCs w:val="30"/>
          <w:lang w:val="en-US" w:eastAsia="zh-CN"/>
        </w:rPr>
        <w:t>城乡居民补贴</w:t>
      </w:r>
      <w:r>
        <w:rPr>
          <w:rFonts w:hint="eastAsia" w:ascii="仿宋" w:hAnsi="仿宋" w:eastAsia="仿宋" w:cs="仿宋"/>
          <w:sz w:val="30"/>
          <w:szCs w:val="30"/>
        </w:rPr>
        <w:t>生活开销，改善生活水平，提供养老保障，</w:t>
      </w:r>
      <w:r>
        <w:rPr>
          <w:rFonts w:hint="eastAsia" w:ascii="仿宋" w:hAnsi="仿宋" w:eastAsia="仿宋" w:cs="仿宋"/>
          <w:sz w:val="30"/>
          <w:szCs w:val="30"/>
          <w:lang w:val="en-US" w:eastAsia="zh-CN"/>
        </w:rPr>
        <w:t>维护</w:t>
      </w:r>
      <w:r>
        <w:rPr>
          <w:rFonts w:hint="eastAsia" w:ascii="仿宋" w:hAnsi="仿宋" w:eastAsia="仿宋" w:cs="仿宋"/>
          <w:sz w:val="30"/>
          <w:szCs w:val="30"/>
        </w:rPr>
        <w:t>了社会</w:t>
      </w:r>
      <w:r>
        <w:rPr>
          <w:rFonts w:hint="eastAsia" w:ascii="仿宋" w:hAnsi="仿宋" w:eastAsia="仿宋" w:cs="仿宋"/>
          <w:sz w:val="30"/>
          <w:szCs w:val="30"/>
          <w:lang w:val="en-US" w:eastAsia="zh-CN"/>
        </w:rPr>
        <w:t>和谐</w:t>
      </w:r>
      <w:r>
        <w:rPr>
          <w:rFonts w:hint="eastAsia" w:ascii="仿宋" w:hAnsi="仿宋" w:eastAsia="仿宋" w:cs="仿宋"/>
          <w:sz w:val="30"/>
          <w:szCs w:val="30"/>
        </w:rPr>
        <w:t>稳定。</w:t>
      </w:r>
      <w:bookmarkEnd w:id="37"/>
      <w:bookmarkEnd w:id="38"/>
      <w:bookmarkEnd w:id="39"/>
      <w:bookmarkEnd w:id="40"/>
      <w:bookmarkEnd w:id="41"/>
    </w:p>
    <w:p>
      <w:pPr>
        <w:pageBreakBefore w:val="0"/>
        <w:kinsoku/>
        <w:wordWrap/>
        <w:overflowPunct/>
        <w:topLinePunct w:val="0"/>
        <w:autoSpaceDE/>
        <w:autoSpaceDN/>
        <w:bidi w:val="0"/>
        <w:adjustRightInd/>
        <w:snapToGrid/>
        <w:spacing w:line="560" w:lineRule="exact"/>
        <w:ind w:firstLine="588" w:firstLineChars="196"/>
        <w:outlineLvl w:val="0"/>
        <w:rPr>
          <w:rFonts w:hint="eastAsia" w:ascii="仿宋" w:hAnsi="仿宋" w:eastAsia="仿宋" w:cs="仿宋"/>
          <w:sz w:val="30"/>
          <w:szCs w:val="30"/>
        </w:rPr>
      </w:pPr>
      <w:bookmarkStart w:id="42" w:name="_Toc26878"/>
      <w:bookmarkStart w:id="43" w:name="_Toc5914"/>
      <w:bookmarkStart w:id="44" w:name="_Toc83631043"/>
      <w:bookmarkStart w:id="45" w:name="_Toc83630333"/>
      <w:bookmarkStart w:id="46" w:name="_Toc83630429"/>
      <w:r>
        <w:rPr>
          <w:rFonts w:hint="eastAsia" w:ascii="仿宋" w:hAnsi="仿宋" w:eastAsia="仿宋" w:cs="仿宋"/>
          <w:sz w:val="30"/>
          <w:szCs w:val="30"/>
        </w:rPr>
        <w:t>为此我们认为该项目决策的评价结论为必要。</w:t>
      </w:r>
      <w:bookmarkEnd w:id="42"/>
      <w:bookmarkEnd w:id="43"/>
      <w:bookmarkEnd w:id="44"/>
      <w:bookmarkEnd w:id="45"/>
      <w:bookmarkEnd w:id="46"/>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2.绩效目标（5分）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该指标共包含2个三级指标，主要评价项目绩效目标依据是否充分，项目绩效指标是否清晰、细化、量化、可衡量。</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（1）合理性（3分）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rPr>
      </w:pPr>
      <w:r>
        <w:rPr>
          <w:rFonts w:hint="eastAsia" w:ascii="仿宋" w:hAnsi="仿宋" w:eastAsia="仿宋" w:cs="仿宋"/>
          <w:sz w:val="30"/>
          <w:szCs w:val="30"/>
        </w:rPr>
        <w:t xml:space="preserve">    该指标主要评价项目绩效目标依据是否充分，与客观实际相符的情况。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 xml:space="preserve"> 经检查，该项目绩效目标是依据河北省人力资源和社会保障厅 河北省财政厅 关于做好提高城乡居民基本养老保险基础养老金最低标准工作的通知 （冀人社发[2020]35号）；保定市人力资源和社会保障局 关于转发《河北省人力资源和社会保障厅关于贯彻落实&lt;关于建立城乡居民基本养老保险待遇确定和基础养老金正常调整机制的实施意见&gt;的通知》的通知（保人社字[2019]54号）；河北省人力资源和社会保障厅关于贯彻落实《关于建立城乡居民基本养老保险待遇确定和基础养老金正常调整机制的实施意见》的通知（冀人社字[2019]122号）、河北省财政厅关于提前下达2021年城乡居民基本养老保险中央财政补助资金预算指标的通知（冀财社[2020]143号）等制定的，绩效目标依据较充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该指标实际得分3分。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（2）明确性（2分）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该指标主要评价项目绩效指标是否清晰、细化、量化、可衡量，及其与当年工作任务的匹配情况。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经检查，该项目根据</w:t>
      </w:r>
      <w:r>
        <w:rPr>
          <w:rFonts w:hint="eastAsia" w:ascii="仿宋" w:hAnsi="仿宋" w:eastAsia="仿宋" w:cs="仿宋"/>
          <w:sz w:val="30"/>
          <w:szCs w:val="30"/>
          <w:lang w:eastAsia="zh-CN"/>
        </w:rPr>
        <w:t>曲阳县财政局</w:t>
      </w:r>
      <w:r>
        <w:rPr>
          <w:rFonts w:hint="eastAsia" w:ascii="仿宋" w:hAnsi="仿宋" w:eastAsia="仿宋" w:cs="仿宋"/>
          <w:sz w:val="30"/>
          <w:szCs w:val="30"/>
        </w:rPr>
        <w:t>下发的</w:t>
      </w:r>
      <w:r>
        <w:rPr>
          <w:rFonts w:hint="eastAsia" w:ascii="仿宋" w:hAnsi="仿宋" w:eastAsia="仿宋" w:cs="仿宋"/>
          <w:sz w:val="30"/>
          <w:szCs w:val="30"/>
          <w:highlight w:val="none"/>
        </w:rPr>
        <w:t>《关于开展202</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eastAsia="zh-CN"/>
        </w:rPr>
        <w:t>中央城乡居民养老保险补助项目</w:t>
      </w:r>
      <w:r>
        <w:rPr>
          <w:rFonts w:hint="eastAsia" w:ascii="仿宋" w:hAnsi="仿宋" w:eastAsia="仿宋" w:cs="仿宋"/>
          <w:sz w:val="30"/>
          <w:szCs w:val="30"/>
          <w:highlight w:val="none"/>
        </w:rPr>
        <w:t>绩效评价工作的通知》，</w:t>
      </w:r>
      <w:r>
        <w:rPr>
          <w:rFonts w:hint="eastAsia" w:ascii="仿宋" w:hAnsi="仿宋" w:eastAsia="仿宋" w:cs="仿宋"/>
          <w:sz w:val="30"/>
          <w:szCs w:val="30"/>
        </w:rPr>
        <w:t>在项目绩效评价指标体系表中制定了项目产出指标和项目效益指标，绩效指标清晰、细化、量化、可衡量且与当年工作任务匹配。</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该指标实际得分2分。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rPr>
      </w:pPr>
      <w:bookmarkStart w:id="47" w:name="_Toc8907"/>
      <w:bookmarkStart w:id="48" w:name="_Toc83631044"/>
      <w:bookmarkStart w:id="49" w:name="_Toc21302"/>
      <w:bookmarkStart w:id="50" w:name="_Toc83630334"/>
      <w:bookmarkStart w:id="51" w:name="_Toc27328"/>
      <w:r>
        <w:rPr>
          <w:rFonts w:hint="eastAsia" w:ascii="仿宋" w:hAnsi="仿宋" w:eastAsia="仿宋" w:cs="仿宋"/>
          <w:b w:val="0"/>
          <w:bCs w:val="0"/>
          <w:sz w:val="30"/>
          <w:szCs w:val="30"/>
        </w:rPr>
        <w:t>（二）项目过程管理（</w:t>
      </w:r>
      <w:r>
        <w:rPr>
          <w:rFonts w:hint="eastAsia" w:ascii="仿宋" w:hAnsi="仿宋" w:eastAsia="仿宋" w:cs="仿宋"/>
          <w:b w:val="0"/>
          <w:bCs w:val="0"/>
          <w:sz w:val="30"/>
          <w:szCs w:val="30"/>
          <w:lang w:val="en-US" w:eastAsia="zh-CN"/>
        </w:rPr>
        <w:t>40</w:t>
      </w:r>
      <w:r>
        <w:rPr>
          <w:rFonts w:hint="eastAsia" w:ascii="仿宋" w:hAnsi="仿宋" w:eastAsia="仿宋" w:cs="仿宋"/>
          <w:b w:val="0"/>
          <w:bCs w:val="0"/>
          <w:sz w:val="30"/>
          <w:szCs w:val="30"/>
        </w:rPr>
        <w:t>分）</w:t>
      </w:r>
      <w:bookmarkEnd w:id="47"/>
      <w:bookmarkEnd w:id="48"/>
      <w:bookmarkEnd w:id="49"/>
      <w:bookmarkEnd w:id="50"/>
      <w:bookmarkEnd w:id="51"/>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一级指标包含项目财务管理和项目业务管理2个二级指标，主要反映该项目在实施过程中，财务管理是否规范、资金使用是否合规、项目业务管理是否按照相关规定执行，以保障财政资金的安全性和项目顺利实施。</w:t>
      </w:r>
    </w:p>
    <w:tbl>
      <w:tblPr>
        <w:tblStyle w:val="16"/>
        <w:tblW w:w="49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077"/>
        <w:gridCol w:w="1852"/>
        <w:gridCol w:w="2835"/>
        <w:gridCol w:w="1510"/>
        <w:gridCol w:w="1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一级指标</w:t>
            </w:r>
          </w:p>
        </w:tc>
        <w:tc>
          <w:tcPr>
            <w:tcW w:w="95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二级指标</w:t>
            </w:r>
          </w:p>
        </w:tc>
        <w:tc>
          <w:tcPr>
            <w:tcW w:w="1468"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三级指标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分数权重</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6"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项目过程管理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45</w:t>
            </w:r>
            <w:r>
              <w:rPr>
                <w:rFonts w:hint="eastAsia" w:ascii="仿宋" w:hAnsi="仿宋" w:eastAsia="仿宋" w:cs="仿宋"/>
                <w:color w:val="000000"/>
                <w:kern w:val="0"/>
                <w:sz w:val="24"/>
                <w:szCs w:val="24"/>
              </w:rPr>
              <w:t>分）</w:t>
            </w: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项目财务管理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w:t>
            </w:r>
            <w:r>
              <w:rPr>
                <w:rFonts w:hint="eastAsia" w:ascii="仿宋" w:hAnsi="仿宋" w:eastAsia="仿宋" w:cs="仿宋"/>
                <w:color w:val="000000"/>
                <w:kern w:val="0"/>
                <w:sz w:val="24"/>
                <w:szCs w:val="24"/>
                <w:lang w:val="en-US" w:eastAsia="zh-CN"/>
              </w:rPr>
              <w:t>5</w:t>
            </w:r>
            <w:r>
              <w:rPr>
                <w:rFonts w:hint="eastAsia" w:ascii="仿宋" w:hAnsi="仿宋" w:eastAsia="仿宋" w:cs="仿宋"/>
                <w:color w:val="000000"/>
                <w:kern w:val="0"/>
                <w:sz w:val="24"/>
                <w:szCs w:val="24"/>
              </w:rPr>
              <w:t>分）</w:t>
            </w:r>
          </w:p>
        </w:tc>
        <w:tc>
          <w:tcPr>
            <w:tcW w:w="1468"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专项资金实际使用率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8</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p>
        </w:tc>
        <w:tc>
          <w:tcPr>
            <w:tcW w:w="1468"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专项资金到位率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6</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lang w:val="en-US" w:eastAsia="zh-CN"/>
              </w:rPr>
            </w:pPr>
            <w:r>
              <w:rPr>
                <w:rFonts w:hint="eastAsia" w:ascii="仿宋" w:hAnsi="仿宋" w:eastAsia="仿宋" w:cs="仿宋"/>
                <w:color w:val="000000"/>
                <w:kern w:val="0"/>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p>
        </w:tc>
        <w:tc>
          <w:tcPr>
            <w:tcW w:w="1468"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专项资金支出合规性</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6</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8"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0"/>
                <w:sz w:val="24"/>
                <w:szCs w:val="24"/>
              </w:rPr>
              <w:t>会计核算</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kern w:val="0"/>
                <w:sz w:val="24"/>
                <w:szCs w:val="24"/>
              </w:rPr>
              <w:t>5</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Calibri" w:hAnsi="Calibri" w:eastAsia="宋体" w:cs="Times New Roman"/>
                <w:kern w:val="0"/>
                <w:sz w:val="22"/>
                <w:lang w:val="en-US" w:eastAsia="zh-CN" w:bidi="ar-SA"/>
              </w:rPr>
            </w:pPr>
            <w:r>
              <w:rPr>
                <w:rFonts w:hint="eastAsia" w:ascii="仿宋" w:hAnsi="仿宋" w:eastAsia="仿宋" w:cs="仿宋"/>
                <w:color w:val="00000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项目业务管理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20</w:t>
            </w:r>
            <w:r>
              <w:rPr>
                <w:rFonts w:hint="eastAsia" w:ascii="仿宋" w:hAnsi="仿宋" w:eastAsia="仿宋" w:cs="仿宋"/>
                <w:color w:val="000000"/>
                <w:kern w:val="0"/>
                <w:sz w:val="24"/>
                <w:szCs w:val="24"/>
              </w:rPr>
              <w:t>分）</w:t>
            </w:r>
          </w:p>
        </w:tc>
        <w:tc>
          <w:tcPr>
            <w:tcW w:w="1468"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管理制度是否健全</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5</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8"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专户管理</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5</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8"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监督检查</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5</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8"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项目档案资料完整性</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5</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80" w:hRule="atLeast"/>
          <w:jc w:val="center"/>
        </w:trPr>
        <w:tc>
          <w:tcPr>
            <w:tcW w:w="3503" w:type="pct"/>
            <w:gridSpan w:val="3"/>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合  计</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45</w:t>
            </w:r>
          </w:p>
        </w:tc>
        <w:tc>
          <w:tcPr>
            <w:tcW w:w="714"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45</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1.项目财务管理（2</w:t>
      </w:r>
      <w:r>
        <w:rPr>
          <w:rFonts w:hint="eastAsia" w:ascii="仿宋" w:hAnsi="仿宋" w:eastAsia="仿宋" w:cs="仿宋"/>
          <w:sz w:val="30"/>
          <w:szCs w:val="30"/>
          <w:lang w:val="en-US" w:eastAsia="zh-CN"/>
        </w:rPr>
        <w:t>5</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rPr>
      </w:pPr>
      <w:r>
        <w:rPr>
          <w:rFonts w:hint="eastAsia" w:ascii="仿宋" w:hAnsi="仿宋" w:eastAsia="仿宋" w:cs="仿宋"/>
          <w:sz w:val="30"/>
          <w:szCs w:val="30"/>
        </w:rPr>
        <w:t xml:space="preserve">    （1）专项资金实际使用率（</w:t>
      </w:r>
      <w:r>
        <w:rPr>
          <w:rFonts w:hint="eastAsia" w:ascii="仿宋" w:hAnsi="仿宋" w:eastAsia="仿宋" w:cs="仿宋"/>
          <w:sz w:val="30"/>
          <w:szCs w:val="30"/>
          <w:lang w:val="en-US" w:eastAsia="zh-CN"/>
        </w:rPr>
        <w:t>8</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该指标主要评价实际使用专项资金数额占专项资金实际拨付额比例。</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经检查，202</w:t>
      </w:r>
      <w:r>
        <w:rPr>
          <w:rFonts w:hint="eastAsia" w:ascii="仿宋" w:hAnsi="仿宋" w:eastAsia="仿宋" w:cs="仿宋"/>
          <w:sz w:val="30"/>
          <w:szCs w:val="30"/>
          <w:lang w:val="en-US" w:eastAsia="zh-CN"/>
        </w:rPr>
        <w:t>1</w:t>
      </w:r>
      <w:r>
        <w:rPr>
          <w:rFonts w:hint="eastAsia" w:ascii="仿宋" w:hAnsi="仿宋" w:eastAsia="仿宋" w:cs="仿宋"/>
          <w:sz w:val="30"/>
          <w:szCs w:val="30"/>
        </w:rPr>
        <w:t>年中央补助资金</w:t>
      </w:r>
      <w:r>
        <w:rPr>
          <w:rFonts w:hint="eastAsia" w:ascii="仿宋" w:hAnsi="仿宋" w:eastAsia="仿宋" w:cs="仿宋"/>
          <w:sz w:val="30"/>
          <w:szCs w:val="30"/>
          <w:lang w:val="en-US" w:eastAsia="zh-CN"/>
        </w:rPr>
        <w:t>9124</w:t>
      </w:r>
      <w:r>
        <w:rPr>
          <w:rFonts w:hint="eastAsia" w:ascii="仿宋" w:hAnsi="仿宋" w:eastAsia="仿宋" w:cs="仿宋"/>
          <w:sz w:val="30"/>
          <w:szCs w:val="30"/>
        </w:rPr>
        <w:t>万元用于该项目，202</w:t>
      </w:r>
      <w:r>
        <w:rPr>
          <w:rFonts w:hint="eastAsia" w:ascii="仿宋" w:hAnsi="仿宋" w:eastAsia="仿宋" w:cs="仿宋"/>
          <w:sz w:val="30"/>
          <w:szCs w:val="30"/>
          <w:lang w:val="en-US" w:eastAsia="zh-CN"/>
        </w:rPr>
        <w:t>1</w:t>
      </w:r>
      <w:r>
        <w:rPr>
          <w:rFonts w:hint="eastAsia" w:ascii="仿宋" w:hAnsi="仿宋" w:eastAsia="仿宋" w:cs="仿宋"/>
          <w:sz w:val="30"/>
          <w:szCs w:val="30"/>
        </w:rPr>
        <w:t>年度该项目专项资金已使用</w:t>
      </w:r>
      <w:r>
        <w:rPr>
          <w:rFonts w:hint="eastAsia" w:ascii="仿宋" w:hAnsi="仿宋" w:eastAsia="仿宋" w:cs="仿宋"/>
          <w:sz w:val="30"/>
          <w:szCs w:val="30"/>
          <w:lang w:val="en-US" w:eastAsia="zh-CN"/>
        </w:rPr>
        <w:t>9124</w:t>
      </w:r>
      <w:r>
        <w:rPr>
          <w:rFonts w:hint="eastAsia" w:ascii="仿宋" w:hAnsi="仿宋" w:eastAsia="仿宋" w:cs="仿宋"/>
          <w:sz w:val="30"/>
          <w:szCs w:val="30"/>
        </w:rPr>
        <w:t>万元，实际使用专项资金数额占专项资金拨付额的比例为</w:t>
      </w:r>
      <w:r>
        <w:rPr>
          <w:rFonts w:hint="eastAsia" w:ascii="仿宋" w:hAnsi="仿宋" w:eastAsia="仿宋" w:cs="仿宋"/>
          <w:sz w:val="30"/>
          <w:szCs w:val="30"/>
          <w:lang w:val="en-US" w:eastAsia="zh-CN"/>
        </w:rPr>
        <w:t>100</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8</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（2）专项资金到位率（</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rPr>
        <w:t>该指标主</w:t>
      </w:r>
      <w:r>
        <w:rPr>
          <w:rFonts w:hint="eastAsia" w:ascii="仿宋" w:hAnsi="仿宋" w:eastAsia="仿宋" w:cs="仿宋"/>
          <w:sz w:val="30"/>
          <w:szCs w:val="30"/>
          <w:highlight w:val="none"/>
        </w:rPr>
        <w:t>要评价专项资金是否按计划拨付。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highlight w:val="none"/>
        </w:rPr>
        <w:t>该项目绩效专项资金</w:t>
      </w:r>
      <w:r>
        <w:rPr>
          <w:rFonts w:hint="eastAsia" w:ascii="仿宋" w:hAnsi="仿宋" w:eastAsia="仿宋" w:cs="仿宋"/>
          <w:sz w:val="30"/>
          <w:szCs w:val="30"/>
          <w:highlight w:val="none"/>
          <w:lang w:val="en-US" w:eastAsia="zh-CN"/>
        </w:rPr>
        <w:t>计划拨付9124</w:t>
      </w:r>
      <w:r>
        <w:rPr>
          <w:rFonts w:hint="eastAsia" w:ascii="仿宋" w:hAnsi="仿宋" w:eastAsia="仿宋" w:cs="仿宋"/>
          <w:sz w:val="30"/>
          <w:szCs w:val="30"/>
          <w:highlight w:val="none"/>
        </w:rPr>
        <w:t>.00万元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经检查</w:t>
      </w:r>
      <w:r>
        <w:rPr>
          <w:rFonts w:hint="eastAsia" w:ascii="仿宋" w:hAnsi="仿宋" w:eastAsia="仿宋" w:cs="仿宋"/>
          <w:sz w:val="30"/>
          <w:szCs w:val="30"/>
        </w:rPr>
        <w:t>，</w:t>
      </w:r>
      <w:r>
        <w:rPr>
          <w:rFonts w:hint="eastAsia" w:ascii="仿宋" w:hAnsi="仿宋" w:eastAsia="仿宋" w:cs="仿宋"/>
          <w:sz w:val="30"/>
          <w:szCs w:val="30"/>
          <w:lang w:val="en-US" w:eastAsia="zh-CN"/>
        </w:rPr>
        <w:t>实际拨付9124.00万元，已按计划拨付到位</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（3）专项资金支出合规性（</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该指标主要评价专项资金是否严格按照资金管理办法的用途支出，是否有截留、挤占、挪用等违规行为。</w:t>
      </w:r>
    </w:p>
    <w:p>
      <w:pPr>
        <w:pageBreakBefore w:val="0"/>
        <w:kinsoku/>
        <w:wordWrap/>
        <w:overflowPunct/>
        <w:topLinePunct w:val="0"/>
        <w:autoSpaceDE/>
        <w:autoSpaceDN/>
        <w:bidi w:val="0"/>
        <w:adjustRightInd/>
        <w:snapToGrid/>
        <w:spacing w:line="560" w:lineRule="exact"/>
        <w:ind w:firstLine="821"/>
        <w:jc w:val="left"/>
        <w:rPr>
          <w:rFonts w:hint="eastAsia" w:ascii="仿宋" w:hAnsi="仿宋" w:eastAsia="仿宋" w:cs="仿宋"/>
          <w:sz w:val="30"/>
          <w:szCs w:val="30"/>
        </w:rPr>
      </w:pPr>
      <w:r>
        <w:rPr>
          <w:rFonts w:hint="eastAsia" w:ascii="仿宋" w:hAnsi="仿宋" w:eastAsia="仿宋" w:cs="仿宋"/>
          <w:sz w:val="30"/>
          <w:szCs w:val="30"/>
        </w:rPr>
        <w:t>经检查，该项目资金严格按照《专项资金管理办法》的规定支出，专款专用，不存在截留、挤占、挪用等违规行为。</w:t>
      </w:r>
    </w:p>
    <w:p>
      <w:pPr>
        <w:pageBreakBefore w:val="0"/>
        <w:kinsoku/>
        <w:wordWrap/>
        <w:overflowPunct/>
        <w:topLinePunct w:val="0"/>
        <w:autoSpaceDE/>
        <w:autoSpaceDN/>
        <w:bidi w:val="0"/>
        <w:adjustRightInd/>
        <w:snapToGrid/>
        <w:spacing w:line="560" w:lineRule="exact"/>
        <w:ind w:firstLine="900" w:firstLineChars="300"/>
        <w:jc w:val="left"/>
        <w:rPr>
          <w:rFonts w:hint="eastAsia" w:ascii="仿宋" w:hAnsi="仿宋" w:eastAsia="仿宋" w:cs="仿宋"/>
          <w:sz w:val="30"/>
          <w:szCs w:val="30"/>
        </w:rPr>
      </w:pPr>
      <w:r>
        <w:rPr>
          <w:rFonts w:hint="eastAsia" w:ascii="仿宋" w:hAnsi="仿宋" w:eastAsia="仿宋" w:cs="仿宋"/>
          <w:sz w:val="30"/>
          <w:szCs w:val="30"/>
        </w:rPr>
        <w:t>该指标实际得分</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highlight w:val="none"/>
        </w:rPr>
        <w:t>（4）</w:t>
      </w:r>
      <w:r>
        <w:rPr>
          <w:rFonts w:hint="eastAsia" w:ascii="仿宋" w:hAnsi="仿宋" w:eastAsia="仿宋" w:cs="仿宋"/>
          <w:sz w:val="30"/>
          <w:szCs w:val="30"/>
        </w:rPr>
        <w:t>会计核算（5分）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rPr>
        <w:t>该指标主要评价会计核算是否严格遵守有关法规及制度规定，会计核算是否规范，专</w:t>
      </w:r>
      <w:r>
        <w:rPr>
          <w:rFonts w:hint="eastAsia" w:ascii="仿宋" w:hAnsi="仿宋" w:eastAsia="仿宋" w:cs="仿宋"/>
          <w:sz w:val="30"/>
          <w:szCs w:val="30"/>
          <w:highlight w:val="none"/>
        </w:rPr>
        <w:t>项资金支付申报、审批流程是否完善、支付依据是否合法。</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highlight w:val="none"/>
        </w:rPr>
        <w:t>该项目绩效专项资金为</w:t>
      </w:r>
      <w:r>
        <w:rPr>
          <w:rFonts w:hint="eastAsia" w:ascii="仿宋" w:hAnsi="仿宋" w:eastAsia="仿宋" w:cs="仿宋"/>
          <w:sz w:val="30"/>
          <w:szCs w:val="30"/>
          <w:highlight w:val="none"/>
          <w:lang w:val="en-US" w:eastAsia="zh-CN"/>
        </w:rPr>
        <w:t>9124</w:t>
      </w:r>
      <w:r>
        <w:rPr>
          <w:rFonts w:hint="eastAsia" w:ascii="仿宋" w:hAnsi="仿宋" w:eastAsia="仿宋" w:cs="仿宋"/>
          <w:sz w:val="30"/>
          <w:szCs w:val="30"/>
          <w:highlight w:val="none"/>
        </w:rPr>
        <w:t>.00万元，</w:t>
      </w:r>
      <w:r>
        <w:rPr>
          <w:rFonts w:hint="eastAsia" w:ascii="仿宋" w:hAnsi="仿宋" w:eastAsia="仿宋" w:cs="仿宋"/>
          <w:sz w:val="30"/>
          <w:szCs w:val="30"/>
          <w:highlight w:val="none"/>
          <w:lang w:val="en-US" w:eastAsia="zh-CN"/>
        </w:rPr>
        <w:t>全部为</w:t>
      </w:r>
      <w:r>
        <w:rPr>
          <w:rFonts w:hint="eastAsia" w:ascii="仿宋" w:hAnsi="仿宋" w:eastAsia="仿宋" w:cs="仿宋"/>
          <w:sz w:val="30"/>
          <w:szCs w:val="30"/>
          <w:highlight w:val="none"/>
        </w:rPr>
        <w:t>中央补助资金，账面记载</w:t>
      </w:r>
      <w:r>
        <w:rPr>
          <w:rFonts w:hint="eastAsia" w:ascii="仿宋" w:hAnsi="仿宋" w:eastAsia="仿宋" w:cs="仿宋"/>
          <w:sz w:val="30"/>
          <w:szCs w:val="30"/>
          <w:highlight w:val="none"/>
          <w:lang w:val="en-US" w:eastAsia="zh-CN"/>
        </w:rPr>
        <w:t>2021年</w:t>
      </w:r>
      <w:r>
        <w:rPr>
          <w:rFonts w:hint="eastAsia" w:ascii="仿宋" w:hAnsi="仿宋" w:eastAsia="仿宋" w:cs="仿宋"/>
          <w:sz w:val="30"/>
          <w:szCs w:val="30"/>
          <w:highlight w:val="none"/>
        </w:rPr>
        <w:t>专项资金支出金额为</w:t>
      </w:r>
      <w:r>
        <w:rPr>
          <w:rFonts w:hint="eastAsia" w:ascii="仿宋" w:hAnsi="仿宋" w:eastAsia="仿宋" w:cs="仿宋"/>
          <w:sz w:val="30"/>
          <w:szCs w:val="30"/>
          <w:highlight w:val="none"/>
          <w:lang w:val="en-US" w:eastAsia="zh-CN"/>
        </w:rPr>
        <w:t>9946.26</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超出部分为下达的2021年第二批中央补助资金等</w:t>
      </w:r>
      <w:r>
        <w:rPr>
          <w:rFonts w:hint="eastAsia" w:ascii="仿宋" w:hAnsi="仿宋" w:eastAsia="仿宋" w:cs="仿宋"/>
          <w:sz w:val="30"/>
          <w:szCs w:val="30"/>
          <w:highlight w:val="none"/>
        </w:rPr>
        <w:t>。经</w:t>
      </w:r>
      <w:r>
        <w:rPr>
          <w:rFonts w:hint="eastAsia" w:ascii="仿宋" w:hAnsi="仿宋" w:eastAsia="仿宋" w:cs="仿宋"/>
          <w:sz w:val="30"/>
          <w:szCs w:val="30"/>
        </w:rPr>
        <w:t>检查，会计核算严格遵守《政府会计制度》的相关规定，科目使用正确，核算规范；各项补贴资金的支付申报、审批流程完善，支付依据充分合法。</w:t>
      </w:r>
    </w:p>
    <w:p>
      <w:pPr>
        <w:pageBreakBefore w:val="0"/>
        <w:kinsoku/>
        <w:wordWrap/>
        <w:overflowPunct/>
        <w:topLinePunct w:val="0"/>
        <w:autoSpaceDE/>
        <w:autoSpaceDN/>
        <w:bidi w:val="0"/>
        <w:adjustRightInd/>
        <w:snapToGrid/>
        <w:spacing w:line="560" w:lineRule="exact"/>
        <w:ind w:firstLine="600" w:firstLineChars="200"/>
        <w:jc w:val="left"/>
        <w:rPr>
          <w:rFonts w:hint="eastAsia"/>
        </w:rPr>
      </w:pPr>
      <w:r>
        <w:rPr>
          <w:rFonts w:hint="eastAsia" w:ascii="仿宋" w:hAnsi="仿宋" w:eastAsia="仿宋" w:cs="仿宋"/>
          <w:sz w:val="30"/>
          <w:szCs w:val="30"/>
        </w:rPr>
        <w:t>该项指标实际得分5分。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2.项目业务管理（</w:t>
      </w:r>
      <w:r>
        <w:rPr>
          <w:rFonts w:hint="eastAsia" w:ascii="仿宋" w:hAnsi="仿宋" w:eastAsia="仿宋" w:cs="仿宋"/>
          <w:sz w:val="30"/>
          <w:szCs w:val="30"/>
          <w:lang w:val="en-US" w:eastAsia="zh-CN"/>
        </w:rPr>
        <w:t>20</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（1）管理制度是否健全（</w:t>
      </w:r>
      <w:r>
        <w:rPr>
          <w:rFonts w:hint="eastAsia" w:ascii="仿宋" w:hAnsi="仿宋" w:eastAsia="仿宋" w:cs="仿宋"/>
          <w:sz w:val="30"/>
          <w:szCs w:val="30"/>
          <w:lang w:val="en-US" w:eastAsia="zh-CN"/>
        </w:rPr>
        <w:t>5</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lang w:val="en-US" w:eastAsia="zh-CN"/>
        </w:rPr>
      </w:pPr>
      <w:r>
        <w:rPr>
          <w:rFonts w:hint="eastAsia" w:ascii="仿宋" w:hAnsi="仿宋" w:eastAsia="仿宋" w:cs="仿宋"/>
          <w:sz w:val="30"/>
          <w:szCs w:val="30"/>
        </w:rPr>
        <w:t xml:space="preserve">    该指标主要评价项目制定的管理制度和措施是否全面、明确、合理。能否保障项目顺利实施</w:t>
      </w:r>
      <w:r>
        <w:rPr>
          <w:rFonts w:hint="eastAsia" w:ascii="仿宋" w:hAnsi="仿宋" w:eastAsia="仿宋" w:cs="仿宋"/>
          <w:sz w:val="30"/>
          <w:szCs w:val="30"/>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经检查，单位制定了</w:t>
      </w:r>
      <w:r>
        <w:rPr>
          <w:rFonts w:hint="eastAsia" w:ascii="仿宋" w:hAnsi="仿宋" w:eastAsia="仿宋" w:cs="仿宋"/>
          <w:sz w:val="30"/>
          <w:szCs w:val="30"/>
          <w:highlight w:val="none"/>
        </w:rPr>
        <w:t>《曲阳县城乡居民社会养老保险服务中心财务管理制度》</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曲阳县城乡居民社会养老保险管理中心内部稽核监督工作制度</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等相</w:t>
      </w:r>
      <w:r>
        <w:rPr>
          <w:rFonts w:hint="eastAsia" w:ascii="仿宋" w:hAnsi="仿宋" w:eastAsia="仿宋" w:cs="仿宋"/>
          <w:sz w:val="30"/>
          <w:szCs w:val="30"/>
        </w:rPr>
        <w:t>关制度，保障了该项目的顺利实施。</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w:t>
      </w:r>
      <w:r>
        <w:rPr>
          <w:rFonts w:hint="eastAsia" w:ascii="仿宋" w:hAnsi="仿宋" w:eastAsia="仿宋" w:cs="仿宋"/>
          <w:sz w:val="30"/>
          <w:szCs w:val="30"/>
          <w:lang w:val="en-US" w:eastAsia="zh-CN"/>
        </w:rPr>
        <w:t>5</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eastAsia="zh-CN"/>
        </w:rPr>
      </w:pPr>
      <w:r>
        <w:rPr>
          <w:rFonts w:hint="eastAsia" w:ascii="仿宋" w:hAnsi="仿宋" w:eastAsia="仿宋" w:cs="仿宋"/>
          <w:sz w:val="30"/>
          <w:szCs w:val="30"/>
        </w:rPr>
        <w:t>（2）专户管理</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5分</w:t>
      </w:r>
      <w:r>
        <w:rPr>
          <w:rFonts w:hint="eastAsia" w:ascii="仿宋" w:hAnsi="仿宋" w:eastAsia="仿宋" w:cs="仿宋"/>
          <w:sz w:val="30"/>
          <w:szCs w:val="30"/>
          <w:lang w:eastAsia="zh-CN"/>
        </w:rPr>
        <w:t>）</w:t>
      </w:r>
    </w:p>
    <w:p>
      <w:pPr>
        <w:pStyle w:val="2"/>
        <w:ind w:left="0" w:leftChars="0" w:firstLine="600" w:firstLineChars="200"/>
        <w:rPr>
          <w:rFonts w:hint="eastAsia" w:ascii="仿宋" w:hAnsi="仿宋" w:eastAsia="仿宋" w:cs="仿宋"/>
          <w:kern w:val="2"/>
          <w:sz w:val="30"/>
          <w:szCs w:val="30"/>
          <w:lang w:val="en-US" w:eastAsia="zh-CN" w:bidi="ar-SA"/>
        </w:rPr>
      </w:pPr>
      <w:r>
        <w:rPr>
          <w:rFonts w:hint="eastAsia" w:ascii="仿宋" w:hAnsi="仿宋" w:eastAsia="仿宋" w:cs="仿宋"/>
          <w:sz w:val="30"/>
          <w:szCs w:val="30"/>
        </w:rPr>
        <w:t>该指标主要评价项目</w:t>
      </w:r>
      <w:r>
        <w:rPr>
          <w:rFonts w:hint="eastAsia" w:ascii="仿宋" w:hAnsi="仿宋" w:eastAsia="仿宋" w:cs="仿宋"/>
          <w:kern w:val="2"/>
          <w:sz w:val="30"/>
          <w:szCs w:val="30"/>
          <w:lang w:val="en-US" w:eastAsia="zh-CN" w:bidi="ar-SA"/>
        </w:rPr>
        <w:t>是否设立财政专户、支出专户，专户资金是否及时足额拨付到位。</w:t>
      </w:r>
    </w:p>
    <w:p>
      <w:pPr>
        <w:ind w:firstLine="600"/>
        <w:rPr>
          <w:rFonts w:hint="eastAsia"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经检查，单位设立了财政专户、支出专户，专户资金已及时足额拨付到位。</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w:t>
      </w:r>
      <w:r>
        <w:rPr>
          <w:rFonts w:hint="eastAsia" w:ascii="仿宋" w:hAnsi="仿宋" w:eastAsia="仿宋" w:cs="仿宋"/>
          <w:sz w:val="30"/>
          <w:szCs w:val="30"/>
          <w:lang w:val="en-US" w:eastAsia="zh-CN"/>
        </w:rPr>
        <w:t>5</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3</w:t>
      </w:r>
      <w:r>
        <w:rPr>
          <w:rFonts w:hint="eastAsia" w:ascii="仿宋" w:hAnsi="仿宋" w:eastAsia="仿宋" w:cs="仿宋"/>
          <w:sz w:val="30"/>
          <w:szCs w:val="30"/>
          <w:lang w:eastAsia="zh-CN"/>
        </w:rPr>
        <w:t>）</w:t>
      </w:r>
      <w:r>
        <w:rPr>
          <w:rFonts w:hint="eastAsia" w:ascii="仿宋" w:hAnsi="仿宋" w:eastAsia="仿宋" w:cs="仿宋"/>
          <w:sz w:val="30"/>
          <w:szCs w:val="30"/>
        </w:rPr>
        <w:t>监督检查（</w:t>
      </w:r>
      <w:r>
        <w:rPr>
          <w:rFonts w:hint="eastAsia" w:ascii="仿宋" w:hAnsi="仿宋" w:eastAsia="仿宋" w:cs="仿宋"/>
          <w:sz w:val="30"/>
          <w:szCs w:val="30"/>
          <w:lang w:val="en-US" w:eastAsia="zh-CN"/>
        </w:rPr>
        <w:t>5</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该指标主要评价该项目是否展开了监督检查工作</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w:t>
      </w:r>
      <w:r>
        <w:rPr>
          <w:rFonts w:hint="eastAsia" w:ascii="仿宋" w:hAnsi="仿宋" w:eastAsia="仿宋" w:cs="仿宋"/>
          <w:sz w:val="30"/>
          <w:szCs w:val="30"/>
          <w:highlight w:val="none"/>
          <w:lang w:eastAsia="zh-CN"/>
        </w:rPr>
        <w:t>曲阳县城乡居民社会养老保险服务中心</w:t>
      </w:r>
      <w:r>
        <w:rPr>
          <w:rFonts w:hint="eastAsia" w:ascii="仿宋" w:hAnsi="仿宋" w:eastAsia="仿宋" w:cs="仿宋"/>
          <w:sz w:val="30"/>
          <w:szCs w:val="30"/>
          <w:highlight w:val="none"/>
        </w:rPr>
        <w:t>对</w:t>
      </w:r>
      <w:r>
        <w:rPr>
          <w:rFonts w:hint="eastAsia" w:ascii="仿宋" w:hAnsi="仿宋" w:eastAsia="仿宋" w:cs="仿宋"/>
          <w:sz w:val="30"/>
          <w:szCs w:val="30"/>
          <w:highlight w:val="none"/>
          <w:lang w:val="en-US" w:eastAsia="zh-CN"/>
        </w:rPr>
        <w:t>领取养老金待遇的城乡居民</w:t>
      </w:r>
      <w:r>
        <w:rPr>
          <w:rFonts w:hint="eastAsia" w:ascii="仿宋" w:hAnsi="仿宋" w:eastAsia="仿宋" w:cs="仿宋"/>
          <w:sz w:val="30"/>
          <w:szCs w:val="30"/>
          <w:highlight w:val="none"/>
        </w:rPr>
        <w:t>进行了</w:t>
      </w:r>
      <w:r>
        <w:rPr>
          <w:rFonts w:hint="eastAsia" w:ascii="仿宋" w:hAnsi="仿宋" w:eastAsia="仿宋" w:cs="仿宋"/>
          <w:sz w:val="30"/>
          <w:szCs w:val="30"/>
          <w:highlight w:val="none"/>
          <w:lang w:val="en-US" w:eastAsia="zh-CN"/>
        </w:rPr>
        <w:t>疑似生存状态异常的稽核检查</w:t>
      </w:r>
      <w:r>
        <w:rPr>
          <w:rFonts w:hint="eastAsia" w:ascii="仿宋" w:hAnsi="仿宋" w:eastAsia="仿宋" w:cs="仿宋"/>
          <w:sz w:val="30"/>
          <w:szCs w:val="30"/>
        </w:rPr>
        <w:t>工作。</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w:t>
      </w:r>
      <w:r>
        <w:rPr>
          <w:rFonts w:hint="eastAsia" w:ascii="仿宋" w:hAnsi="仿宋" w:eastAsia="仿宋" w:cs="仿宋"/>
          <w:sz w:val="30"/>
          <w:szCs w:val="30"/>
          <w:lang w:val="en-US" w:eastAsia="zh-CN"/>
        </w:rPr>
        <w:t>5</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4</w:t>
      </w:r>
      <w:r>
        <w:rPr>
          <w:rFonts w:hint="eastAsia" w:ascii="仿宋" w:hAnsi="仿宋" w:eastAsia="仿宋" w:cs="仿宋"/>
          <w:sz w:val="30"/>
          <w:szCs w:val="30"/>
        </w:rPr>
        <w:t>）项目档案资料完整性（</w:t>
      </w:r>
      <w:r>
        <w:rPr>
          <w:rFonts w:hint="eastAsia" w:ascii="仿宋" w:hAnsi="仿宋" w:eastAsia="仿宋" w:cs="仿宋"/>
          <w:sz w:val="30"/>
          <w:szCs w:val="30"/>
          <w:lang w:val="en-US" w:eastAsia="zh-CN"/>
        </w:rPr>
        <w:t>5</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该指标主要评价项目项目档案资料是否齐全、完备，保存是否完整。</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经检查，该项目档案资料比较齐全、完备，保存完整。</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w:t>
      </w:r>
      <w:r>
        <w:rPr>
          <w:rFonts w:hint="eastAsia" w:ascii="仿宋" w:hAnsi="仿宋" w:eastAsia="仿宋" w:cs="仿宋"/>
          <w:sz w:val="30"/>
          <w:szCs w:val="30"/>
          <w:lang w:val="en-US" w:eastAsia="zh-CN"/>
        </w:rPr>
        <w:t>5</w:t>
      </w:r>
      <w:r>
        <w:rPr>
          <w:rFonts w:hint="eastAsia" w:ascii="仿宋" w:hAnsi="仿宋" w:eastAsia="仿宋" w:cs="仿宋"/>
          <w:sz w:val="30"/>
          <w:szCs w:val="30"/>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sz w:val="30"/>
          <w:szCs w:val="30"/>
        </w:rPr>
      </w:pPr>
      <w:bookmarkStart w:id="52" w:name="_Toc30993"/>
      <w:bookmarkStart w:id="53" w:name="_Toc6507"/>
      <w:bookmarkStart w:id="54" w:name="_Toc83630335"/>
      <w:bookmarkStart w:id="55" w:name="_Toc83631045"/>
      <w:bookmarkStart w:id="56" w:name="_Toc21112"/>
      <w:r>
        <w:rPr>
          <w:rFonts w:hint="eastAsia" w:ascii="仿宋" w:hAnsi="仿宋" w:eastAsia="仿宋" w:cs="仿宋"/>
          <w:b w:val="0"/>
          <w:bCs w:val="0"/>
          <w:sz w:val="30"/>
          <w:szCs w:val="30"/>
        </w:rPr>
        <w:t>（三）项目产出（3</w:t>
      </w:r>
      <w:r>
        <w:rPr>
          <w:rFonts w:hint="eastAsia" w:ascii="仿宋" w:hAnsi="仿宋" w:eastAsia="仿宋" w:cs="仿宋"/>
          <w:b w:val="0"/>
          <w:bCs w:val="0"/>
          <w:sz w:val="30"/>
          <w:szCs w:val="30"/>
          <w:lang w:val="en-US" w:eastAsia="zh-CN"/>
        </w:rPr>
        <w:t>0</w:t>
      </w:r>
      <w:r>
        <w:rPr>
          <w:rFonts w:hint="eastAsia" w:ascii="仿宋" w:hAnsi="仿宋" w:eastAsia="仿宋" w:cs="仿宋"/>
          <w:b w:val="0"/>
          <w:bCs w:val="0"/>
          <w:sz w:val="30"/>
          <w:szCs w:val="30"/>
        </w:rPr>
        <w:t>分）</w:t>
      </w:r>
      <w:bookmarkEnd w:id="52"/>
      <w:bookmarkEnd w:id="53"/>
      <w:bookmarkEnd w:id="54"/>
      <w:bookmarkEnd w:id="55"/>
      <w:bookmarkEnd w:id="56"/>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b/>
          <w:bCs/>
          <w:sz w:val="30"/>
          <w:szCs w:val="30"/>
        </w:rPr>
      </w:pPr>
      <w:r>
        <w:rPr>
          <w:rFonts w:hint="eastAsia" w:ascii="仿宋" w:hAnsi="仿宋" w:eastAsia="仿宋" w:cs="仿宋"/>
          <w:b/>
          <w:bCs/>
          <w:sz w:val="30"/>
          <w:szCs w:val="30"/>
        </w:rPr>
        <w:t xml:space="preserve">     </w:t>
      </w:r>
      <w:r>
        <w:rPr>
          <w:rFonts w:hint="eastAsia" w:ascii="仿宋" w:hAnsi="仿宋" w:eastAsia="仿宋" w:cs="仿宋"/>
          <w:sz w:val="30"/>
          <w:szCs w:val="30"/>
        </w:rPr>
        <w:t>该一级指标包含</w:t>
      </w:r>
      <w:r>
        <w:rPr>
          <w:rFonts w:hint="eastAsia" w:ascii="仿宋" w:hAnsi="仿宋" w:eastAsia="仿宋" w:cs="仿宋"/>
          <w:sz w:val="30"/>
          <w:szCs w:val="30"/>
          <w:highlight w:val="none"/>
        </w:rPr>
        <w:t>2个二级指标</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个三级指标，主要为</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rPr>
        <w:t>个数量指标：享受</w:t>
      </w:r>
      <w:r>
        <w:rPr>
          <w:rFonts w:hint="eastAsia" w:ascii="仿宋" w:hAnsi="仿宋" w:eastAsia="仿宋" w:cs="仿宋"/>
          <w:sz w:val="30"/>
          <w:szCs w:val="30"/>
          <w:highlight w:val="none"/>
          <w:lang w:val="en-US" w:eastAsia="zh-CN"/>
        </w:rPr>
        <w:t>养老保险补助金</w:t>
      </w:r>
      <w:r>
        <w:rPr>
          <w:rFonts w:hint="eastAsia" w:ascii="仿宋" w:hAnsi="仿宋" w:eastAsia="仿宋" w:cs="仿宋"/>
          <w:sz w:val="30"/>
          <w:szCs w:val="30"/>
          <w:highlight w:val="none"/>
        </w:rPr>
        <w:t>待遇人数；</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个质量指标：养老保险补助金发放及时率、养老保险补助金发放准确率是</w:t>
      </w:r>
      <w:r>
        <w:rPr>
          <w:rFonts w:hint="eastAsia" w:ascii="仿宋" w:hAnsi="仿宋" w:eastAsia="仿宋" w:cs="仿宋"/>
          <w:sz w:val="30"/>
          <w:szCs w:val="30"/>
        </w:rPr>
        <w:t>否达到绩效目标的预期指标值。</w:t>
      </w:r>
    </w:p>
    <w:tbl>
      <w:tblPr>
        <w:tblStyle w:val="16"/>
        <w:tblW w:w="4995" w:type="pct"/>
        <w:jc w:val="center"/>
        <w:tblLayout w:type="autofit"/>
        <w:tblCellMar>
          <w:top w:w="15" w:type="dxa"/>
          <w:left w:w="15" w:type="dxa"/>
          <w:bottom w:w="15" w:type="dxa"/>
          <w:right w:w="15" w:type="dxa"/>
        </w:tblCellMar>
      </w:tblPr>
      <w:tblGrid>
        <w:gridCol w:w="1670"/>
        <w:gridCol w:w="1449"/>
        <w:gridCol w:w="3990"/>
        <w:gridCol w:w="1463"/>
        <w:gridCol w:w="1086"/>
      </w:tblGrid>
      <w:tr>
        <w:tblPrEx>
          <w:tblCellMar>
            <w:top w:w="15" w:type="dxa"/>
            <w:left w:w="15" w:type="dxa"/>
            <w:bottom w:w="15" w:type="dxa"/>
            <w:right w:w="15" w:type="dxa"/>
          </w:tblCellMar>
        </w:tblPrEx>
        <w:trPr>
          <w:trHeight w:val="680" w:hRule="atLeast"/>
          <w:jc w:val="center"/>
        </w:trPr>
        <w:tc>
          <w:tcPr>
            <w:tcW w:w="865"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一级指标</w:t>
            </w:r>
          </w:p>
        </w:tc>
        <w:tc>
          <w:tcPr>
            <w:tcW w:w="75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二级指标</w:t>
            </w:r>
          </w:p>
        </w:tc>
        <w:tc>
          <w:tcPr>
            <w:tcW w:w="2065"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三级指标</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分数权重</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得分</w:t>
            </w:r>
          </w:p>
        </w:tc>
      </w:tr>
      <w:tr>
        <w:tblPrEx>
          <w:tblCellMar>
            <w:top w:w="15" w:type="dxa"/>
            <w:left w:w="15" w:type="dxa"/>
            <w:bottom w:w="15" w:type="dxa"/>
            <w:right w:w="15" w:type="dxa"/>
          </w:tblCellMar>
        </w:tblPrEx>
        <w:trPr>
          <w:trHeight w:val="680" w:hRule="atLeast"/>
          <w:jc w:val="center"/>
        </w:trPr>
        <w:tc>
          <w:tcPr>
            <w:tcW w:w="865" w:type="pct"/>
            <w:vMerge w:val="restart"/>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项目产出</w:t>
            </w:r>
          </w:p>
          <w:p>
            <w:pPr>
              <w:pageBreakBefore w:val="0"/>
              <w:kinsoku/>
              <w:wordWrap/>
              <w:overflowPunct/>
              <w:topLinePunct w:val="0"/>
              <w:autoSpaceDE/>
              <w:autoSpaceDN/>
              <w:bidi w:val="0"/>
              <w:adjustRightInd/>
              <w:snapToGrid/>
              <w:spacing w:line="56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（30分）</w:t>
            </w:r>
          </w:p>
        </w:tc>
        <w:tc>
          <w:tcPr>
            <w:tcW w:w="750" w:type="pct"/>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数量指标</w:t>
            </w:r>
          </w:p>
          <w:p>
            <w:pPr>
              <w:pageBreakBefore w:val="0"/>
              <w:kinsoku/>
              <w:wordWrap/>
              <w:overflowPunct/>
              <w:topLinePunct w:val="0"/>
              <w:autoSpaceDE/>
              <w:autoSpaceDN/>
              <w:bidi w:val="0"/>
              <w:adjustRightInd/>
              <w:snapToGrid/>
              <w:spacing w:line="560" w:lineRule="exact"/>
              <w:jc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（10分)</w:t>
            </w:r>
          </w:p>
        </w:tc>
        <w:tc>
          <w:tcPr>
            <w:tcW w:w="2065"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both"/>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享受养老保险补助金待遇人数</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108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10</w:t>
            </w:r>
          </w:p>
        </w:tc>
      </w:tr>
      <w:tr>
        <w:tblPrEx>
          <w:tblCellMar>
            <w:top w:w="15" w:type="dxa"/>
            <w:left w:w="15" w:type="dxa"/>
            <w:bottom w:w="15" w:type="dxa"/>
            <w:right w:w="15" w:type="dxa"/>
          </w:tblCellMar>
        </w:tblPrEx>
        <w:trPr>
          <w:trHeight w:val="680" w:hRule="atLeast"/>
          <w:jc w:val="center"/>
        </w:trPr>
        <w:tc>
          <w:tcPr>
            <w:tcW w:w="865"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750" w:type="pct"/>
            <w:vMerge w:val="restart"/>
            <w:tcBorders>
              <w:top w:val="single" w:color="000000" w:sz="4" w:space="0"/>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质量指标</w:t>
            </w:r>
          </w:p>
          <w:p>
            <w:pPr>
              <w:pageBreakBefore w:val="0"/>
              <w:kinsoku/>
              <w:wordWrap/>
              <w:overflowPunct/>
              <w:topLinePunct w:val="0"/>
              <w:autoSpaceDE/>
              <w:autoSpaceDN/>
              <w:bidi w:val="0"/>
              <w:adjustRightInd/>
              <w:snapToGrid/>
              <w:spacing w:line="560" w:lineRule="exact"/>
              <w:jc w:val="center"/>
              <w:rPr>
                <w:rFonts w:hint="default" w:eastAsia="仿宋"/>
                <w:lang w:val="en-US" w:eastAsia="zh-CN"/>
              </w:rPr>
            </w:pPr>
            <w:r>
              <w:rPr>
                <w:rFonts w:hint="eastAsia" w:ascii="仿宋" w:hAnsi="仿宋" w:eastAsia="仿宋" w:cs="仿宋"/>
                <w:color w:val="000000"/>
                <w:sz w:val="24"/>
                <w:szCs w:val="24"/>
                <w:lang w:val="en-US" w:eastAsia="zh-CN"/>
              </w:rPr>
              <w:t>（20分）</w:t>
            </w:r>
          </w:p>
        </w:tc>
        <w:tc>
          <w:tcPr>
            <w:tcW w:w="2065" w:type="pct"/>
            <w:tcBorders>
              <w:top w:val="single" w:color="000000" w:sz="4" w:space="0"/>
              <w:left w:val="single" w:color="000000" w:sz="4" w:space="0"/>
              <w:bottom w:val="single" w:color="000000" w:sz="4" w:space="0"/>
              <w:right w:val="single" w:color="000000" w:sz="4" w:space="0"/>
            </w:tcBorders>
          </w:tcPr>
          <w:p>
            <w:pPr>
              <w:pageBreakBefore w:val="0"/>
              <w:widowControl/>
              <w:kinsoku/>
              <w:wordWrap/>
              <w:overflowPunct/>
              <w:topLinePunct w:val="0"/>
              <w:autoSpaceDE/>
              <w:autoSpaceDN/>
              <w:bidi w:val="0"/>
              <w:adjustRightInd/>
              <w:snapToGrid/>
              <w:spacing w:line="560" w:lineRule="exact"/>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养老保险补助金发放及时率</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lang w:val="en-US" w:eastAsia="zh-CN"/>
              </w:rPr>
              <w:t>10</w:t>
            </w:r>
          </w:p>
        </w:tc>
        <w:tc>
          <w:tcPr>
            <w:tcW w:w="108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10</w:t>
            </w:r>
          </w:p>
        </w:tc>
      </w:tr>
      <w:tr>
        <w:tblPrEx>
          <w:tblCellMar>
            <w:top w:w="15" w:type="dxa"/>
            <w:left w:w="15" w:type="dxa"/>
            <w:bottom w:w="15" w:type="dxa"/>
            <w:right w:w="15" w:type="dxa"/>
          </w:tblCellMar>
        </w:tblPrEx>
        <w:trPr>
          <w:trHeight w:val="680" w:hRule="atLeast"/>
          <w:jc w:val="center"/>
        </w:trPr>
        <w:tc>
          <w:tcPr>
            <w:tcW w:w="865"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750"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2065" w:type="pct"/>
            <w:tcBorders>
              <w:top w:val="single" w:color="000000" w:sz="4" w:space="0"/>
              <w:left w:val="single" w:color="000000" w:sz="4" w:space="0"/>
              <w:bottom w:val="single" w:color="000000" w:sz="4" w:space="0"/>
              <w:right w:val="single" w:color="000000" w:sz="4" w:space="0"/>
            </w:tcBorders>
          </w:tcPr>
          <w:p>
            <w:pPr>
              <w:pageBreakBefore w:val="0"/>
              <w:widowControl/>
              <w:kinsoku/>
              <w:wordWrap/>
              <w:overflowPunct/>
              <w:topLinePunct w:val="0"/>
              <w:autoSpaceDE/>
              <w:autoSpaceDN/>
              <w:bidi w:val="0"/>
              <w:adjustRightInd/>
              <w:snapToGrid/>
              <w:spacing w:line="560" w:lineRule="exact"/>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养老保险补助金发放准确率</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sz w:val="24"/>
                <w:szCs w:val="24"/>
                <w:lang w:val="en-US" w:eastAsia="zh-CN"/>
              </w:rPr>
              <w:t>10</w:t>
            </w:r>
          </w:p>
        </w:tc>
        <w:tc>
          <w:tcPr>
            <w:tcW w:w="108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9</w:t>
            </w:r>
          </w:p>
        </w:tc>
      </w:tr>
      <w:tr>
        <w:tblPrEx>
          <w:tblCellMar>
            <w:top w:w="15" w:type="dxa"/>
            <w:left w:w="15" w:type="dxa"/>
            <w:bottom w:w="15" w:type="dxa"/>
            <w:right w:w="15" w:type="dxa"/>
          </w:tblCellMar>
        </w:tblPrEx>
        <w:trPr>
          <w:trHeight w:val="680" w:hRule="atLeast"/>
          <w:jc w:val="center"/>
        </w:trPr>
        <w:tc>
          <w:tcPr>
            <w:tcW w:w="3680"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合  计</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kern w:val="0"/>
                <w:sz w:val="24"/>
                <w:szCs w:val="24"/>
              </w:rPr>
              <w:t>3</w:t>
            </w:r>
            <w:r>
              <w:rPr>
                <w:rFonts w:hint="eastAsia" w:ascii="仿宋" w:hAnsi="仿宋" w:eastAsia="仿宋" w:cs="仿宋"/>
                <w:color w:val="000000"/>
                <w:kern w:val="0"/>
                <w:sz w:val="24"/>
                <w:szCs w:val="24"/>
                <w:lang w:val="en-US" w:eastAsia="zh-CN"/>
              </w:rPr>
              <w:t>0</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29</w:t>
            </w:r>
          </w:p>
        </w:tc>
      </w:tr>
    </w:tbl>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1、享受养老保险补助金待遇人数（</w:t>
      </w:r>
      <w:r>
        <w:rPr>
          <w:rFonts w:hint="eastAsia" w:ascii="仿宋" w:hAnsi="仿宋" w:eastAsia="仿宋" w:cs="仿宋"/>
          <w:sz w:val="30"/>
          <w:szCs w:val="30"/>
          <w:lang w:val="en-US" w:eastAsia="zh-CN"/>
        </w:rPr>
        <w:t>10</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该指标主要评价</w:t>
      </w:r>
      <w:r>
        <w:rPr>
          <w:rFonts w:hint="eastAsia" w:ascii="仿宋" w:hAnsi="仿宋" w:eastAsia="仿宋" w:cs="仿宋"/>
          <w:sz w:val="30"/>
          <w:szCs w:val="30"/>
          <w:lang w:val="en-US" w:eastAsia="zh-CN"/>
        </w:rPr>
        <w:t>2021年末</w:t>
      </w:r>
      <w:r>
        <w:rPr>
          <w:rFonts w:hint="eastAsia" w:ascii="仿宋" w:hAnsi="仿宋" w:eastAsia="仿宋" w:cs="仿宋"/>
          <w:sz w:val="30"/>
          <w:szCs w:val="30"/>
        </w:rPr>
        <w:t>60周岁及以上享受待遇人数</w:t>
      </w:r>
      <w:r>
        <w:rPr>
          <w:rFonts w:hint="eastAsia" w:ascii="仿宋" w:hAnsi="仿宋" w:eastAsia="仿宋" w:cs="仿宋"/>
          <w:sz w:val="30"/>
          <w:szCs w:val="30"/>
          <w:lang w:val="en-US" w:eastAsia="zh-CN"/>
        </w:rPr>
        <w:t>是否超过预算人数86641人，超过得10分，否则酌情扣分</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202</w:t>
      </w:r>
      <w:r>
        <w:rPr>
          <w:rFonts w:hint="eastAsia" w:ascii="仿宋" w:hAnsi="仿宋" w:eastAsia="仿宋" w:cs="仿宋"/>
          <w:sz w:val="30"/>
          <w:szCs w:val="30"/>
          <w:lang w:val="en-US" w:eastAsia="zh-CN"/>
        </w:rPr>
        <w:t>1</w:t>
      </w:r>
      <w:r>
        <w:rPr>
          <w:rFonts w:hint="eastAsia" w:ascii="仿宋" w:hAnsi="仿宋" w:eastAsia="仿宋" w:cs="仿宋"/>
          <w:sz w:val="30"/>
          <w:szCs w:val="30"/>
        </w:rPr>
        <w:t>享受养老保险补助金人员数量为</w:t>
      </w:r>
      <w:r>
        <w:rPr>
          <w:rFonts w:hint="eastAsia" w:ascii="仿宋" w:hAnsi="仿宋" w:eastAsia="仿宋" w:cs="仿宋"/>
          <w:sz w:val="30"/>
          <w:szCs w:val="30"/>
          <w:lang w:val="en-US" w:eastAsia="zh-CN"/>
        </w:rPr>
        <w:t>90142</w:t>
      </w:r>
      <w:r>
        <w:rPr>
          <w:rFonts w:hint="eastAsia" w:ascii="仿宋" w:hAnsi="仿宋" w:eastAsia="仿宋" w:cs="仿宋"/>
          <w:sz w:val="30"/>
          <w:szCs w:val="30"/>
        </w:rPr>
        <w:t>人，</w:t>
      </w:r>
      <w:r>
        <w:rPr>
          <w:rFonts w:hint="eastAsia" w:ascii="仿宋" w:hAnsi="仿宋" w:eastAsia="仿宋" w:cs="仿宋"/>
          <w:sz w:val="30"/>
          <w:szCs w:val="30"/>
          <w:lang w:val="en-US" w:eastAsia="zh-CN"/>
        </w:rPr>
        <w:t>已超预算人数</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10</w:t>
      </w:r>
      <w:r>
        <w:rPr>
          <w:rFonts w:hint="eastAsia" w:ascii="仿宋" w:hAnsi="仿宋" w:eastAsia="仿宋" w:cs="仿宋"/>
          <w:sz w:val="30"/>
          <w:szCs w:val="30"/>
        </w:rPr>
        <w:t>分。</w:t>
      </w:r>
    </w:p>
    <w:p>
      <w:pPr>
        <w:pStyle w:val="2"/>
        <w:pageBreakBefore w:val="0"/>
        <w:kinsoku/>
        <w:wordWrap/>
        <w:overflowPunct/>
        <w:topLinePunct w:val="0"/>
        <w:autoSpaceDE/>
        <w:autoSpaceDN/>
        <w:bidi w:val="0"/>
        <w:adjustRightInd/>
        <w:snapToGrid/>
        <w:spacing w:line="560" w:lineRule="exact"/>
        <w:rPr>
          <w:rFonts w:hint="eastAsia" w:ascii="仿宋" w:hAnsi="仿宋" w:eastAsia="仿宋" w:cs="仿宋"/>
          <w:kern w:val="2"/>
          <w:sz w:val="30"/>
          <w:szCs w:val="30"/>
        </w:rPr>
      </w:pPr>
      <w:r>
        <w:rPr>
          <w:rFonts w:hint="eastAsia" w:ascii="仿宋" w:hAnsi="仿宋" w:eastAsia="仿宋" w:cs="仿宋"/>
          <w:sz w:val="30"/>
          <w:szCs w:val="30"/>
        </w:rPr>
        <w:t xml:space="preserve"> </w:t>
      </w:r>
      <w:r>
        <w:rPr>
          <w:rFonts w:hint="eastAsia" w:ascii="仿宋" w:hAnsi="仿宋" w:eastAsia="仿宋" w:cs="仿宋"/>
          <w:kern w:val="2"/>
          <w:sz w:val="30"/>
          <w:szCs w:val="30"/>
        </w:rPr>
        <w:t xml:space="preserve"> 2</w:t>
      </w:r>
      <w:r>
        <w:rPr>
          <w:rFonts w:hint="eastAsia" w:ascii="仿宋" w:hAnsi="仿宋" w:eastAsia="仿宋" w:cs="仿宋"/>
          <w:sz w:val="30"/>
          <w:szCs w:val="30"/>
        </w:rPr>
        <w:t>、</w:t>
      </w:r>
      <w:r>
        <w:rPr>
          <w:rFonts w:hint="eastAsia" w:ascii="仿宋" w:hAnsi="仿宋" w:eastAsia="仿宋" w:cs="仿宋"/>
          <w:kern w:val="2"/>
          <w:sz w:val="30"/>
          <w:szCs w:val="30"/>
        </w:rPr>
        <w:t>养老保险补助金发放及时率（</w:t>
      </w:r>
      <w:r>
        <w:rPr>
          <w:rFonts w:hint="eastAsia" w:ascii="仿宋" w:hAnsi="仿宋" w:eastAsia="仿宋" w:cs="仿宋"/>
          <w:kern w:val="2"/>
          <w:sz w:val="30"/>
          <w:szCs w:val="30"/>
          <w:lang w:val="en-US" w:eastAsia="zh-CN"/>
        </w:rPr>
        <w:t>10</w:t>
      </w:r>
      <w:r>
        <w:rPr>
          <w:rFonts w:hint="eastAsia" w:ascii="仿宋" w:hAnsi="仿宋" w:eastAsia="仿宋" w:cs="仿宋"/>
          <w:kern w:val="2"/>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该指标主要评价</w:t>
      </w:r>
      <w:r>
        <w:rPr>
          <w:rFonts w:hint="eastAsia" w:ascii="仿宋" w:hAnsi="仿宋" w:eastAsia="仿宋" w:cs="仿宋"/>
          <w:sz w:val="30"/>
          <w:szCs w:val="30"/>
          <w:lang w:val="en-US" w:eastAsia="zh-CN"/>
        </w:rPr>
        <w:t>养老保险补助金</w:t>
      </w:r>
      <w:r>
        <w:rPr>
          <w:rFonts w:hint="eastAsia" w:ascii="仿宋" w:hAnsi="仿宋" w:eastAsia="仿宋" w:cs="仿宋"/>
          <w:sz w:val="30"/>
          <w:szCs w:val="30"/>
        </w:rPr>
        <w:t>发放的及时性</w:t>
      </w:r>
      <w:r>
        <w:rPr>
          <w:rFonts w:hint="eastAsia" w:ascii="仿宋" w:hAnsi="仿宋" w:eastAsia="仿宋" w:cs="仿宋"/>
          <w:sz w:val="30"/>
          <w:szCs w:val="30"/>
          <w:lang w:eastAsia="zh-CN"/>
        </w:rPr>
        <w:t>，按月发放，得8分，否则，不得分</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w:t>
      </w:r>
      <w:r>
        <w:rPr>
          <w:rFonts w:hint="eastAsia" w:ascii="仿宋" w:hAnsi="仿宋" w:eastAsia="仿宋" w:cs="仿宋"/>
          <w:sz w:val="30"/>
          <w:szCs w:val="30"/>
          <w:lang w:val="en-US" w:eastAsia="zh-CN"/>
        </w:rPr>
        <w:t>21</w:t>
      </w:r>
      <w:r>
        <w:rPr>
          <w:rFonts w:hint="eastAsia" w:ascii="仿宋" w:hAnsi="仿宋" w:eastAsia="仿宋" w:cs="仿宋"/>
          <w:sz w:val="30"/>
          <w:szCs w:val="30"/>
        </w:rPr>
        <w:t>年</w:t>
      </w:r>
      <w:r>
        <w:rPr>
          <w:rFonts w:hint="eastAsia" w:ascii="仿宋" w:hAnsi="仿宋" w:eastAsia="仿宋" w:cs="仿宋"/>
          <w:sz w:val="30"/>
          <w:szCs w:val="30"/>
          <w:lang w:val="en-US" w:eastAsia="zh-CN"/>
        </w:rPr>
        <w:t>单位养老保险补助金已全部按月发放</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10</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3、养老保险补助金发放准确率（</w:t>
      </w:r>
      <w:r>
        <w:rPr>
          <w:rFonts w:hint="eastAsia" w:ascii="仿宋" w:hAnsi="仿宋" w:eastAsia="仿宋" w:cs="仿宋"/>
          <w:sz w:val="30"/>
          <w:szCs w:val="30"/>
          <w:lang w:val="en-US" w:eastAsia="zh-CN"/>
        </w:rPr>
        <w:t>10</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该指标主要评价全年发放成功额</w:t>
      </w:r>
      <w:r>
        <w:rPr>
          <w:rFonts w:hint="eastAsia" w:ascii="仿宋" w:hAnsi="仿宋" w:eastAsia="仿宋" w:cs="仿宋"/>
          <w:sz w:val="30"/>
          <w:szCs w:val="30"/>
          <w:lang w:val="en-US" w:eastAsia="zh-CN"/>
        </w:rPr>
        <w:t>占</w:t>
      </w:r>
      <w:r>
        <w:rPr>
          <w:rFonts w:hint="eastAsia" w:ascii="仿宋" w:hAnsi="仿宋" w:eastAsia="仿宋" w:cs="仿宋"/>
          <w:sz w:val="30"/>
          <w:szCs w:val="30"/>
        </w:rPr>
        <w:t>全年发放额</w:t>
      </w:r>
      <w:r>
        <w:rPr>
          <w:rFonts w:hint="eastAsia" w:ascii="仿宋" w:hAnsi="仿宋" w:eastAsia="仿宋" w:cs="仿宋"/>
          <w:sz w:val="30"/>
          <w:szCs w:val="30"/>
          <w:lang w:val="en-US" w:eastAsia="zh-CN"/>
        </w:rPr>
        <w:t>的比率</w:t>
      </w:r>
      <w:r>
        <w:rPr>
          <w:rFonts w:hint="eastAsia" w:ascii="仿宋" w:hAnsi="仿宋" w:eastAsia="仿宋" w:cs="仿宋"/>
          <w:sz w:val="30"/>
          <w:szCs w:val="30"/>
        </w:rPr>
        <w:t>，是否达到准确率100%。</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202</w:t>
      </w:r>
      <w:r>
        <w:rPr>
          <w:rFonts w:hint="eastAsia" w:ascii="仿宋" w:hAnsi="仿宋" w:eastAsia="仿宋" w:cs="仿宋"/>
          <w:sz w:val="30"/>
          <w:szCs w:val="30"/>
          <w:lang w:val="en-US" w:eastAsia="zh-CN"/>
        </w:rPr>
        <w:t>1</w:t>
      </w:r>
      <w:r>
        <w:rPr>
          <w:rFonts w:hint="eastAsia" w:ascii="仿宋" w:hAnsi="仿宋" w:eastAsia="仿宋" w:cs="仿宋"/>
          <w:sz w:val="30"/>
          <w:szCs w:val="30"/>
        </w:rPr>
        <w:t>年</w:t>
      </w:r>
      <w:r>
        <w:rPr>
          <w:rFonts w:hint="eastAsia" w:ascii="仿宋" w:hAnsi="仿宋" w:eastAsia="仿宋" w:cs="仿宋"/>
          <w:sz w:val="30"/>
          <w:szCs w:val="30"/>
          <w:lang w:val="en-US" w:eastAsia="zh-CN"/>
        </w:rPr>
        <w:t>全年发放成功额9988.89万元，实际发放成功额9955.12万元，发放准确率为99.66%</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9</w:t>
      </w:r>
      <w:r>
        <w:rPr>
          <w:rFonts w:hint="eastAsia" w:ascii="仿宋" w:hAnsi="仿宋" w:eastAsia="仿宋" w:cs="仿宋"/>
          <w:sz w:val="30"/>
          <w:szCs w:val="30"/>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rPr>
      </w:pPr>
      <w:bookmarkStart w:id="57" w:name="_Toc833"/>
      <w:bookmarkStart w:id="58" w:name="_Toc83631046"/>
      <w:bookmarkStart w:id="59" w:name="_Toc83630336"/>
      <w:bookmarkStart w:id="60" w:name="_Toc1929"/>
      <w:bookmarkStart w:id="61" w:name="_Toc16415"/>
      <w:r>
        <w:rPr>
          <w:rFonts w:hint="eastAsia" w:ascii="仿宋" w:hAnsi="仿宋" w:eastAsia="仿宋" w:cs="仿宋"/>
          <w:b w:val="0"/>
          <w:bCs w:val="0"/>
          <w:sz w:val="30"/>
          <w:szCs w:val="30"/>
        </w:rPr>
        <w:t>（四）项目效果（</w:t>
      </w:r>
      <w:r>
        <w:rPr>
          <w:rFonts w:hint="eastAsia" w:ascii="仿宋" w:hAnsi="仿宋" w:eastAsia="仿宋" w:cs="仿宋"/>
          <w:b w:val="0"/>
          <w:bCs w:val="0"/>
          <w:sz w:val="30"/>
          <w:szCs w:val="30"/>
          <w:lang w:val="en-US" w:eastAsia="zh-CN"/>
        </w:rPr>
        <w:t>15</w:t>
      </w:r>
      <w:r>
        <w:rPr>
          <w:rFonts w:hint="eastAsia" w:ascii="仿宋" w:hAnsi="仿宋" w:eastAsia="仿宋" w:cs="仿宋"/>
          <w:b w:val="0"/>
          <w:bCs w:val="0"/>
          <w:sz w:val="30"/>
          <w:szCs w:val="30"/>
        </w:rPr>
        <w:t>分）</w:t>
      </w:r>
      <w:bookmarkEnd w:id="57"/>
      <w:bookmarkEnd w:id="58"/>
      <w:bookmarkEnd w:id="59"/>
      <w:bookmarkEnd w:id="60"/>
      <w:bookmarkEnd w:id="61"/>
    </w:p>
    <w:p>
      <w:pPr>
        <w:pageBreakBefore w:val="0"/>
        <w:kinsoku/>
        <w:wordWrap/>
        <w:overflowPunct/>
        <w:topLinePunct w:val="0"/>
        <w:autoSpaceDE/>
        <w:autoSpaceDN/>
        <w:bidi w:val="0"/>
        <w:adjustRightInd/>
        <w:snapToGrid/>
        <w:spacing w:line="560" w:lineRule="exact"/>
        <w:ind w:firstLine="588" w:firstLineChars="196"/>
        <w:outlineLvl w:val="0"/>
        <w:rPr>
          <w:rFonts w:hint="eastAsia" w:ascii="仿宋" w:hAnsi="仿宋" w:eastAsia="仿宋" w:cs="仿宋"/>
          <w:sz w:val="30"/>
          <w:szCs w:val="30"/>
        </w:rPr>
      </w:pPr>
      <w:bookmarkStart w:id="62" w:name="_Toc83631047"/>
      <w:bookmarkStart w:id="63" w:name="_Toc27277"/>
      <w:bookmarkStart w:id="64" w:name="_Toc83630433"/>
      <w:bookmarkStart w:id="65" w:name="_Toc83630337"/>
      <w:bookmarkStart w:id="66" w:name="_Toc14139"/>
      <w:r>
        <w:rPr>
          <w:rFonts w:hint="eastAsia" w:ascii="仿宋" w:hAnsi="仿宋" w:eastAsia="仿宋" w:cs="仿宋"/>
          <w:sz w:val="30"/>
          <w:szCs w:val="30"/>
        </w:rPr>
        <w:t>该一级指标包含项目效益1个二级指标和领取待遇覆盖率和群众满意度</w:t>
      </w:r>
      <w:r>
        <w:rPr>
          <w:rFonts w:hint="eastAsia" w:ascii="仿宋" w:hAnsi="仿宋" w:eastAsia="仿宋" w:cs="仿宋"/>
          <w:sz w:val="30"/>
          <w:szCs w:val="30"/>
          <w:lang w:val="en-US" w:eastAsia="zh-CN"/>
        </w:rPr>
        <w:t>2</w:t>
      </w:r>
      <w:r>
        <w:rPr>
          <w:rFonts w:hint="eastAsia" w:ascii="仿宋" w:hAnsi="仿宋" w:eastAsia="仿宋" w:cs="仿宋"/>
          <w:sz w:val="30"/>
          <w:szCs w:val="30"/>
        </w:rPr>
        <w:t>个三级指标。主要评价项目实施后所产生的各种效益。</w:t>
      </w:r>
      <w:bookmarkEnd w:id="62"/>
      <w:bookmarkEnd w:id="63"/>
      <w:bookmarkEnd w:id="64"/>
      <w:bookmarkEnd w:id="65"/>
      <w:bookmarkEnd w:id="66"/>
    </w:p>
    <w:tbl>
      <w:tblPr>
        <w:tblStyle w:val="16"/>
        <w:tblW w:w="4997" w:type="pct"/>
        <w:jc w:val="center"/>
        <w:tblLayout w:type="autofit"/>
        <w:tblCellMar>
          <w:top w:w="15" w:type="dxa"/>
          <w:left w:w="15" w:type="dxa"/>
          <w:bottom w:w="15" w:type="dxa"/>
          <w:right w:w="15" w:type="dxa"/>
        </w:tblCellMar>
      </w:tblPr>
      <w:tblGrid>
        <w:gridCol w:w="2025"/>
        <w:gridCol w:w="1595"/>
        <w:gridCol w:w="2944"/>
        <w:gridCol w:w="1656"/>
        <w:gridCol w:w="1442"/>
      </w:tblGrid>
      <w:tr>
        <w:tblPrEx>
          <w:tblCellMar>
            <w:top w:w="15" w:type="dxa"/>
            <w:left w:w="15" w:type="dxa"/>
            <w:bottom w:w="15" w:type="dxa"/>
            <w:right w:w="15" w:type="dxa"/>
          </w:tblCellMar>
        </w:tblPrEx>
        <w:trPr>
          <w:trHeight w:val="454" w:hRule="exact"/>
          <w:jc w:val="center"/>
        </w:trPr>
        <w:tc>
          <w:tcPr>
            <w:tcW w:w="104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一级指标</w:t>
            </w:r>
          </w:p>
        </w:tc>
        <w:tc>
          <w:tcPr>
            <w:tcW w:w="825"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二级指标</w:t>
            </w:r>
          </w:p>
        </w:tc>
        <w:tc>
          <w:tcPr>
            <w:tcW w:w="1523"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三级指标</w:t>
            </w:r>
          </w:p>
        </w:tc>
        <w:tc>
          <w:tcPr>
            <w:tcW w:w="8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分数权重</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得分</w:t>
            </w:r>
          </w:p>
        </w:tc>
      </w:tr>
      <w:tr>
        <w:tblPrEx>
          <w:tblCellMar>
            <w:top w:w="15" w:type="dxa"/>
            <w:left w:w="15" w:type="dxa"/>
            <w:bottom w:w="15" w:type="dxa"/>
            <w:right w:w="15" w:type="dxa"/>
          </w:tblCellMar>
        </w:tblPrEx>
        <w:trPr>
          <w:trHeight w:val="584" w:hRule="exact"/>
          <w:jc w:val="center"/>
        </w:trPr>
        <w:tc>
          <w:tcPr>
            <w:tcW w:w="1048" w:type="pct"/>
            <w:vMerge w:val="restart"/>
            <w:tcBorders>
              <w:top w:val="single" w:color="000000" w:sz="4" w:space="0"/>
              <w:left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项目效果</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w:t>
            </w:r>
            <w:r>
              <w:rPr>
                <w:rFonts w:hint="eastAsia" w:ascii="仿宋" w:hAnsi="仿宋" w:eastAsia="仿宋" w:cs="仿宋"/>
                <w:color w:val="000000"/>
                <w:kern w:val="0"/>
                <w:sz w:val="24"/>
                <w:szCs w:val="24"/>
                <w:lang w:val="en-US" w:eastAsia="zh-CN"/>
              </w:rPr>
              <w:t>15</w:t>
            </w:r>
            <w:r>
              <w:rPr>
                <w:rFonts w:hint="eastAsia" w:ascii="仿宋" w:hAnsi="仿宋" w:eastAsia="仿宋" w:cs="仿宋"/>
                <w:color w:val="000000"/>
                <w:kern w:val="0"/>
                <w:sz w:val="24"/>
                <w:szCs w:val="24"/>
              </w:rPr>
              <w:t>分）</w:t>
            </w:r>
          </w:p>
        </w:tc>
        <w:tc>
          <w:tcPr>
            <w:tcW w:w="825" w:type="pct"/>
            <w:vMerge w:val="restart"/>
            <w:tcBorders>
              <w:top w:val="single" w:color="000000" w:sz="4" w:space="0"/>
              <w:left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项目效益</w:t>
            </w:r>
          </w:p>
          <w:p>
            <w:pPr>
              <w:pageBreakBefore w:val="0"/>
              <w:widowControl/>
              <w:kinsoku/>
              <w:wordWrap/>
              <w:overflowPunct/>
              <w:topLinePunct w:val="0"/>
              <w:autoSpaceDE/>
              <w:autoSpaceDN/>
              <w:bidi w:val="0"/>
              <w:adjustRightInd/>
              <w:snapToGrid/>
              <w:spacing w:line="560" w:lineRule="exact"/>
              <w:jc w:val="center"/>
              <w:textAlignment w:val="center"/>
              <w:rPr>
                <w:rFonts w:hint="eastAsia" w:eastAsia="宋体"/>
                <w:lang w:eastAsia="zh-CN"/>
              </w:rPr>
            </w:pP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lang w:val="en-US" w:eastAsia="zh-CN"/>
              </w:rPr>
              <w:t>15分</w:t>
            </w:r>
            <w:r>
              <w:rPr>
                <w:rFonts w:hint="eastAsia" w:ascii="仿宋" w:hAnsi="仿宋" w:eastAsia="仿宋" w:cs="仿宋"/>
                <w:color w:val="000000"/>
                <w:kern w:val="0"/>
                <w:sz w:val="24"/>
                <w:szCs w:val="24"/>
                <w:lang w:eastAsia="zh-CN"/>
              </w:rPr>
              <w:t>）</w:t>
            </w:r>
          </w:p>
        </w:tc>
        <w:tc>
          <w:tcPr>
            <w:tcW w:w="1523"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1"/>
                <w:szCs w:val="21"/>
              </w:rPr>
            </w:pPr>
            <w:r>
              <w:rPr>
                <w:rFonts w:hint="eastAsia" w:ascii="仿宋" w:hAnsi="仿宋" w:eastAsia="仿宋" w:cs="仿宋"/>
                <w:sz w:val="24"/>
                <w:szCs w:val="24"/>
              </w:rPr>
              <w:t>领取待遇覆盖率</w:t>
            </w:r>
          </w:p>
        </w:tc>
        <w:tc>
          <w:tcPr>
            <w:tcW w:w="8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7</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6</w:t>
            </w:r>
          </w:p>
        </w:tc>
      </w:tr>
      <w:tr>
        <w:tblPrEx>
          <w:tblCellMar>
            <w:top w:w="15" w:type="dxa"/>
            <w:left w:w="15" w:type="dxa"/>
            <w:bottom w:w="15" w:type="dxa"/>
            <w:right w:w="15" w:type="dxa"/>
          </w:tblCellMar>
        </w:tblPrEx>
        <w:trPr>
          <w:trHeight w:val="684" w:hRule="exact"/>
          <w:jc w:val="center"/>
        </w:trPr>
        <w:tc>
          <w:tcPr>
            <w:tcW w:w="1048"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825"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523"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1"/>
                <w:szCs w:val="21"/>
              </w:rPr>
            </w:pPr>
            <w:r>
              <w:rPr>
                <w:rFonts w:hint="eastAsia" w:ascii="仿宋" w:hAnsi="仿宋" w:eastAsia="仿宋" w:cs="仿宋"/>
                <w:sz w:val="24"/>
                <w:szCs w:val="24"/>
              </w:rPr>
              <w:t>群众满意度</w:t>
            </w:r>
          </w:p>
        </w:tc>
        <w:tc>
          <w:tcPr>
            <w:tcW w:w="8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8</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8</w:t>
            </w:r>
          </w:p>
        </w:tc>
      </w:tr>
      <w:tr>
        <w:tblPrEx>
          <w:tblCellMar>
            <w:top w:w="15" w:type="dxa"/>
            <w:left w:w="15" w:type="dxa"/>
            <w:bottom w:w="15" w:type="dxa"/>
            <w:right w:w="15" w:type="dxa"/>
          </w:tblCellMar>
        </w:tblPrEx>
        <w:trPr>
          <w:trHeight w:val="454" w:hRule="exact"/>
          <w:jc w:val="center"/>
        </w:trPr>
        <w:tc>
          <w:tcPr>
            <w:tcW w:w="3396"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合  计</w:t>
            </w:r>
          </w:p>
        </w:tc>
        <w:tc>
          <w:tcPr>
            <w:tcW w:w="8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15</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14</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1.领取待遇覆盖率（</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eastAsia="zh-CN"/>
        </w:rPr>
      </w:pPr>
      <w:r>
        <w:rPr>
          <w:rFonts w:hint="eastAsia" w:ascii="仿宋" w:hAnsi="仿宋" w:eastAsia="仿宋" w:cs="仿宋"/>
          <w:sz w:val="30"/>
          <w:szCs w:val="30"/>
        </w:rPr>
        <w:t>该指标主要评价项目</w:t>
      </w:r>
      <w:r>
        <w:rPr>
          <w:rFonts w:hint="eastAsia" w:ascii="仿宋" w:hAnsi="仿宋" w:eastAsia="仿宋" w:cs="仿宋"/>
          <w:sz w:val="30"/>
          <w:szCs w:val="30"/>
          <w:lang w:val="en-US" w:eastAsia="zh-CN"/>
        </w:rPr>
        <w:t>年末全县符合条件领取养老保险补助金待遇人数的覆盖率情况</w:t>
      </w:r>
      <w:r>
        <w:rPr>
          <w:rFonts w:hint="eastAsia" w:ascii="仿宋" w:hAnsi="仿宋" w:eastAsia="仿宋" w:cs="仿宋"/>
          <w:sz w:val="30"/>
          <w:szCs w:val="30"/>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lang w:val="en-US" w:eastAsia="zh-CN"/>
        </w:rPr>
        <w:t>曲阳县年末符合条件应领取养老保险补助金的人数为90142人，实际领取补助金人数89885人，领取待遇覆盖率为99.71%</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color w:val="FF0000"/>
          <w:sz w:val="30"/>
          <w:szCs w:val="30"/>
        </w:rPr>
      </w:pPr>
      <w:r>
        <w:rPr>
          <w:rFonts w:hint="eastAsia" w:ascii="仿宋" w:hAnsi="仿宋" w:eastAsia="仿宋" w:cs="仿宋"/>
          <w:sz w:val="30"/>
          <w:szCs w:val="30"/>
        </w:rPr>
        <w:t>2.群众满意度（</w:t>
      </w:r>
      <w:r>
        <w:rPr>
          <w:rFonts w:hint="eastAsia" w:ascii="仿宋" w:hAnsi="仿宋" w:eastAsia="仿宋" w:cs="仿宋"/>
          <w:sz w:val="30"/>
          <w:szCs w:val="30"/>
          <w:lang w:val="en-US" w:eastAsia="zh-CN"/>
        </w:rPr>
        <w:t>8</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eastAsia="zh-CN"/>
        </w:rPr>
      </w:pPr>
      <w:r>
        <w:rPr>
          <w:rFonts w:hint="eastAsia" w:ascii="仿宋" w:hAnsi="仿宋" w:eastAsia="仿宋" w:cs="仿宋"/>
          <w:sz w:val="30"/>
          <w:szCs w:val="30"/>
        </w:rPr>
        <w:t>该指标主要评价受益</w:t>
      </w:r>
      <w:r>
        <w:rPr>
          <w:rFonts w:hint="eastAsia" w:ascii="仿宋" w:hAnsi="仿宋" w:eastAsia="仿宋" w:cs="仿宋"/>
          <w:sz w:val="30"/>
          <w:szCs w:val="30"/>
          <w:lang w:val="en-US" w:eastAsia="zh-CN"/>
        </w:rPr>
        <w:t>民众</w:t>
      </w:r>
      <w:r>
        <w:rPr>
          <w:rFonts w:hint="eastAsia" w:ascii="仿宋" w:hAnsi="仿宋" w:eastAsia="仿宋" w:cs="仿宋"/>
          <w:sz w:val="30"/>
          <w:szCs w:val="30"/>
        </w:rPr>
        <w:t>的满意程度。通过抽查问卷调查统计发现，目前对该项目的实施满意度较高</w:t>
      </w:r>
      <w:r>
        <w:rPr>
          <w:rFonts w:hint="eastAsia" w:ascii="仿宋" w:hAnsi="仿宋" w:eastAsia="仿宋" w:cs="仿宋"/>
          <w:sz w:val="30"/>
          <w:szCs w:val="30"/>
          <w:lang w:eastAsia="zh-CN"/>
        </w:rPr>
        <w:t>。</w:t>
      </w: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bookmarkStart w:id="67" w:name="_Toc10581"/>
      <w:bookmarkStart w:id="68" w:name="_Toc30943"/>
      <w:bookmarkStart w:id="69" w:name="_Toc6602"/>
      <w:bookmarkStart w:id="70" w:name="_Toc501368363"/>
      <w:bookmarkStart w:id="71" w:name="_Toc83631048"/>
      <w:bookmarkStart w:id="72" w:name="_Toc83630434"/>
      <w:bookmarkStart w:id="73" w:name="_Toc10985"/>
      <w:bookmarkStart w:id="74" w:name="_Toc12802"/>
      <w:r>
        <w:rPr>
          <w:rFonts w:hint="eastAsia" w:ascii="仿宋_GB2312" w:eastAsia="仿宋_GB2312" w:cs="Times New Roman" w:hAnsiTheme="minorEastAsia"/>
          <w:color w:val="auto"/>
          <w:sz w:val="32"/>
          <w:szCs w:val="32"/>
          <w:u w:color="000000"/>
        </w:rPr>
        <w:t>针对该指标，我们随机选取了</w:t>
      </w:r>
      <w:r>
        <w:rPr>
          <w:rFonts w:hint="eastAsia" w:ascii="仿宋_GB2312" w:eastAsia="仿宋_GB2312" w:cs="Times New Roman" w:hAnsiTheme="minorEastAsia"/>
          <w:color w:val="auto"/>
          <w:sz w:val="32"/>
          <w:szCs w:val="32"/>
          <w:u w:color="000000"/>
          <w:lang w:val="en-US" w:eastAsia="zh-CN"/>
        </w:rPr>
        <w:t>1</w:t>
      </w:r>
      <w:r>
        <w:rPr>
          <w:rFonts w:hint="eastAsia" w:ascii="仿宋_GB2312" w:eastAsia="仿宋_GB2312" w:cs="Times New Roman" w:hAnsiTheme="minorEastAsia"/>
          <w:color w:val="auto"/>
          <w:sz w:val="32"/>
          <w:szCs w:val="32"/>
          <w:u w:color="000000"/>
        </w:rPr>
        <w:t>0个调查对象进行了问卷调查，具体调查情况如下：</w:t>
      </w:r>
    </w:p>
    <w:p>
      <w:pPr>
        <w:spacing w:after="0" w:line="360" w:lineRule="auto"/>
        <w:jc w:val="center"/>
        <w:textAlignment w:val="baseline"/>
        <w:rPr>
          <w:rFonts w:asciiTheme="minorEastAsia" w:hAnsiTheme="minorEastAsia" w:eastAsiaTheme="minorEastAsia" w:cstheme="minorEastAsia"/>
          <w:b/>
          <w:bCs/>
          <w:color w:val="auto"/>
          <w:sz w:val="32"/>
          <w:szCs w:val="32"/>
          <w:u w:color="000000"/>
        </w:rPr>
      </w:pPr>
      <w:r>
        <w:rPr>
          <w:rFonts w:hint="eastAsia" w:asciiTheme="minorEastAsia" w:hAnsiTheme="minorEastAsia" w:eastAsiaTheme="minorEastAsia" w:cstheme="minorEastAsia"/>
          <w:b/>
          <w:bCs/>
          <w:color w:val="auto"/>
          <w:sz w:val="32"/>
          <w:szCs w:val="32"/>
          <w:u w:color="000000"/>
        </w:rPr>
        <w:t xml:space="preserve"> 服务对象满意度调查问卷汇总表</w:t>
      </w:r>
    </w:p>
    <w:p>
      <w:pPr>
        <w:spacing w:after="0" w:line="540" w:lineRule="exact"/>
        <w:ind w:firstLine="6930" w:firstLineChars="3300"/>
        <w:jc w:val="both"/>
        <w:textAlignment w:val="baseline"/>
        <w:rPr>
          <w:rFonts w:hint="eastAsia" w:asciiTheme="minorEastAsia" w:hAnsiTheme="minorEastAsia" w:eastAsiaTheme="minorEastAsia" w:cstheme="minorEastAsia"/>
          <w:color w:val="auto"/>
          <w:sz w:val="21"/>
          <w:szCs w:val="21"/>
          <w:u w:color="000000"/>
        </w:rPr>
      </w:pPr>
      <w:r>
        <w:rPr>
          <w:rFonts w:hint="eastAsia" w:asciiTheme="minorEastAsia" w:hAnsiTheme="minorEastAsia" w:eastAsiaTheme="minorEastAsia" w:cstheme="minorEastAsia"/>
          <w:color w:val="auto"/>
          <w:sz w:val="21"/>
          <w:szCs w:val="21"/>
          <w:u w:color="000000"/>
        </w:rPr>
        <w:t>单位：人次</w:t>
      </w:r>
    </w:p>
    <w:tbl>
      <w:tblPr>
        <w:tblStyle w:val="16"/>
        <w:tblW w:w="7948" w:type="dxa"/>
        <w:jc w:val="center"/>
        <w:tblLayout w:type="fixed"/>
        <w:tblCellMar>
          <w:top w:w="15" w:type="dxa"/>
          <w:left w:w="15" w:type="dxa"/>
          <w:bottom w:w="15" w:type="dxa"/>
          <w:right w:w="15" w:type="dxa"/>
        </w:tblCellMar>
      </w:tblPr>
      <w:tblGrid>
        <w:gridCol w:w="2834"/>
        <w:gridCol w:w="1114"/>
        <w:gridCol w:w="1134"/>
        <w:gridCol w:w="1218"/>
        <w:gridCol w:w="767"/>
        <w:gridCol w:w="881"/>
      </w:tblGrid>
      <w:tr>
        <w:tblPrEx>
          <w:tblCellMar>
            <w:top w:w="15" w:type="dxa"/>
            <w:left w:w="15" w:type="dxa"/>
            <w:bottom w:w="15" w:type="dxa"/>
            <w:right w:w="15" w:type="dxa"/>
          </w:tblCellMar>
        </w:tblPrEx>
        <w:trPr>
          <w:trHeight w:val="525" w:hRule="atLeast"/>
          <w:jc w:val="center"/>
        </w:trPr>
        <w:tc>
          <w:tcPr>
            <w:tcW w:w="2834"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cs="Times New Roman" w:asciiTheme="minorEastAsia" w:hAnsiTheme="minorEastAsia" w:eastAsiaTheme="minorEastAsia"/>
                <w:b/>
                <w:bCs/>
                <w:color w:val="auto"/>
                <w:sz w:val="21"/>
                <w:szCs w:val="21"/>
                <w:u w:color="000000"/>
              </w:rPr>
            </w:pPr>
            <w:r>
              <w:rPr>
                <w:rFonts w:hint="eastAsia" w:cs="Times New Roman" w:asciiTheme="minorEastAsia" w:hAnsiTheme="minorEastAsia" w:eastAsiaTheme="minorEastAsia"/>
                <w:b/>
                <w:bCs/>
                <w:color w:val="auto"/>
                <w:sz w:val="21"/>
                <w:szCs w:val="21"/>
                <w:u w:color="000000"/>
              </w:rPr>
              <w:t>调查项目</w:t>
            </w:r>
          </w:p>
        </w:tc>
        <w:tc>
          <w:tcPr>
            <w:tcW w:w="1114"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cs="Times New Roman" w:asciiTheme="minorEastAsia" w:hAnsiTheme="minorEastAsia" w:eastAsiaTheme="minorEastAsia"/>
                <w:b/>
                <w:bCs/>
                <w:color w:val="auto"/>
                <w:sz w:val="21"/>
                <w:szCs w:val="21"/>
                <w:u w:color="000000"/>
              </w:rPr>
            </w:pPr>
            <w:r>
              <w:rPr>
                <w:rFonts w:hint="eastAsia" w:cs="Times New Roman" w:asciiTheme="minorEastAsia" w:hAnsiTheme="minorEastAsia" w:eastAsiaTheme="minorEastAsia"/>
                <w:b/>
                <w:bCs/>
                <w:color w:val="auto"/>
                <w:sz w:val="21"/>
                <w:szCs w:val="21"/>
                <w:u w:color="000000"/>
              </w:rPr>
              <w:t>满意</w:t>
            </w:r>
          </w:p>
        </w:tc>
        <w:tc>
          <w:tcPr>
            <w:tcW w:w="1134"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cs="Times New Roman" w:asciiTheme="minorEastAsia" w:hAnsiTheme="minorEastAsia" w:eastAsiaTheme="minorEastAsia"/>
                <w:b/>
                <w:bCs/>
                <w:color w:val="auto"/>
                <w:sz w:val="21"/>
                <w:szCs w:val="21"/>
                <w:u w:color="000000"/>
              </w:rPr>
            </w:pPr>
            <w:r>
              <w:rPr>
                <w:rFonts w:hint="eastAsia" w:cs="Times New Roman" w:asciiTheme="minorEastAsia" w:hAnsiTheme="minorEastAsia" w:eastAsiaTheme="minorEastAsia"/>
                <w:b/>
                <w:bCs/>
                <w:color w:val="auto"/>
                <w:sz w:val="21"/>
                <w:szCs w:val="21"/>
                <w:u w:color="000000"/>
              </w:rPr>
              <w:t>一般</w:t>
            </w:r>
          </w:p>
        </w:tc>
        <w:tc>
          <w:tcPr>
            <w:tcW w:w="1218"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cs="Times New Roman" w:asciiTheme="minorEastAsia" w:hAnsiTheme="minorEastAsia" w:eastAsiaTheme="minorEastAsia"/>
                <w:b/>
                <w:bCs/>
                <w:color w:val="auto"/>
                <w:sz w:val="21"/>
                <w:szCs w:val="21"/>
                <w:u w:color="000000"/>
              </w:rPr>
            </w:pPr>
            <w:r>
              <w:rPr>
                <w:rFonts w:hint="eastAsia" w:cs="Times New Roman" w:asciiTheme="minorEastAsia" w:hAnsiTheme="minorEastAsia" w:eastAsiaTheme="minorEastAsia"/>
                <w:b/>
                <w:bCs/>
                <w:color w:val="auto"/>
                <w:sz w:val="21"/>
                <w:szCs w:val="21"/>
                <w:u w:color="000000"/>
              </w:rPr>
              <w:t>不满意</w:t>
            </w:r>
          </w:p>
        </w:tc>
        <w:tc>
          <w:tcPr>
            <w:tcW w:w="767"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cs="Times New Roman" w:asciiTheme="minorEastAsia" w:hAnsiTheme="minorEastAsia" w:eastAsiaTheme="minorEastAsia"/>
                <w:b/>
                <w:bCs/>
                <w:color w:val="auto"/>
                <w:sz w:val="21"/>
                <w:szCs w:val="21"/>
                <w:u w:color="000000"/>
              </w:rPr>
            </w:pPr>
            <w:r>
              <w:rPr>
                <w:rFonts w:hint="eastAsia" w:cs="Times New Roman" w:asciiTheme="minorEastAsia" w:hAnsiTheme="minorEastAsia" w:eastAsiaTheme="minorEastAsia"/>
                <w:b/>
                <w:bCs/>
                <w:color w:val="auto"/>
                <w:sz w:val="21"/>
                <w:szCs w:val="21"/>
                <w:u w:color="000000"/>
              </w:rPr>
              <w:t>合计</w:t>
            </w:r>
          </w:p>
        </w:tc>
        <w:tc>
          <w:tcPr>
            <w:tcW w:w="881" w:type="dxa"/>
            <w:tcBorders>
              <w:top w:val="single" w:color="auto" w:sz="4" w:space="0"/>
              <w:left w:val="single" w:color="auto" w:sz="4" w:space="0"/>
              <w:bottom w:val="single" w:color="auto" w:sz="4" w:space="0"/>
              <w:right w:val="single" w:color="auto" w:sz="4" w:space="0"/>
            </w:tcBorders>
            <w:vAlign w:val="center"/>
          </w:tcPr>
          <w:p>
            <w:pPr>
              <w:spacing w:after="0" w:line="540" w:lineRule="exact"/>
              <w:jc w:val="center"/>
              <w:textAlignment w:val="baseline"/>
              <w:rPr>
                <w:rFonts w:cs="Times New Roman" w:asciiTheme="minorEastAsia" w:hAnsiTheme="minorEastAsia" w:eastAsiaTheme="minorEastAsia"/>
                <w:b/>
                <w:bCs/>
                <w:color w:val="auto"/>
                <w:sz w:val="21"/>
                <w:szCs w:val="21"/>
                <w:u w:color="000000"/>
              </w:rPr>
            </w:pPr>
            <w:r>
              <w:rPr>
                <w:rFonts w:hint="eastAsia" w:cs="Times New Roman" w:asciiTheme="minorEastAsia" w:hAnsiTheme="minorEastAsia" w:eastAsiaTheme="minorEastAsia"/>
                <w:b/>
                <w:bCs/>
                <w:color w:val="auto"/>
                <w:sz w:val="21"/>
                <w:szCs w:val="21"/>
                <w:u w:color="000000"/>
              </w:rPr>
              <w:t>单项得分</w:t>
            </w:r>
          </w:p>
        </w:tc>
      </w:tr>
      <w:tr>
        <w:tblPrEx>
          <w:tblCellMar>
            <w:top w:w="15" w:type="dxa"/>
            <w:left w:w="15" w:type="dxa"/>
            <w:bottom w:w="15" w:type="dxa"/>
            <w:right w:w="15" w:type="dxa"/>
          </w:tblCellMar>
        </w:tblPrEx>
        <w:trPr>
          <w:trHeight w:val="590" w:hRule="atLeast"/>
          <w:jc w:val="center"/>
        </w:trPr>
        <w:tc>
          <w:tcPr>
            <w:tcW w:w="28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both"/>
              <w:textAlignment w:val="baseline"/>
              <w:rPr>
                <w:rFonts w:hint="default" w:cs="Times New Roman" w:asciiTheme="minorEastAsia" w:hAnsiTheme="minorEastAsia" w:eastAsiaTheme="minorEastAsia"/>
                <w:color w:val="auto"/>
                <w:sz w:val="21"/>
                <w:szCs w:val="21"/>
                <w:highlight w:val="none"/>
                <w:u w:color="000000"/>
                <w:lang w:val="en-US" w:eastAsia="zh-CN"/>
              </w:rPr>
            </w:pPr>
            <w:r>
              <w:rPr>
                <w:rFonts w:hint="eastAsia" w:cs="Times New Roman" w:asciiTheme="minorEastAsia" w:hAnsiTheme="minorEastAsia" w:eastAsiaTheme="minorEastAsia"/>
                <w:color w:val="auto"/>
                <w:sz w:val="21"/>
                <w:szCs w:val="21"/>
                <w:highlight w:val="none"/>
                <w:u w:color="000000"/>
                <w:lang w:val="en-US" w:eastAsia="zh-CN"/>
              </w:rPr>
              <w:t>政策了解情况</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eastAsia="zh-CN"/>
              </w:rPr>
            </w:pPr>
            <w:r>
              <w:rPr>
                <w:rFonts w:hint="eastAsia" w:cs="Times New Roman" w:asciiTheme="minorEastAsia" w:hAnsiTheme="minorEastAsia" w:eastAsiaTheme="minorEastAsia"/>
                <w:color w:val="auto"/>
                <w:sz w:val="21"/>
                <w:szCs w:val="21"/>
                <w:u w:color="000000"/>
                <w:lang w:val="en-US" w:eastAsia="zh-CN"/>
              </w:rPr>
              <w:t>10</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cs="Times New Roman" w:asciiTheme="minorEastAsia" w:hAnsiTheme="minorEastAsia" w:eastAsiaTheme="minorEastAsia"/>
                <w:color w:val="auto"/>
                <w:sz w:val="21"/>
                <w:szCs w:val="21"/>
                <w:u w:color="000000"/>
                <w:lang w:eastAsia="zh-CN"/>
              </w:rPr>
            </w:pPr>
            <w:r>
              <w:rPr>
                <w:rFonts w:cs="Times New Roman" w:asciiTheme="minorEastAsia" w:hAnsiTheme="minorEastAsia" w:eastAsiaTheme="minorEastAsia"/>
                <w:color w:val="auto"/>
                <w:sz w:val="21"/>
                <w:szCs w:val="21"/>
                <w:u w:color="000000"/>
              </w:rPr>
              <w:t>0</w:t>
            </w:r>
          </w:p>
        </w:tc>
        <w:tc>
          <w:tcPr>
            <w:tcW w:w="1218"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cs="Times New Roman" w:asciiTheme="minorEastAsia" w:hAnsiTheme="minorEastAsia" w:eastAsiaTheme="minorEastAsia"/>
                <w:color w:val="auto"/>
                <w:sz w:val="21"/>
                <w:szCs w:val="21"/>
                <w:u w:color="000000"/>
              </w:rPr>
            </w:pPr>
            <w:r>
              <w:rPr>
                <w:rFonts w:cs="Times New Roman" w:asciiTheme="minorEastAsia" w:hAnsiTheme="minorEastAsia" w:eastAsiaTheme="minorEastAsia"/>
                <w:color w:val="auto"/>
                <w:sz w:val="21"/>
                <w:szCs w:val="21"/>
                <w:u w:color="000000"/>
              </w:rPr>
              <w:t>0</w:t>
            </w:r>
          </w:p>
        </w:tc>
        <w:tc>
          <w:tcPr>
            <w:tcW w:w="767"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cs="Times New Roman" w:asciiTheme="minorEastAsia" w:hAnsiTheme="minorEastAsia" w:eastAsiaTheme="minorEastAsia"/>
                <w:color w:val="auto"/>
                <w:sz w:val="21"/>
                <w:szCs w:val="21"/>
                <w:u w:color="000000"/>
              </w:rPr>
            </w:pPr>
            <w:r>
              <w:rPr>
                <w:rFonts w:hint="eastAsia" w:cs="Times New Roman" w:asciiTheme="minorEastAsia" w:hAnsiTheme="minorEastAsia" w:eastAsiaTheme="minorEastAsia"/>
                <w:color w:val="auto"/>
                <w:sz w:val="21"/>
                <w:szCs w:val="21"/>
                <w:u w:color="000000"/>
                <w:lang w:val="en-US" w:eastAsia="zh-CN"/>
              </w:rPr>
              <w:t>1</w:t>
            </w:r>
            <w:r>
              <w:rPr>
                <w:rFonts w:cs="Times New Roman" w:asciiTheme="minorEastAsia" w:hAnsiTheme="minorEastAsia" w:eastAsiaTheme="minorEastAsia"/>
                <w:color w:val="auto"/>
                <w:sz w:val="21"/>
                <w:szCs w:val="21"/>
                <w:u w:color="000000"/>
              </w:rPr>
              <w:t>0</w:t>
            </w:r>
          </w:p>
        </w:tc>
        <w:tc>
          <w:tcPr>
            <w:tcW w:w="881"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cs="Times New Roman" w:asciiTheme="minorEastAsia" w:hAnsiTheme="minorEastAsia" w:eastAsiaTheme="minorEastAsia"/>
                <w:color w:val="auto"/>
                <w:sz w:val="21"/>
                <w:szCs w:val="21"/>
                <w:u w:color="000000"/>
              </w:rPr>
            </w:pPr>
            <w:r>
              <w:rPr>
                <w:rFonts w:hint="eastAsia" w:cs="Times New Roman" w:asciiTheme="minorEastAsia" w:hAnsiTheme="minorEastAsia" w:eastAsiaTheme="minorEastAsia"/>
                <w:color w:val="auto"/>
                <w:sz w:val="21"/>
                <w:szCs w:val="21"/>
                <w:u w:color="000000"/>
                <w:lang w:val="en-US" w:eastAsia="zh-CN"/>
              </w:rPr>
              <w:t>100.0</w:t>
            </w:r>
            <w:r>
              <w:rPr>
                <w:rFonts w:hint="eastAsia" w:cs="Times New Roman" w:asciiTheme="minorEastAsia" w:hAnsiTheme="minorEastAsia" w:eastAsiaTheme="minorEastAsia"/>
                <w:color w:val="auto"/>
                <w:sz w:val="21"/>
                <w:szCs w:val="21"/>
                <w:u w:color="000000"/>
              </w:rPr>
              <w:t>0</w:t>
            </w:r>
          </w:p>
        </w:tc>
      </w:tr>
      <w:tr>
        <w:tblPrEx>
          <w:tblCellMar>
            <w:top w:w="15" w:type="dxa"/>
            <w:left w:w="15" w:type="dxa"/>
            <w:bottom w:w="15" w:type="dxa"/>
            <w:right w:w="15" w:type="dxa"/>
          </w:tblCellMar>
        </w:tblPrEx>
        <w:trPr>
          <w:trHeight w:val="510" w:hRule="atLeast"/>
          <w:jc w:val="center"/>
        </w:trPr>
        <w:tc>
          <w:tcPr>
            <w:tcW w:w="28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both"/>
              <w:textAlignment w:val="baseline"/>
              <w:rPr>
                <w:rFonts w:hint="default" w:cs="Times New Roman" w:asciiTheme="minorEastAsia" w:hAnsiTheme="minorEastAsia" w:eastAsiaTheme="minorEastAsia"/>
                <w:color w:val="auto"/>
                <w:sz w:val="21"/>
                <w:szCs w:val="21"/>
                <w:highlight w:val="none"/>
                <w:u w:color="000000"/>
                <w:lang w:val="en-US" w:eastAsia="zh-CN"/>
              </w:rPr>
            </w:pPr>
            <w:r>
              <w:rPr>
                <w:rFonts w:hint="eastAsia" w:cs="Times New Roman" w:asciiTheme="minorEastAsia" w:hAnsiTheme="minorEastAsia" w:eastAsiaTheme="minorEastAsia"/>
                <w:color w:val="auto"/>
                <w:sz w:val="21"/>
                <w:szCs w:val="21"/>
                <w:highlight w:val="none"/>
                <w:u w:color="000000"/>
                <w:lang w:val="en-US" w:eastAsia="zh-CN"/>
              </w:rPr>
              <w:t>窗口服务态度</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eastAsia="zh-CN"/>
              </w:rPr>
            </w:pPr>
            <w:r>
              <w:rPr>
                <w:rFonts w:hint="eastAsia" w:cs="Times New Roman" w:asciiTheme="minorEastAsia" w:hAnsiTheme="minorEastAsia" w:eastAsiaTheme="minorEastAsia"/>
                <w:color w:val="auto"/>
                <w:sz w:val="21"/>
                <w:szCs w:val="21"/>
                <w:u w:color="000000"/>
                <w:lang w:val="en-US" w:eastAsia="zh-CN"/>
              </w:rPr>
              <w:t>10</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eastAsia" w:cs="Times New Roman" w:asciiTheme="minorEastAsia" w:hAnsiTheme="minorEastAsia" w:eastAsiaTheme="minorEastAsia"/>
                <w:color w:val="auto"/>
                <w:sz w:val="21"/>
                <w:szCs w:val="21"/>
                <w:u w:color="000000"/>
                <w:lang w:eastAsia="zh-CN"/>
              </w:rPr>
            </w:pPr>
            <w:r>
              <w:rPr>
                <w:rFonts w:cs="Times New Roman" w:asciiTheme="minorEastAsia" w:hAnsiTheme="minorEastAsia" w:eastAsiaTheme="minorEastAsia"/>
                <w:color w:val="auto"/>
                <w:sz w:val="21"/>
                <w:szCs w:val="21"/>
                <w:u w:color="000000"/>
              </w:rPr>
              <w:t>0</w:t>
            </w:r>
          </w:p>
        </w:tc>
        <w:tc>
          <w:tcPr>
            <w:tcW w:w="1218"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cs="Times New Roman" w:asciiTheme="minorEastAsia" w:hAnsiTheme="minorEastAsia" w:eastAsiaTheme="minorEastAsia"/>
                <w:color w:val="auto"/>
                <w:sz w:val="21"/>
                <w:szCs w:val="21"/>
                <w:u w:color="000000"/>
              </w:rPr>
            </w:pPr>
            <w:r>
              <w:rPr>
                <w:rFonts w:cs="Times New Roman" w:asciiTheme="minorEastAsia" w:hAnsiTheme="minorEastAsia" w:eastAsiaTheme="minorEastAsia"/>
                <w:color w:val="auto"/>
                <w:sz w:val="21"/>
                <w:szCs w:val="21"/>
                <w:u w:color="000000"/>
              </w:rPr>
              <w:t>0</w:t>
            </w:r>
          </w:p>
        </w:tc>
        <w:tc>
          <w:tcPr>
            <w:tcW w:w="767"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cs="Times New Roman" w:asciiTheme="minorEastAsia" w:hAnsiTheme="minorEastAsia" w:eastAsiaTheme="minorEastAsia"/>
                <w:color w:val="auto"/>
                <w:sz w:val="21"/>
                <w:szCs w:val="21"/>
                <w:u w:color="000000"/>
              </w:rPr>
            </w:pPr>
            <w:r>
              <w:rPr>
                <w:rFonts w:hint="eastAsia" w:cs="Times New Roman" w:asciiTheme="minorEastAsia" w:hAnsiTheme="minorEastAsia" w:eastAsiaTheme="minorEastAsia"/>
                <w:color w:val="auto"/>
                <w:sz w:val="21"/>
                <w:szCs w:val="21"/>
                <w:u w:color="000000"/>
                <w:lang w:val="en-US" w:eastAsia="zh-CN"/>
              </w:rPr>
              <w:t>1</w:t>
            </w:r>
            <w:r>
              <w:rPr>
                <w:rFonts w:cs="Times New Roman" w:asciiTheme="minorEastAsia" w:hAnsiTheme="minorEastAsia" w:eastAsiaTheme="minorEastAsia"/>
                <w:color w:val="auto"/>
                <w:sz w:val="21"/>
                <w:szCs w:val="21"/>
                <w:u w:color="000000"/>
              </w:rPr>
              <w:t>0</w:t>
            </w:r>
          </w:p>
        </w:tc>
        <w:tc>
          <w:tcPr>
            <w:tcW w:w="881"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cs="Times New Roman" w:asciiTheme="minorEastAsia" w:hAnsiTheme="minorEastAsia" w:eastAsiaTheme="minorEastAsia"/>
                <w:color w:val="auto"/>
                <w:sz w:val="21"/>
                <w:szCs w:val="21"/>
                <w:u w:color="000000"/>
              </w:rPr>
            </w:pPr>
            <w:r>
              <w:rPr>
                <w:rFonts w:hint="eastAsia" w:cs="Times New Roman" w:asciiTheme="minorEastAsia" w:hAnsiTheme="minorEastAsia" w:eastAsiaTheme="minorEastAsia"/>
                <w:color w:val="auto"/>
                <w:sz w:val="21"/>
                <w:szCs w:val="21"/>
                <w:u w:color="000000"/>
                <w:lang w:val="en-US" w:eastAsia="zh-CN"/>
              </w:rPr>
              <w:t>100</w:t>
            </w:r>
            <w:r>
              <w:rPr>
                <w:rFonts w:hint="eastAsia" w:cs="Times New Roman" w:asciiTheme="minorEastAsia" w:hAnsiTheme="minorEastAsia" w:eastAsiaTheme="minorEastAsia"/>
                <w:color w:val="auto"/>
                <w:sz w:val="21"/>
                <w:szCs w:val="21"/>
                <w:u w:color="000000"/>
              </w:rPr>
              <w:t>.00</w:t>
            </w:r>
          </w:p>
        </w:tc>
      </w:tr>
      <w:tr>
        <w:tblPrEx>
          <w:tblCellMar>
            <w:top w:w="15" w:type="dxa"/>
            <w:left w:w="15" w:type="dxa"/>
            <w:bottom w:w="15" w:type="dxa"/>
            <w:right w:w="15" w:type="dxa"/>
          </w:tblCellMar>
        </w:tblPrEx>
        <w:trPr>
          <w:trHeight w:val="585" w:hRule="atLeast"/>
          <w:jc w:val="center"/>
        </w:trPr>
        <w:tc>
          <w:tcPr>
            <w:tcW w:w="28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both"/>
              <w:textAlignment w:val="baseline"/>
              <w:rPr>
                <w:rFonts w:hint="default" w:cs="Times New Roman" w:asciiTheme="minorEastAsia" w:hAnsiTheme="minorEastAsia" w:eastAsiaTheme="minorEastAsia"/>
                <w:color w:val="auto"/>
                <w:sz w:val="21"/>
                <w:szCs w:val="21"/>
                <w:highlight w:val="none"/>
                <w:u w:color="000000"/>
                <w:lang w:val="en-US" w:eastAsia="zh-CN"/>
              </w:rPr>
            </w:pPr>
            <w:r>
              <w:rPr>
                <w:rFonts w:hint="eastAsia" w:cs="Times New Roman" w:asciiTheme="minorEastAsia" w:hAnsiTheme="minorEastAsia" w:eastAsiaTheme="minorEastAsia"/>
                <w:color w:val="auto"/>
                <w:sz w:val="21"/>
                <w:szCs w:val="21"/>
                <w:highlight w:val="none"/>
                <w:u w:color="000000"/>
                <w:lang w:val="en-US" w:eastAsia="zh-CN"/>
              </w:rPr>
              <w:t>养老金是否及时发放</w:t>
            </w:r>
          </w:p>
        </w:tc>
        <w:tc>
          <w:tcPr>
            <w:tcW w:w="111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eastAsia="zh-CN"/>
              </w:rPr>
            </w:pPr>
            <w:r>
              <w:rPr>
                <w:rFonts w:hint="eastAsia" w:cs="Times New Roman" w:asciiTheme="minorEastAsia" w:hAnsiTheme="minorEastAsia" w:eastAsiaTheme="minorEastAsia"/>
                <w:color w:val="auto"/>
                <w:sz w:val="21"/>
                <w:szCs w:val="21"/>
                <w:u w:color="000000"/>
                <w:lang w:val="en-US" w:eastAsia="zh-CN"/>
              </w:rPr>
              <w:t>10</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eastAsia="zh-CN"/>
              </w:rPr>
            </w:pPr>
            <w:r>
              <w:rPr>
                <w:rFonts w:cs="Times New Roman" w:asciiTheme="minorEastAsia" w:hAnsiTheme="minorEastAsia" w:eastAsiaTheme="minorEastAsia"/>
                <w:color w:val="auto"/>
                <w:sz w:val="21"/>
                <w:szCs w:val="21"/>
                <w:u w:color="000000"/>
              </w:rPr>
              <w:t>0</w:t>
            </w:r>
          </w:p>
        </w:tc>
        <w:tc>
          <w:tcPr>
            <w:tcW w:w="1218"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cs="Times New Roman" w:asciiTheme="minorEastAsia" w:hAnsiTheme="minorEastAsia" w:eastAsiaTheme="minorEastAsia"/>
                <w:color w:val="auto"/>
                <w:sz w:val="21"/>
                <w:szCs w:val="21"/>
                <w:u w:color="000000"/>
              </w:rPr>
            </w:pPr>
            <w:r>
              <w:rPr>
                <w:rFonts w:cs="Times New Roman" w:asciiTheme="minorEastAsia" w:hAnsiTheme="minorEastAsia" w:eastAsiaTheme="minorEastAsia"/>
                <w:color w:val="auto"/>
                <w:sz w:val="21"/>
                <w:szCs w:val="21"/>
                <w:u w:color="000000"/>
              </w:rPr>
              <w:t>0</w:t>
            </w:r>
          </w:p>
        </w:tc>
        <w:tc>
          <w:tcPr>
            <w:tcW w:w="767"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cs="Times New Roman" w:asciiTheme="minorEastAsia" w:hAnsiTheme="minorEastAsia" w:eastAsiaTheme="minorEastAsia"/>
                <w:color w:val="auto"/>
                <w:sz w:val="21"/>
                <w:szCs w:val="21"/>
                <w:u w:color="000000"/>
              </w:rPr>
            </w:pPr>
            <w:r>
              <w:rPr>
                <w:rFonts w:hint="eastAsia" w:cs="Times New Roman" w:asciiTheme="minorEastAsia" w:hAnsiTheme="minorEastAsia" w:eastAsiaTheme="minorEastAsia"/>
                <w:color w:val="auto"/>
                <w:sz w:val="21"/>
                <w:szCs w:val="21"/>
                <w:u w:color="000000"/>
                <w:lang w:val="en-US" w:eastAsia="zh-CN"/>
              </w:rPr>
              <w:t>1</w:t>
            </w:r>
            <w:r>
              <w:rPr>
                <w:rFonts w:cs="Times New Roman" w:asciiTheme="minorEastAsia" w:hAnsiTheme="minorEastAsia" w:eastAsiaTheme="minorEastAsia"/>
                <w:color w:val="auto"/>
                <w:sz w:val="21"/>
                <w:szCs w:val="21"/>
                <w:u w:color="000000"/>
              </w:rPr>
              <w:t>0</w:t>
            </w:r>
          </w:p>
        </w:tc>
        <w:tc>
          <w:tcPr>
            <w:tcW w:w="881" w:type="dxa"/>
            <w:tcBorders>
              <w:top w:val="single" w:color="000000" w:sz="4" w:space="0"/>
              <w:left w:val="single" w:color="000000" w:sz="4" w:space="0"/>
              <w:bottom w:val="single" w:color="000000" w:sz="4" w:space="0"/>
              <w:right w:val="single" w:color="000000" w:sz="4" w:space="0"/>
            </w:tcBorders>
            <w:vAlign w:val="center"/>
          </w:tcPr>
          <w:p>
            <w:pPr>
              <w:spacing w:after="0" w:line="360" w:lineRule="auto"/>
              <w:jc w:val="center"/>
              <w:textAlignment w:val="baseline"/>
              <w:rPr>
                <w:rFonts w:hint="default" w:cs="Times New Roman" w:asciiTheme="minorEastAsia" w:hAnsiTheme="minorEastAsia" w:eastAsiaTheme="minorEastAsia"/>
                <w:color w:val="auto"/>
                <w:sz w:val="21"/>
                <w:szCs w:val="21"/>
                <w:u w:color="000000"/>
                <w:lang w:val="en-US"/>
              </w:rPr>
            </w:pPr>
            <w:r>
              <w:rPr>
                <w:rFonts w:hint="eastAsia" w:cs="Times New Roman" w:asciiTheme="minorEastAsia" w:hAnsiTheme="minorEastAsia" w:eastAsiaTheme="minorEastAsia"/>
                <w:color w:val="auto"/>
                <w:sz w:val="21"/>
                <w:szCs w:val="21"/>
                <w:u w:color="000000"/>
                <w:lang w:val="en-US" w:eastAsia="zh-CN"/>
              </w:rPr>
              <w:t>100.00</w:t>
            </w:r>
          </w:p>
        </w:tc>
      </w:tr>
    </w:tbl>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调查问卷共分为3个单项，每个单项满分为100分。其中：满意为100分，一般为50分，不满意为0分。</w:t>
      </w: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单项满意度得分=总分数/总人数</w:t>
      </w: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总体满意度得分=∑1/3各单项满意度得分</w:t>
      </w: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经计算，总体得分为</w:t>
      </w:r>
      <w:r>
        <w:rPr>
          <w:rFonts w:hint="eastAsia" w:ascii="仿宋_GB2312" w:eastAsia="仿宋_GB2312" w:cs="Times New Roman" w:hAnsiTheme="minorEastAsia"/>
          <w:color w:val="auto"/>
          <w:sz w:val="32"/>
          <w:szCs w:val="32"/>
          <w:u w:color="000000"/>
          <w:lang w:val="en-US" w:eastAsia="zh-CN"/>
        </w:rPr>
        <w:t>100</w:t>
      </w:r>
      <w:r>
        <w:rPr>
          <w:rFonts w:hint="eastAsia" w:ascii="仿宋_GB2312" w:eastAsia="仿宋_GB2312" w:cs="Times New Roman" w:hAnsiTheme="minorEastAsia"/>
          <w:color w:val="auto"/>
          <w:sz w:val="32"/>
          <w:szCs w:val="32"/>
          <w:u w:color="000000"/>
        </w:rPr>
        <w:t>，</w:t>
      </w:r>
      <w:r>
        <w:rPr>
          <w:rFonts w:hint="eastAsia" w:ascii="仿宋_GB2312" w:eastAsia="仿宋_GB2312" w:cs="Times New Roman" w:hAnsiTheme="minorEastAsia"/>
          <w:color w:val="auto"/>
          <w:sz w:val="32"/>
          <w:szCs w:val="32"/>
          <w:u w:color="000000"/>
          <w:lang w:val="en-US" w:eastAsia="zh-CN"/>
        </w:rPr>
        <w:t>大</w:t>
      </w:r>
      <w:r>
        <w:rPr>
          <w:rFonts w:hint="eastAsia" w:ascii="仿宋_GB2312" w:eastAsia="仿宋_GB2312" w:cs="Times New Roman" w:hAnsiTheme="minorEastAsia"/>
          <w:color w:val="auto"/>
          <w:sz w:val="32"/>
          <w:szCs w:val="32"/>
          <w:u w:color="000000"/>
        </w:rPr>
        <w:t>于9</w:t>
      </w:r>
      <w:r>
        <w:rPr>
          <w:rFonts w:hint="eastAsia" w:ascii="仿宋_GB2312" w:eastAsia="仿宋_GB2312" w:cs="Times New Roman" w:hAnsiTheme="minorEastAsia"/>
          <w:color w:val="auto"/>
          <w:sz w:val="32"/>
          <w:szCs w:val="32"/>
          <w:u w:color="000000"/>
          <w:lang w:val="en-US" w:eastAsia="zh-CN"/>
        </w:rPr>
        <w:t>5</w:t>
      </w:r>
      <w:r>
        <w:rPr>
          <w:rFonts w:hint="eastAsia" w:ascii="仿宋_GB2312" w:eastAsia="仿宋_GB2312" w:cs="Times New Roman" w:hAnsiTheme="minorEastAsia"/>
          <w:color w:val="auto"/>
          <w:sz w:val="32"/>
          <w:szCs w:val="32"/>
          <w:u w:color="000000"/>
        </w:rPr>
        <w:t>分，评价等级为“</w:t>
      </w:r>
      <w:r>
        <w:rPr>
          <w:rFonts w:hint="eastAsia" w:ascii="仿宋_GB2312" w:eastAsia="仿宋_GB2312" w:cs="Times New Roman" w:hAnsiTheme="minorEastAsia"/>
          <w:color w:val="auto"/>
          <w:sz w:val="32"/>
          <w:szCs w:val="32"/>
          <w:u w:color="000000"/>
          <w:lang w:val="en-US" w:eastAsia="zh-CN"/>
        </w:rPr>
        <w:t>优</w:t>
      </w:r>
      <w:r>
        <w:rPr>
          <w:rFonts w:hint="eastAsia" w:ascii="仿宋_GB2312" w:eastAsia="仿宋_GB2312" w:cs="Times New Roman" w:hAnsiTheme="minorEastAsia"/>
          <w:color w:val="auto"/>
          <w:sz w:val="32"/>
          <w:szCs w:val="32"/>
          <w:u w:color="000000"/>
        </w:rPr>
        <w:t>”。</w:t>
      </w:r>
    </w:p>
    <w:p>
      <w:pPr>
        <w:spacing w:after="0" w:line="360" w:lineRule="auto"/>
        <w:ind w:firstLine="640" w:firstLineChars="200"/>
        <w:jc w:val="both"/>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该指标实际得分</w:t>
      </w:r>
      <w:r>
        <w:rPr>
          <w:rFonts w:hint="eastAsia" w:ascii="仿宋_GB2312" w:eastAsia="仿宋_GB2312" w:cs="Times New Roman" w:hAnsiTheme="minorEastAsia"/>
          <w:color w:val="auto"/>
          <w:sz w:val="32"/>
          <w:szCs w:val="32"/>
          <w:u w:color="000000"/>
          <w:lang w:val="en-US" w:eastAsia="zh-CN"/>
        </w:rPr>
        <w:t>8</w:t>
      </w:r>
      <w:r>
        <w:rPr>
          <w:rFonts w:hint="eastAsia" w:ascii="仿宋_GB2312" w:eastAsia="仿宋_GB2312" w:cs="Times New Roman" w:hAnsiTheme="minorEastAsia"/>
          <w:color w:val="auto"/>
          <w:sz w:val="32"/>
          <w:szCs w:val="32"/>
          <w:u w:color="000000"/>
        </w:rPr>
        <w:t>分。</w:t>
      </w:r>
    </w:p>
    <w:p>
      <w:pPr>
        <w:pageBreakBefore w:val="0"/>
        <w:kinsoku/>
        <w:wordWrap/>
        <w:overflowPunct/>
        <w:topLinePunct w:val="0"/>
        <w:autoSpaceDE/>
        <w:autoSpaceDN/>
        <w:bidi w:val="0"/>
        <w:adjustRightInd/>
        <w:snapToGrid/>
        <w:spacing w:line="560" w:lineRule="exact"/>
        <w:ind w:firstLine="643" w:firstLineChars="200"/>
        <w:jc w:val="left"/>
        <w:outlineLvl w:val="0"/>
        <w:rPr>
          <w:rFonts w:hint="eastAsia" w:ascii="仿宋" w:hAnsi="仿宋" w:eastAsia="仿宋" w:cs="仿宋"/>
          <w:b/>
          <w:bCs/>
          <w:sz w:val="32"/>
          <w:szCs w:val="32"/>
        </w:rPr>
      </w:pPr>
      <w:r>
        <w:rPr>
          <w:rFonts w:hint="eastAsia" w:ascii="仿宋" w:hAnsi="仿宋" w:eastAsia="仿宋" w:cs="仿宋"/>
          <w:b/>
          <w:bCs/>
          <w:sz w:val="32"/>
          <w:szCs w:val="32"/>
          <w:lang w:val="en-US" w:eastAsia="zh-CN"/>
        </w:rPr>
        <w:t>五、</w:t>
      </w:r>
      <w:r>
        <w:rPr>
          <w:rFonts w:hint="eastAsia" w:ascii="仿宋" w:hAnsi="仿宋" w:eastAsia="仿宋" w:cs="仿宋"/>
          <w:b/>
          <w:bCs/>
          <w:sz w:val="32"/>
          <w:szCs w:val="32"/>
        </w:rPr>
        <w:t>绩效评价依据</w:t>
      </w:r>
      <w:bookmarkEnd w:id="67"/>
      <w:bookmarkEnd w:id="68"/>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（1）《中华人民共和国预算法》(主席令第21号)；</w:t>
      </w:r>
      <w:r>
        <w:rPr>
          <w:rFonts w:hint="eastAsia" w:ascii="仿宋" w:hAnsi="仿宋" w:eastAsia="仿宋" w:cs="仿宋"/>
          <w:sz w:val="30"/>
          <w:szCs w:val="30"/>
        </w:rPr>
        <w:br w:type="textWrapping"/>
      </w:r>
      <w:r>
        <w:rPr>
          <w:rFonts w:hint="eastAsia" w:ascii="仿宋" w:hAnsi="仿宋" w:eastAsia="仿宋" w:cs="仿宋"/>
          <w:sz w:val="30"/>
          <w:szCs w:val="30"/>
        </w:rPr>
        <w:t xml:space="preserve">    （2）《河北省财政支出绩效评价管理办法》（冀财预〔2011〕68号）；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（3）《关于印发〈财政支出绩效评价管理暂行办法〉的通知》（财预〔2011〕285号）；</w:t>
      </w:r>
      <w:r>
        <w:rPr>
          <w:rFonts w:hint="eastAsia" w:ascii="仿宋" w:hAnsi="仿宋" w:eastAsia="仿宋" w:cs="仿宋"/>
          <w:sz w:val="30"/>
          <w:szCs w:val="30"/>
        </w:rPr>
        <w:br w:type="textWrapping"/>
      </w:r>
      <w:r>
        <w:rPr>
          <w:rFonts w:hint="eastAsia" w:ascii="仿宋" w:hAnsi="仿宋" w:eastAsia="仿宋" w:cs="仿宋"/>
          <w:sz w:val="30"/>
          <w:szCs w:val="30"/>
        </w:rPr>
        <w:t xml:space="preserve">    （4）《关于印发&lt;预算绩效评价共性指标体系框架&gt;的通知》（财预〔2013〕53号）；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（5）《河北省项目支出绩效指标框架体系》（冀财预[2016]92号）；</w:t>
      </w:r>
    </w:p>
    <w:p>
      <w:pPr>
        <w:pageBreakBefore w:val="0"/>
        <w:kinsoku/>
        <w:wordWrap/>
        <w:overflowPunct/>
        <w:topLinePunct w:val="0"/>
        <w:autoSpaceDE/>
        <w:autoSpaceDN/>
        <w:bidi w:val="0"/>
        <w:adjustRightInd/>
        <w:snapToGrid/>
        <w:spacing w:line="560" w:lineRule="exact"/>
        <w:ind w:firstLine="600" w:firstLineChars="200"/>
        <w:outlineLvl w:val="0"/>
        <w:rPr>
          <w:rFonts w:hint="eastAsia" w:ascii="仿宋" w:hAnsi="仿宋" w:eastAsia="仿宋" w:cs="仿宋"/>
          <w:sz w:val="30"/>
          <w:szCs w:val="30"/>
          <w:highlight w:val="yellow"/>
        </w:rPr>
      </w:pPr>
      <w:bookmarkStart w:id="75" w:name="_Toc3143"/>
      <w:bookmarkStart w:id="76" w:name="_Toc83630326"/>
      <w:bookmarkStart w:id="77" w:name="_Toc83630422"/>
      <w:bookmarkStart w:id="78" w:name="_Toc83631036"/>
      <w:bookmarkStart w:id="79" w:name="_Toc14814"/>
      <w:r>
        <w:rPr>
          <w:rFonts w:hint="eastAsia" w:ascii="仿宋" w:hAnsi="仿宋" w:eastAsia="仿宋" w:cs="仿宋"/>
          <w:sz w:val="30"/>
          <w:szCs w:val="30"/>
        </w:rPr>
        <w:t>（6）河北省人力资源和社会保障厅 河北省财政厅</w:t>
      </w:r>
      <w:r>
        <w:rPr>
          <w:rFonts w:hint="eastAsia" w:ascii="仿宋" w:hAnsi="仿宋" w:eastAsia="仿宋" w:cs="仿宋"/>
          <w:sz w:val="30"/>
          <w:szCs w:val="30"/>
          <w:lang w:eastAsia="zh-CN"/>
        </w:rPr>
        <w:t>《</w:t>
      </w:r>
      <w:r>
        <w:rPr>
          <w:rFonts w:hint="eastAsia" w:ascii="仿宋" w:hAnsi="仿宋" w:eastAsia="仿宋" w:cs="仿宋"/>
          <w:sz w:val="30"/>
          <w:szCs w:val="30"/>
        </w:rPr>
        <w:t>关于做好提高城乡居</w:t>
      </w:r>
      <w:r>
        <w:rPr>
          <w:rFonts w:hint="eastAsia" w:ascii="仿宋" w:hAnsi="仿宋" w:eastAsia="仿宋" w:cs="仿宋"/>
          <w:sz w:val="30"/>
          <w:szCs w:val="30"/>
          <w:highlight w:val="none"/>
        </w:rPr>
        <w:t>民基本养老保险基础养老金最低标准工作的通知</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（冀人社发[2020]35号）；</w:t>
      </w:r>
      <w:bookmarkEnd w:id="75"/>
      <w:bookmarkEnd w:id="76"/>
      <w:bookmarkEnd w:id="77"/>
      <w:bookmarkEnd w:id="78"/>
      <w:bookmarkEnd w:id="79"/>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（7）河北省人力资源和社会保障厅《关于贯彻落实&lt;关于建立城乡居民基本养老保险待遇确定和基础养老金正常调整机制的实施意见&gt;的通知》（冀人社字[2019]122号）；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（8）保定市人力资源和社会保障局 关于转发《河北省人力资源和社会保障厅关于贯彻落实&lt;关于建立城乡居民基本养老保险待遇确定和基础养老金正常调整机制的实施意见&gt;的通知》的通知（保人社字[2019]54号）；</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（9）河北省财政厅关于提前下达2021年城乡居民基本养老保险中央财政补助资金预算指标的通知（冀财社[2020]143号）；</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sz w:val="30"/>
          <w:szCs w:val="30"/>
          <w:lang w:val="en-US" w:eastAsia="zh-CN"/>
        </w:rPr>
        <w:t>0</w:t>
      </w:r>
      <w:r>
        <w:rPr>
          <w:rFonts w:hint="eastAsia" w:ascii="仿宋" w:hAnsi="仿宋" w:eastAsia="仿宋" w:cs="仿宋"/>
          <w:sz w:val="30"/>
          <w:szCs w:val="30"/>
        </w:rPr>
        <w:t>）该项目其他相关资料。</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sz w:val="32"/>
          <w:szCs w:val="32"/>
        </w:rPr>
      </w:pPr>
      <w:bookmarkStart w:id="80" w:name="_Toc24878"/>
      <w:bookmarkStart w:id="81" w:name="_Toc2211"/>
      <w:r>
        <w:rPr>
          <w:rFonts w:hint="eastAsia" w:ascii="仿宋" w:hAnsi="仿宋" w:eastAsia="仿宋" w:cs="仿宋"/>
          <w:sz w:val="32"/>
          <w:szCs w:val="32"/>
          <w:lang w:val="en-US" w:eastAsia="zh-CN"/>
        </w:rPr>
        <w:t>六</w:t>
      </w:r>
      <w:r>
        <w:rPr>
          <w:rFonts w:hint="eastAsia" w:ascii="仿宋" w:hAnsi="仿宋" w:eastAsia="仿宋" w:cs="仿宋"/>
          <w:sz w:val="32"/>
          <w:szCs w:val="32"/>
        </w:rPr>
        <w:t>、项目综合评价</w:t>
      </w:r>
      <w:bookmarkEnd w:id="69"/>
      <w:bookmarkEnd w:id="70"/>
      <w:r>
        <w:rPr>
          <w:rFonts w:hint="eastAsia" w:ascii="仿宋" w:hAnsi="仿宋" w:eastAsia="仿宋" w:cs="仿宋"/>
          <w:sz w:val="32"/>
          <w:szCs w:val="32"/>
        </w:rPr>
        <w:t>结论和评价等级</w:t>
      </w:r>
      <w:bookmarkEnd w:id="71"/>
      <w:bookmarkEnd w:id="72"/>
      <w:bookmarkEnd w:id="73"/>
      <w:bookmarkEnd w:id="74"/>
      <w:bookmarkEnd w:id="80"/>
      <w:bookmarkEnd w:id="81"/>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lang w:val="en-US" w:eastAsia="zh-CN"/>
        </w:rPr>
      </w:pPr>
      <w:bookmarkStart w:id="82" w:name="_Toc501368364"/>
      <w:r>
        <w:rPr>
          <w:rFonts w:hint="eastAsia" w:ascii="仿宋" w:hAnsi="仿宋" w:eastAsia="仿宋" w:cs="仿宋"/>
          <w:sz w:val="30"/>
          <w:szCs w:val="30"/>
        </w:rPr>
        <w:t>1.</w:t>
      </w:r>
      <w:r>
        <w:rPr>
          <w:rFonts w:hint="eastAsia" w:ascii="仿宋" w:hAnsi="仿宋" w:eastAsia="仿宋" w:cs="仿宋"/>
          <w:sz w:val="30"/>
          <w:szCs w:val="30"/>
          <w:lang w:val="en-US" w:eastAsia="zh-CN"/>
        </w:rPr>
        <w:t>确定</w:t>
      </w:r>
      <w:r>
        <w:rPr>
          <w:rFonts w:hint="eastAsia" w:ascii="仿宋" w:hAnsi="仿宋" w:eastAsia="仿宋" w:cs="仿宋"/>
          <w:sz w:val="30"/>
          <w:szCs w:val="30"/>
        </w:rPr>
        <w:t>评</w:t>
      </w:r>
      <w:bookmarkEnd w:id="82"/>
      <w:r>
        <w:rPr>
          <w:rFonts w:hint="eastAsia" w:ascii="仿宋" w:hAnsi="仿宋" w:eastAsia="仿宋" w:cs="仿宋"/>
          <w:sz w:val="30"/>
          <w:szCs w:val="30"/>
          <w:lang w:val="en-US" w:eastAsia="zh-CN"/>
        </w:rPr>
        <w:t>价分值</w:t>
      </w:r>
      <w:r>
        <w:rPr>
          <w:rFonts w:hint="eastAsia" w:ascii="仿宋" w:hAnsi="仿宋" w:eastAsia="仿宋" w:cs="仿宋"/>
          <w:sz w:val="30"/>
          <w:szCs w:val="30"/>
          <w:highlight w:val="none"/>
          <w:lang w:val="en-US" w:eastAsia="zh-CN"/>
        </w:rPr>
        <w:t>：98分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val="en-US" w:eastAsia="zh-CN"/>
        </w:rPr>
      </w:pPr>
      <w:r>
        <w:rPr>
          <w:rFonts w:hint="eastAsia" w:ascii="仿宋" w:hAnsi="仿宋" w:eastAsia="仿宋" w:cs="仿宋"/>
          <w:sz w:val="30"/>
          <w:szCs w:val="30"/>
        </w:rPr>
        <w:t>2.评价等级</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3.项目综合评价结论</w:t>
      </w:r>
    </w:p>
    <w:p>
      <w:pPr>
        <w:pageBreakBefore w:val="0"/>
        <w:kinsoku/>
        <w:wordWrap/>
        <w:overflowPunct/>
        <w:topLinePunct w:val="0"/>
        <w:autoSpaceDE/>
        <w:autoSpaceDN/>
        <w:bidi w:val="0"/>
        <w:adjustRightInd/>
        <w:snapToGrid/>
        <w:spacing w:line="560" w:lineRule="exact"/>
        <w:ind w:firstLine="600" w:firstLineChars="200"/>
        <w:outlineLvl w:val="0"/>
        <w:rPr>
          <w:rFonts w:hint="eastAsia" w:ascii="仿宋" w:hAnsi="仿宋" w:eastAsia="仿宋" w:cs="仿宋"/>
          <w:sz w:val="30"/>
          <w:szCs w:val="30"/>
        </w:rPr>
      </w:pPr>
      <w:bookmarkStart w:id="83" w:name="_Toc83631049"/>
      <w:bookmarkStart w:id="84" w:name="_Toc83630435"/>
      <w:bookmarkStart w:id="85" w:name="_Toc28969"/>
      <w:bookmarkStart w:id="86" w:name="_Toc25027"/>
      <w:r>
        <w:rPr>
          <w:rFonts w:hint="eastAsia" w:ascii="仿宋" w:hAnsi="仿宋" w:eastAsia="仿宋" w:cs="仿宋"/>
          <w:sz w:val="30"/>
          <w:szCs w:val="30"/>
        </w:rPr>
        <w:t>该项目严格资金使用管理，专款专用，项目受益对象明确，项目宣传及实施不断推进，群众对项目的知晓率和满意度逐步提高，通过该项目的</w:t>
      </w:r>
      <w:r>
        <w:rPr>
          <w:rFonts w:hint="eastAsia" w:ascii="仿宋" w:hAnsi="仿宋" w:eastAsia="仿宋" w:cs="仿宋"/>
          <w:sz w:val="30"/>
          <w:szCs w:val="30"/>
          <w:highlight w:val="none"/>
        </w:rPr>
        <w:t>实施</w:t>
      </w:r>
      <w:r>
        <w:rPr>
          <w:rFonts w:hint="eastAsia" w:ascii="仿宋" w:hAnsi="仿宋" w:eastAsia="仿宋" w:cs="仿宋"/>
          <w:sz w:val="30"/>
          <w:szCs w:val="30"/>
          <w:highlight w:val="none"/>
          <w:lang w:val="en-US" w:eastAsia="zh-CN"/>
        </w:rPr>
        <w:t>进一步统筹城乡发展，逐步缩小城乡差距，改善</w:t>
      </w:r>
      <w:r>
        <w:rPr>
          <w:rFonts w:hint="eastAsia" w:ascii="仿宋" w:hAnsi="仿宋" w:eastAsia="仿宋" w:cs="仿宋"/>
          <w:sz w:val="30"/>
          <w:szCs w:val="30"/>
          <w:lang w:val="en-US" w:eastAsia="zh-CN"/>
        </w:rPr>
        <w:t>城乡居民生活水平，提供养老保障，提升人民群众的幸福感，维护社会和谐稳定</w:t>
      </w:r>
      <w:r>
        <w:rPr>
          <w:rFonts w:hint="eastAsia" w:ascii="仿宋" w:hAnsi="仿宋" w:eastAsia="仿宋" w:cs="仿宋"/>
          <w:sz w:val="30"/>
          <w:szCs w:val="30"/>
        </w:rPr>
        <w:t>。</w:t>
      </w:r>
      <w:bookmarkEnd w:id="83"/>
      <w:bookmarkEnd w:id="84"/>
      <w:bookmarkEnd w:id="85"/>
      <w:bookmarkEnd w:id="86"/>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rPr>
      </w:pPr>
      <w:bookmarkStart w:id="87" w:name="_Toc83631050"/>
      <w:bookmarkStart w:id="88" w:name="_Toc83630436"/>
      <w:bookmarkStart w:id="89" w:name="_Toc7207"/>
      <w:bookmarkStart w:id="90" w:name="_Toc30518"/>
      <w:bookmarkStart w:id="91" w:name="_Toc22941"/>
      <w:bookmarkStart w:id="92" w:name="_Toc27278"/>
      <w:r>
        <w:rPr>
          <w:rFonts w:hint="eastAsia" w:ascii="仿宋" w:hAnsi="仿宋" w:eastAsia="仿宋" w:cs="仿宋"/>
          <w:bCs/>
          <w:sz w:val="32"/>
          <w:szCs w:val="32"/>
          <w:lang w:val="en-US" w:eastAsia="zh-CN"/>
        </w:rPr>
        <w:t>七</w:t>
      </w:r>
      <w:r>
        <w:rPr>
          <w:rFonts w:hint="eastAsia" w:ascii="仿宋" w:hAnsi="仿宋" w:eastAsia="仿宋" w:cs="仿宋"/>
          <w:bCs/>
          <w:sz w:val="32"/>
          <w:szCs w:val="32"/>
        </w:rPr>
        <w:t>、存在的问题及改进措施</w:t>
      </w:r>
      <w:bookmarkEnd w:id="87"/>
      <w:bookmarkEnd w:id="88"/>
      <w:bookmarkEnd w:id="89"/>
      <w:bookmarkEnd w:id="90"/>
      <w:bookmarkEnd w:id="91"/>
      <w:bookmarkEnd w:id="92"/>
    </w:p>
    <w:p>
      <w:pPr>
        <w:pageBreakBefore w:val="0"/>
        <w:kinsoku/>
        <w:wordWrap/>
        <w:overflowPunct/>
        <w:topLinePunct w:val="0"/>
        <w:autoSpaceDE/>
        <w:autoSpaceDN/>
        <w:bidi w:val="0"/>
        <w:adjustRightInd/>
        <w:snapToGrid/>
        <w:spacing w:line="560" w:lineRule="exact"/>
        <w:ind w:firstLine="645" w:firstLineChars="215"/>
        <w:rPr>
          <w:rFonts w:hint="eastAsia" w:ascii="仿宋" w:hAnsi="仿宋" w:eastAsia="仿宋" w:cs="仿宋"/>
          <w:sz w:val="30"/>
          <w:szCs w:val="30"/>
        </w:rPr>
      </w:pPr>
      <w:r>
        <w:rPr>
          <w:rFonts w:hint="eastAsia" w:ascii="仿宋" w:hAnsi="仿宋" w:eastAsia="仿宋" w:cs="仿宋"/>
          <w:sz w:val="30"/>
          <w:szCs w:val="30"/>
        </w:rPr>
        <w:t>（一）该项目取得的成绩是肯定的，但在实现绩效目标过程中也存在一些不足之处，具体归纳为：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val="en-US" w:eastAsia="zh-CN"/>
        </w:rPr>
      </w:pPr>
      <w:r>
        <w:rPr>
          <w:rFonts w:hint="eastAsia" w:ascii="仿宋" w:hAnsi="仿宋" w:eastAsia="仿宋" w:cs="仿宋"/>
          <w:sz w:val="30"/>
          <w:szCs w:val="30"/>
        </w:rPr>
        <w:t>1、领取待遇覆盖率</w:t>
      </w:r>
      <w:r>
        <w:rPr>
          <w:rFonts w:hint="eastAsia" w:ascii="仿宋" w:hAnsi="仿宋" w:eastAsia="仿宋" w:cs="仿宋"/>
          <w:sz w:val="30"/>
          <w:szCs w:val="30"/>
          <w:lang w:val="en-US" w:eastAsia="zh-CN"/>
        </w:rPr>
        <w:t>未达到百分之百，仍有少部分城乡居民已达到领取养老保险补助金的年龄，因部分条件限制而不能领取养老金。</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kern w:val="2"/>
          <w:sz w:val="30"/>
          <w:szCs w:val="30"/>
          <w:lang w:val="en-US" w:eastAsia="zh-CN" w:bidi="ar-SA"/>
        </w:rPr>
      </w:pPr>
      <w:r>
        <w:rPr>
          <w:rFonts w:hint="eastAsia" w:ascii="仿宋" w:hAnsi="仿宋" w:eastAsia="仿宋" w:cs="仿宋"/>
          <w:kern w:val="2"/>
          <w:sz w:val="30"/>
          <w:szCs w:val="30"/>
          <w:lang w:val="en-US" w:eastAsia="zh-CN" w:bidi="ar-SA"/>
        </w:rPr>
        <w:t>2、符合条件的城乡居民养老保险发放准确率未达到百分之百，因相关人员未能提供准确信息导致养老保险不能准确发放到位。</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（二）意见和建议</w:t>
      </w:r>
    </w:p>
    <w:p>
      <w:pPr>
        <w:pageBreakBefore w:val="0"/>
        <w:kinsoku/>
        <w:wordWrap/>
        <w:overflowPunct/>
        <w:topLinePunct w:val="0"/>
        <w:autoSpaceDE/>
        <w:autoSpaceDN/>
        <w:bidi w:val="0"/>
        <w:adjustRightInd/>
        <w:snapToGrid/>
        <w:spacing w:line="560" w:lineRule="exact"/>
        <w:ind w:firstLine="645" w:firstLineChars="215"/>
        <w:rPr>
          <w:rFonts w:hint="eastAsia" w:ascii="仿宋" w:hAnsi="仿宋" w:eastAsia="仿宋" w:cs="仿宋"/>
          <w:sz w:val="30"/>
          <w:szCs w:val="30"/>
        </w:rPr>
      </w:pPr>
      <w:r>
        <w:rPr>
          <w:rFonts w:hint="eastAsia" w:ascii="仿宋" w:hAnsi="仿宋" w:eastAsia="仿宋" w:cs="仿宋"/>
          <w:sz w:val="30"/>
          <w:szCs w:val="30"/>
        </w:rPr>
        <w:t>通过本次的绩效评价工作，找出了项目管理过程中的亮点和缺陷，总结出项目绩效管理经验，对于以后相似项目的管理工作起到很好的借鉴作用。同时，本次绩效评价工作对于安排以后的资金预算，考核项目管理效果也将起到示范作用。同时，使国家财政资金得到安全保障，更好的发挥效应。通过评价工作，我们逐一分析该项目存在的问题并提出相应的意见和建议。</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 xml:space="preserve">1、严格遵守有关法规及制度规定，提高资金的使用效率。 </w:t>
      </w:r>
    </w:p>
    <w:p>
      <w:pPr>
        <w:pStyle w:val="8"/>
        <w:pageBreakBefore w:val="0"/>
        <w:kinsoku/>
        <w:wordWrap/>
        <w:overflowPunct/>
        <w:topLinePunct w:val="0"/>
        <w:autoSpaceDE/>
        <w:autoSpaceDN/>
        <w:bidi w:val="0"/>
        <w:adjustRightInd/>
        <w:snapToGrid/>
        <w:spacing w:line="560" w:lineRule="exact"/>
        <w:ind w:right="210" w:rightChars="100" w:firstLine="600" w:firstLineChars="200"/>
        <w:rPr>
          <w:rFonts w:hint="eastAsia" w:ascii="仿宋" w:hAnsi="仿宋" w:eastAsia="仿宋" w:cs="仿宋"/>
          <w:sz w:val="30"/>
          <w:szCs w:val="30"/>
        </w:rPr>
      </w:pPr>
      <w:r>
        <w:rPr>
          <w:rFonts w:hint="eastAsia" w:ascii="仿宋" w:hAnsi="仿宋" w:eastAsia="仿宋" w:cs="仿宋"/>
          <w:sz w:val="30"/>
          <w:szCs w:val="30"/>
          <w:lang w:val="en-US" w:eastAsia="zh-CN"/>
        </w:rPr>
        <w:t>2</w:t>
      </w:r>
      <w:r>
        <w:rPr>
          <w:rFonts w:hint="eastAsia" w:ascii="仿宋" w:hAnsi="仿宋" w:eastAsia="仿宋" w:cs="仿宋"/>
          <w:sz w:val="30"/>
          <w:szCs w:val="30"/>
        </w:rPr>
        <w:t>、</w:t>
      </w:r>
      <w:r>
        <w:rPr>
          <w:rFonts w:hint="eastAsia" w:ascii="仿宋" w:hAnsi="仿宋" w:eastAsia="仿宋" w:cs="仿宋"/>
          <w:sz w:val="30"/>
          <w:szCs w:val="30"/>
          <w:lang w:val="en-US" w:eastAsia="zh-CN"/>
        </w:rPr>
        <w:t>建议加强与村、居委会的宣传力度，及时掌握并更新符合条件的城乡居民相关信息，确保应符合条件的城乡居民应享尽享此项惠民政策</w:t>
      </w:r>
      <w:r>
        <w:rPr>
          <w:rFonts w:hint="eastAsia" w:ascii="仿宋" w:hAnsi="仿宋" w:eastAsia="仿宋" w:cs="仿宋"/>
          <w:sz w:val="30"/>
          <w:szCs w:val="30"/>
        </w:rPr>
        <w:t>。</w:t>
      </w:r>
    </w:p>
    <w:p>
      <w:pPr>
        <w:pStyle w:val="3"/>
        <w:pageBreakBefore w:val="0"/>
        <w:kinsoku/>
        <w:wordWrap/>
        <w:overflowPunct/>
        <w:topLinePunct w:val="0"/>
        <w:autoSpaceDE/>
        <w:autoSpaceDN/>
        <w:bidi w:val="0"/>
        <w:adjustRightInd/>
        <w:snapToGrid/>
        <w:spacing w:beforeAutospacing="0" w:afterAutospacing="0" w:line="560" w:lineRule="exact"/>
        <w:ind w:firstLine="600" w:firstLineChars="200"/>
        <w:rPr>
          <w:rFonts w:hint="eastAsia" w:ascii="仿宋" w:hAnsi="仿宋" w:eastAsia="仿宋" w:cs="仿宋"/>
          <w:b w:val="0"/>
          <w:kern w:val="2"/>
          <w:sz w:val="30"/>
          <w:szCs w:val="30"/>
        </w:rPr>
      </w:pPr>
      <w:r>
        <w:rPr>
          <w:rFonts w:hint="eastAsia" w:ascii="仿宋" w:hAnsi="仿宋" w:eastAsia="仿宋" w:cs="仿宋"/>
          <w:b w:val="0"/>
          <w:kern w:val="2"/>
          <w:sz w:val="30"/>
          <w:szCs w:val="30"/>
        </w:rPr>
        <w:t xml:space="preserve">  </w:t>
      </w:r>
      <w:bookmarkStart w:id="93" w:name="_Toc23781"/>
      <w:bookmarkStart w:id="94" w:name="_Toc6530"/>
      <w:bookmarkStart w:id="95" w:name="_Toc83630437"/>
      <w:bookmarkStart w:id="96" w:name="_Toc83631051"/>
    </w:p>
    <w:p>
      <w:pPr>
        <w:pStyle w:val="3"/>
        <w:pageBreakBefore w:val="0"/>
        <w:kinsoku/>
        <w:wordWrap/>
        <w:overflowPunct/>
        <w:topLinePunct w:val="0"/>
        <w:autoSpaceDE/>
        <w:autoSpaceDN/>
        <w:bidi w:val="0"/>
        <w:adjustRightInd/>
        <w:snapToGrid/>
        <w:spacing w:beforeAutospacing="0" w:afterAutospacing="0" w:line="560" w:lineRule="exact"/>
        <w:ind w:firstLine="600" w:firstLineChars="200"/>
        <w:rPr>
          <w:rFonts w:hint="eastAsia" w:ascii="仿宋" w:hAnsi="仿宋" w:eastAsia="仿宋" w:cs="仿宋"/>
          <w:b w:val="0"/>
          <w:kern w:val="2"/>
          <w:sz w:val="30"/>
          <w:szCs w:val="30"/>
        </w:rPr>
      </w:pPr>
      <w:r>
        <w:rPr>
          <w:rFonts w:hint="eastAsia" w:ascii="仿宋" w:hAnsi="仿宋" w:eastAsia="仿宋" w:cs="仿宋"/>
          <w:b w:val="0"/>
          <w:kern w:val="2"/>
          <w:sz w:val="30"/>
          <w:szCs w:val="30"/>
        </w:rPr>
        <w:t>附件：绩效评价指标体系及评分情况表</w:t>
      </w:r>
      <w:bookmarkEnd w:id="93"/>
      <w:bookmarkEnd w:id="94"/>
      <w:bookmarkEnd w:id="95"/>
      <w:bookmarkEnd w:id="96"/>
    </w:p>
    <w:p>
      <w:pPr>
        <w:rPr>
          <w:rFonts w:hint="eastAsia" w:ascii="仿宋" w:hAnsi="仿宋" w:eastAsia="仿宋" w:cs="仿宋"/>
          <w:b w:val="0"/>
          <w:kern w:val="2"/>
          <w:sz w:val="30"/>
          <w:szCs w:val="30"/>
        </w:rPr>
      </w:pPr>
    </w:p>
    <w:p>
      <w:pPr>
        <w:pStyle w:val="2"/>
        <w:rPr>
          <w:rFonts w:hint="eastAsia" w:ascii="仿宋" w:hAnsi="仿宋" w:eastAsia="仿宋" w:cs="仿宋"/>
          <w:b w:val="0"/>
          <w:kern w:val="2"/>
          <w:sz w:val="30"/>
          <w:szCs w:val="30"/>
        </w:rPr>
      </w:pPr>
    </w:p>
    <w:p>
      <w:pPr>
        <w:rPr>
          <w:rFonts w:hint="eastAsia" w:ascii="仿宋" w:hAnsi="仿宋" w:eastAsia="仿宋" w:cs="仿宋"/>
          <w:b w:val="0"/>
          <w:kern w:val="2"/>
          <w:sz w:val="30"/>
          <w:szCs w:val="30"/>
        </w:rPr>
      </w:pPr>
    </w:p>
    <w:p>
      <w:pPr>
        <w:pageBreakBefore w:val="0"/>
        <w:kinsoku/>
        <w:wordWrap/>
        <w:overflowPunct/>
        <w:topLinePunct w:val="0"/>
        <w:autoSpaceDE/>
        <w:autoSpaceDN/>
        <w:bidi w:val="0"/>
        <w:adjustRightInd/>
        <w:snapToGrid/>
        <w:spacing w:line="560" w:lineRule="exact"/>
        <w:ind w:firstLine="6300" w:firstLineChars="2100"/>
        <w:rPr>
          <w:rFonts w:hint="eastAsia" w:ascii="仿宋" w:hAnsi="仿宋" w:eastAsia="仿宋" w:cs="仿宋"/>
          <w:sz w:val="30"/>
          <w:szCs w:val="30"/>
        </w:rPr>
      </w:pPr>
    </w:p>
    <w:p>
      <w:pPr>
        <w:pageBreakBefore w:val="0"/>
        <w:kinsoku/>
        <w:wordWrap/>
        <w:overflowPunct/>
        <w:topLinePunct w:val="0"/>
        <w:autoSpaceDE/>
        <w:autoSpaceDN/>
        <w:bidi w:val="0"/>
        <w:adjustRightInd/>
        <w:snapToGrid/>
        <w:spacing w:line="560" w:lineRule="exact"/>
        <w:ind w:firstLine="6300" w:firstLineChars="2100"/>
        <w:rPr>
          <w:rFonts w:hint="eastAsia" w:ascii="仿宋" w:hAnsi="仿宋" w:eastAsia="仿宋" w:cs="仿宋"/>
          <w:sz w:val="30"/>
          <w:szCs w:val="30"/>
        </w:rPr>
      </w:pPr>
      <w:r>
        <w:rPr>
          <w:rFonts w:hint="eastAsia" w:ascii="仿宋" w:hAnsi="仿宋" w:eastAsia="仿宋" w:cs="仿宋"/>
          <w:sz w:val="30"/>
          <w:szCs w:val="30"/>
        </w:rPr>
        <w:t>202</w:t>
      </w:r>
      <w:r>
        <w:rPr>
          <w:rFonts w:hint="eastAsia" w:ascii="仿宋" w:hAnsi="仿宋" w:eastAsia="仿宋" w:cs="仿宋"/>
          <w:sz w:val="30"/>
          <w:szCs w:val="30"/>
          <w:lang w:val="en-US" w:eastAsia="zh-CN"/>
        </w:rPr>
        <w:t>2</w:t>
      </w:r>
      <w:r>
        <w:rPr>
          <w:rFonts w:hint="eastAsia" w:ascii="仿宋" w:hAnsi="仿宋" w:eastAsia="仿宋" w:cs="仿宋"/>
          <w:sz w:val="30"/>
          <w:szCs w:val="30"/>
        </w:rPr>
        <w:t>年</w:t>
      </w:r>
      <w:r>
        <w:rPr>
          <w:rFonts w:hint="eastAsia" w:ascii="仿宋" w:hAnsi="仿宋" w:eastAsia="仿宋" w:cs="仿宋"/>
          <w:sz w:val="30"/>
          <w:szCs w:val="30"/>
          <w:lang w:val="en-US" w:eastAsia="zh-CN"/>
        </w:rPr>
        <w:t>9</w:t>
      </w:r>
      <w:r>
        <w:rPr>
          <w:rFonts w:hint="eastAsia" w:ascii="仿宋" w:hAnsi="仿宋" w:eastAsia="仿宋" w:cs="仿宋"/>
          <w:sz w:val="30"/>
          <w:szCs w:val="30"/>
        </w:rPr>
        <w:t>月</w:t>
      </w:r>
      <w:r>
        <w:rPr>
          <w:rFonts w:hint="eastAsia" w:ascii="仿宋" w:hAnsi="仿宋" w:eastAsia="仿宋" w:cs="仿宋"/>
          <w:sz w:val="30"/>
          <w:szCs w:val="30"/>
          <w:lang w:val="en-US" w:eastAsia="zh-CN"/>
        </w:rPr>
        <w:t>30</w:t>
      </w:r>
      <w:bookmarkStart w:id="97" w:name="_GoBack"/>
      <w:bookmarkEnd w:id="97"/>
      <w:r>
        <w:rPr>
          <w:rFonts w:hint="eastAsia" w:ascii="仿宋" w:hAnsi="仿宋" w:eastAsia="仿宋" w:cs="仿宋"/>
          <w:sz w:val="30"/>
          <w:szCs w:val="30"/>
        </w:rPr>
        <w:t>日</w:t>
      </w:r>
    </w:p>
    <w:sectPr>
      <w:footerReference r:id="rId6" w:type="default"/>
      <w:pgSz w:w="11906" w:h="16838"/>
      <w:pgMar w:top="964" w:right="1134" w:bottom="964" w:left="1134" w:header="1134" w:footer="680"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720"/>
      <w:jc w:val="center"/>
    </w:pPr>
    <w:r>
      <w:rPr>
        <w:sz w:val="18"/>
      </w:rPr>
      <w:pict>
        <v:shape id="_x0000_s4108" o:spid="_x0000_s4108" o:spt="202" type="#_x0000_t202" style="position:absolute;left:0pt;margin-top:0pt;height:144pt;width:144pt;mso-position-horizontal:right;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1"/>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720"/>
      <w:jc w:val="center"/>
    </w:pPr>
    <w:r>
      <w:pict>
        <v:shape id="_x0000_s4106" o:spid="_x0000_s410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p>
    <w:pPr>
      <w:pStyle w:val="11"/>
      <w:pBdr>
        <w:top w:val="thinThickSmallGap" w:color="622423" w:sz="24" w:space="1"/>
      </w:pBdr>
      <w:tabs>
        <w:tab w:val="right" w:pos="9070"/>
        <w:tab w:val="clear" w:pos="4153"/>
        <w:tab w:val="clear" w:pos="8306"/>
      </w:tabs>
      <w:rPr>
        <w:rFonts w:ascii="Cambria" w:hAnsi="Cambria"/>
      </w:rPr>
    </w:pPr>
    <w:r>
      <w:rPr>
        <w:rFonts w:hint="eastAsia" w:ascii="Cambria" w:hAnsi="Cambria"/>
      </w:rPr>
      <w:t xml:space="preserve">       保定市乐凯北大街3088号电谷科技中心4号楼518室                电话：0312-3328961</w:t>
    </w:r>
    <w:r>
      <w:rPr>
        <w:rFonts w:ascii="Cambria" w:hAnsi="Cambria"/>
        <w:vanish/>
      </w:rPr>
      <w:t>&lt;&gt;</w:t>
    </w:r>
    <w:r>
      <w:rPr>
        <w:rFonts w:ascii="Cambria" w:hAnsi="Cambria"/>
        <w:lang w:val="zh-CN"/>
      </w:rPr>
      <w:tab/>
    </w:r>
    <w:r>
      <w:rPr>
        <w:rFonts w:ascii="Cambria" w:hAnsi="Cambria"/>
        <w:lang w:val="zh-CN"/>
      </w:rPr>
      <w:t xml:space="preserve"> </w:t>
    </w:r>
  </w:p>
  <w:p>
    <w:pPr>
      <w:pStyle w:val="11"/>
      <w:tabs>
        <w:tab w:val="left" w:pos="3585"/>
        <w:tab w:val="clear" w:pos="4153"/>
        <w:tab w:val="clear" w:pos="8306"/>
      </w:tabs>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720"/>
      <w:jc w:val="center"/>
    </w:pPr>
    <w:r>
      <w:rPr>
        <w:sz w:val="18"/>
      </w:rPr>
      <w:pict>
        <v:shape id="_x0000_s4109" o:spid="_x0000_s4109" o:spt="202" type="#_x0000_t202" style="position:absolute;left:0pt;margin-top:0pt;height:144pt;width:144pt;mso-position-horizontal:right;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jc w:val="both"/>
      <w:rPr>
        <w:i/>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19868D"/>
    <w:multiLevelType w:val="singleLevel"/>
    <w:tmpl w:val="D319868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1"/>
  <w:bordersDoNotSurroundFooter w:val="1"/>
  <w:documentProtection w:enforcement="0"/>
  <w:defaultTabStop w:val="425"/>
  <w:drawingGridHorizontalSpacing w:val="105"/>
  <w:drawingGridVerticalSpacing w:val="156"/>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ZmRlYjBmZjM5NTcwMzdlM2FkMTA1ODk5YmM1NzYzYTAifQ=="/>
  </w:docVars>
  <w:rsids>
    <w:rsidRoot w:val="00172A27"/>
    <w:rsid w:val="00001E81"/>
    <w:rsid w:val="00002FE3"/>
    <w:rsid w:val="0001237A"/>
    <w:rsid w:val="00012B1F"/>
    <w:rsid w:val="00013039"/>
    <w:rsid w:val="00016780"/>
    <w:rsid w:val="00016877"/>
    <w:rsid w:val="00022151"/>
    <w:rsid w:val="00025856"/>
    <w:rsid w:val="0002621F"/>
    <w:rsid w:val="00033AA9"/>
    <w:rsid w:val="0003796B"/>
    <w:rsid w:val="00040467"/>
    <w:rsid w:val="00045C4A"/>
    <w:rsid w:val="00051E6A"/>
    <w:rsid w:val="000526B1"/>
    <w:rsid w:val="000545E4"/>
    <w:rsid w:val="00061A9C"/>
    <w:rsid w:val="00061CE6"/>
    <w:rsid w:val="0006219F"/>
    <w:rsid w:val="000708F8"/>
    <w:rsid w:val="0007441F"/>
    <w:rsid w:val="0007465C"/>
    <w:rsid w:val="00074D40"/>
    <w:rsid w:val="000755AD"/>
    <w:rsid w:val="00075E9A"/>
    <w:rsid w:val="00077141"/>
    <w:rsid w:val="00085E3D"/>
    <w:rsid w:val="0009369D"/>
    <w:rsid w:val="0009497A"/>
    <w:rsid w:val="00097090"/>
    <w:rsid w:val="000A0869"/>
    <w:rsid w:val="000A1167"/>
    <w:rsid w:val="000A3E44"/>
    <w:rsid w:val="000A4680"/>
    <w:rsid w:val="000B0D5C"/>
    <w:rsid w:val="000B155D"/>
    <w:rsid w:val="000B1E0C"/>
    <w:rsid w:val="000B20C4"/>
    <w:rsid w:val="000B2F28"/>
    <w:rsid w:val="000C0219"/>
    <w:rsid w:val="000C04B4"/>
    <w:rsid w:val="000D406E"/>
    <w:rsid w:val="000D62DD"/>
    <w:rsid w:val="000D7C44"/>
    <w:rsid w:val="000D7C62"/>
    <w:rsid w:val="000E2FF4"/>
    <w:rsid w:val="000E55B5"/>
    <w:rsid w:val="000E7041"/>
    <w:rsid w:val="000F06E0"/>
    <w:rsid w:val="000F4DB6"/>
    <w:rsid w:val="000F6F4D"/>
    <w:rsid w:val="000F7314"/>
    <w:rsid w:val="00102339"/>
    <w:rsid w:val="00103596"/>
    <w:rsid w:val="0010607C"/>
    <w:rsid w:val="0010686E"/>
    <w:rsid w:val="00107E9D"/>
    <w:rsid w:val="001118A5"/>
    <w:rsid w:val="001129D8"/>
    <w:rsid w:val="00117D1C"/>
    <w:rsid w:val="00123040"/>
    <w:rsid w:val="00123913"/>
    <w:rsid w:val="00127425"/>
    <w:rsid w:val="001337FE"/>
    <w:rsid w:val="00135522"/>
    <w:rsid w:val="0014634C"/>
    <w:rsid w:val="001471EC"/>
    <w:rsid w:val="00151E0E"/>
    <w:rsid w:val="00153236"/>
    <w:rsid w:val="00155639"/>
    <w:rsid w:val="00157B84"/>
    <w:rsid w:val="00161CEF"/>
    <w:rsid w:val="00163C86"/>
    <w:rsid w:val="0016529A"/>
    <w:rsid w:val="0016552F"/>
    <w:rsid w:val="00165B00"/>
    <w:rsid w:val="00167578"/>
    <w:rsid w:val="00172A27"/>
    <w:rsid w:val="001730CC"/>
    <w:rsid w:val="00175C51"/>
    <w:rsid w:val="001775FA"/>
    <w:rsid w:val="00177706"/>
    <w:rsid w:val="00181EDE"/>
    <w:rsid w:val="00196D03"/>
    <w:rsid w:val="001973EC"/>
    <w:rsid w:val="001A0FA2"/>
    <w:rsid w:val="001A47A9"/>
    <w:rsid w:val="001A6DAC"/>
    <w:rsid w:val="001A6DCF"/>
    <w:rsid w:val="001A7692"/>
    <w:rsid w:val="001B348D"/>
    <w:rsid w:val="001B48F3"/>
    <w:rsid w:val="001B5178"/>
    <w:rsid w:val="001B55E7"/>
    <w:rsid w:val="001C05EB"/>
    <w:rsid w:val="001C0981"/>
    <w:rsid w:val="001C0A70"/>
    <w:rsid w:val="001C370C"/>
    <w:rsid w:val="001C5733"/>
    <w:rsid w:val="001C587B"/>
    <w:rsid w:val="001D420F"/>
    <w:rsid w:val="001D7CB3"/>
    <w:rsid w:val="001E3AEC"/>
    <w:rsid w:val="001E5575"/>
    <w:rsid w:val="001E6191"/>
    <w:rsid w:val="001E6D7F"/>
    <w:rsid w:val="001F37F7"/>
    <w:rsid w:val="001F3B46"/>
    <w:rsid w:val="002019BF"/>
    <w:rsid w:val="00204D34"/>
    <w:rsid w:val="00205B2A"/>
    <w:rsid w:val="002061DE"/>
    <w:rsid w:val="00206E4A"/>
    <w:rsid w:val="00211650"/>
    <w:rsid w:val="00212B85"/>
    <w:rsid w:val="00214D2D"/>
    <w:rsid w:val="00217674"/>
    <w:rsid w:val="002238F1"/>
    <w:rsid w:val="0022441E"/>
    <w:rsid w:val="002262ED"/>
    <w:rsid w:val="00227687"/>
    <w:rsid w:val="00231583"/>
    <w:rsid w:val="00231E73"/>
    <w:rsid w:val="00232C0B"/>
    <w:rsid w:val="00236FF9"/>
    <w:rsid w:val="002371BA"/>
    <w:rsid w:val="00241DDA"/>
    <w:rsid w:val="0024577B"/>
    <w:rsid w:val="002477B2"/>
    <w:rsid w:val="002478F4"/>
    <w:rsid w:val="002513BE"/>
    <w:rsid w:val="00256A4B"/>
    <w:rsid w:val="00264E36"/>
    <w:rsid w:val="00266F46"/>
    <w:rsid w:val="002678E2"/>
    <w:rsid w:val="0027048A"/>
    <w:rsid w:val="00270705"/>
    <w:rsid w:val="00271949"/>
    <w:rsid w:val="00274702"/>
    <w:rsid w:val="0027470D"/>
    <w:rsid w:val="002762DA"/>
    <w:rsid w:val="00280437"/>
    <w:rsid w:val="002837BF"/>
    <w:rsid w:val="0028433C"/>
    <w:rsid w:val="00287E1A"/>
    <w:rsid w:val="002938D8"/>
    <w:rsid w:val="00294650"/>
    <w:rsid w:val="00294ED2"/>
    <w:rsid w:val="00297960"/>
    <w:rsid w:val="002A4C4D"/>
    <w:rsid w:val="002A5E76"/>
    <w:rsid w:val="002A68A6"/>
    <w:rsid w:val="002B37B6"/>
    <w:rsid w:val="002B45E5"/>
    <w:rsid w:val="002C1CA4"/>
    <w:rsid w:val="002E02E3"/>
    <w:rsid w:val="002E2613"/>
    <w:rsid w:val="002E2C1A"/>
    <w:rsid w:val="002E45FD"/>
    <w:rsid w:val="002E7CB4"/>
    <w:rsid w:val="002F0A16"/>
    <w:rsid w:val="002F2D01"/>
    <w:rsid w:val="002F72F6"/>
    <w:rsid w:val="00303ADF"/>
    <w:rsid w:val="00306C5A"/>
    <w:rsid w:val="00307390"/>
    <w:rsid w:val="00307D5B"/>
    <w:rsid w:val="00311278"/>
    <w:rsid w:val="00313749"/>
    <w:rsid w:val="00313C79"/>
    <w:rsid w:val="0032011B"/>
    <w:rsid w:val="003225CE"/>
    <w:rsid w:val="00323DE4"/>
    <w:rsid w:val="00325654"/>
    <w:rsid w:val="00327721"/>
    <w:rsid w:val="00330324"/>
    <w:rsid w:val="00330AA2"/>
    <w:rsid w:val="003362FC"/>
    <w:rsid w:val="0033673E"/>
    <w:rsid w:val="00344370"/>
    <w:rsid w:val="00350222"/>
    <w:rsid w:val="00350722"/>
    <w:rsid w:val="00351B3C"/>
    <w:rsid w:val="00354F98"/>
    <w:rsid w:val="00355135"/>
    <w:rsid w:val="003559E9"/>
    <w:rsid w:val="00360C3A"/>
    <w:rsid w:val="00361A21"/>
    <w:rsid w:val="00361C36"/>
    <w:rsid w:val="00371E92"/>
    <w:rsid w:val="003722A1"/>
    <w:rsid w:val="00375B5C"/>
    <w:rsid w:val="003776F3"/>
    <w:rsid w:val="0038027C"/>
    <w:rsid w:val="00382AC7"/>
    <w:rsid w:val="0039160E"/>
    <w:rsid w:val="003918F6"/>
    <w:rsid w:val="003933E7"/>
    <w:rsid w:val="00395AAD"/>
    <w:rsid w:val="0039616C"/>
    <w:rsid w:val="00397291"/>
    <w:rsid w:val="00397784"/>
    <w:rsid w:val="003A468C"/>
    <w:rsid w:val="003A5D20"/>
    <w:rsid w:val="003B0599"/>
    <w:rsid w:val="003B506F"/>
    <w:rsid w:val="003B55FC"/>
    <w:rsid w:val="003C2817"/>
    <w:rsid w:val="003D5A13"/>
    <w:rsid w:val="003E4CEC"/>
    <w:rsid w:val="003E58F6"/>
    <w:rsid w:val="003F5AA4"/>
    <w:rsid w:val="0040171A"/>
    <w:rsid w:val="0040642B"/>
    <w:rsid w:val="00411120"/>
    <w:rsid w:val="00412B46"/>
    <w:rsid w:val="00421AA7"/>
    <w:rsid w:val="004220AA"/>
    <w:rsid w:val="0043069F"/>
    <w:rsid w:val="00431254"/>
    <w:rsid w:val="00432102"/>
    <w:rsid w:val="00435890"/>
    <w:rsid w:val="00437563"/>
    <w:rsid w:val="0045092F"/>
    <w:rsid w:val="0045268D"/>
    <w:rsid w:val="00455858"/>
    <w:rsid w:val="0045663E"/>
    <w:rsid w:val="00460005"/>
    <w:rsid w:val="004603D0"/>
    <w:rsid w:val="00464C8B"/>
    <w:rsid w:val="00464E7C"/>
    <w:rsid w:val="00471474"/>
    <w:rsid w:val="00474E33"/>
    <w:rsid w:val="00476CA9"/>
    <w:rsid w:val="00477A0A"/>
    <w:rsid w:val="004837D1"/>
    <w:rsid w:val="00484031"/>
    <w:rsid w:val="004949BB"/>
    <w:rsid w:val="00494D2C"/>
    <w:rsid w:val="00495D03"/>
    <w:rsid w:val="00496C00"/>
    <w:rsid w:val="004A6E0D"/>
    <w:rsid w:val="004B34D2"/>
    <w:rsid w:val="004B36EF"/>
    <w:rsid w:val="004B60B0"/>
    <w:rsid w:val="004C077B"/>
    <w:rsid w:val="004C16C1"/>
    <w:rsid w:val="004C42FF"/>
    <w:rsid w:val="004D3E55"/>
    <w:rsid w:val="004E1A51"/>
    <w:rsid w:val="004E4D3D"/>
    <w:rsid w:val="004E78EF"/>
    <w:rsid w:val="004F05AB"/>
    <w:rsid w:val="004F1584"/>
    <w:rsid w:val="004F6320"/>
    <w:rsid w:val="005035A0"/>
    <w:rsid w:val="00503F54"/>
    <w:rsid w:val="00504D24"/>
    <w:rsid w:val="00506B53"/>
    <w:rsid w:val="0050755A"/>
    <w:rsid w:val="00525EA6"/>
    <w:rsid w:val="00525F5C"/>
    <w:rsid w:val="005262DE"/>
    <w:rsid w:val="0053461A"/>
    <w:rsid w:val="00535CEF"/>
    <w:rsid w:val="005443B3"/>
    <w:rsid w:val="005511A7"/>
    <w:rsid w:val="0055165F"/>
    <w:rsid w:val="0055189E"/>
    <w:rsid w:val="005605EF"/>
    <w:rsid w:val="0056126D"/>
    <w:rsid w:val="00573D78"/>
    <w:rsid w:val="00577454"/>
    <w:rsid w:val="00580E0D"/>
    <w:rsid w:val="00581141"/>
    <w:rsid w:val="00587B04"/>
    <w:rsid w:val="00587DA6"/>
    <w:rsid w:val="00596FA9"/>
    <w:rsid w:val="005975A7"/>
    <w:rsid w:val="005A0AFA"/>
    <w:rsid w:val="005A1FA5"/>
    <w:rsid w:val="005A2809"/>
    <w:rsid w:val="005A4668"/>
    <w:rsid w:val="005B0ABE"/>
    <w:rsid w:val="005B2098"/>
    <w:rsid w:val="005B5D50"/>
    <w:rsid w:val="005B604D"/>
    <w:rsid w:val="005C6CF3"/>
    <w:rsid w:val="005D4511"/>
    <w:rsid w:val="005D511C"/>
    <w:rsid w:val="005D6237"/>
    <w:rsid w:val="005D6295"/>
    <w:rsid w:val="005E0754"/>
    <w:rsid w:val="005E12F4"/>
    <w:rsid w:val="005E4912"/>
    <w:rsid w:val="005E5A26"/>
    <w:rsid w:val="005E5BF3"/>
    <w:rsid w:val="005F109C"/>
    <w:rsid w:val="005F702A"/>
    <w:rsid w:val="0060053D"/>
    <w:rsid w:val="00601408"/>
    <w:rsid w:val="00606C8F"/>
    <w:rsid w:val="00610D3F"/>
    <w:rsid w:val="006153F8"/>
    <w:rsid w:val="00617B84"/>
    <w:rsid w:val="00620728"/>
    <w:rsid w:val="00626BD6"/>
    <w:rsid w:val="0063198C"/>
    <w:rsid w:val="0063202E"/>
    <w:rsid w:val="006334E7"/>
    <w:rsid w:val="00635205"/>
    <w:rsid w:val="006355C2"/>
    <w:rsid w:val="00637149"/>
    <w:rsid w:val="00640245"/>
    <w:rsid w:val="006474D2"/>
    <w:rsid w:val="006526B7"/>
    <w:rsid w:val="006528E7"/>
    <w:rsid w:val="0066512C"/>
    <w:rsid w:val="0066533C"/>
    <w:rsid w:val="006726C0"/>
    <w:rsid w:val="00677E52"/>
    <w:rsid w:val="0068590D"/>
    <w:rsid w:val="00685CC1"/>
    <w:rsid w:val="00687599"/>
    <w:rsid w:val="0069340F"/>
    <w:rsid w:val="00695DF0"/>
    <w:rsid w:val="006A1A90"/>
    <w:rsid w:val="006B14A2"/>
    <w:rsid w:val="006B6D32"/>
    <w:rsid w:val="006B7630"/>
    <w:rsid w:val="006C4007"/>
    <w:rsid w:val="006C4F4C"/>
    <w:rsid w:val="006C6718"/>
    <w:rsid w:val="006D0B17"/>
    <w:rsid w:val="006D102D"/>
    <w:rsid w:val="006D6EC8"/>
    <w:rsid w:val="006D7836"/>
    <w:rsid w:val="006E16C9"/>
    <w:rsid w:val="006E3BE1"/>
    <w:rsid w:val="006E6313"/>
    <w:rsid w:val="006E6AEF"/>
    <w:rsid w:val="006E7061"/>
    <w:rsid w:val="006F03CB"/>
    <w:rsid w:val="006F3E20"/>
    <w:rsid w:val="006F4C35"/>
    <w:rsid w:val="006F585B"/>
    <w:rsid w:val="00704022"/>
    <w:rsid w:val="00707385"/>
    <w:rsid w:val="007105B6"/>
    <w:rsid w:val="007118CE"/>
    <w:rsid w:val="0071448D"/>
    <w:rsid w:val="00717AF6"/>
    <w:rsid w:val="00725607"/>
    <w:rsid w:val="00726DC9"/>
    <w:rsid w:val="00730116"/>
    <w:rsid w:val="00731011"/>
    <w:rsid w:val="00732D83"/>
    <w:rsid w:val="00734070"/>
    <w:rsid w:val="0073497B"/>
    <w:rsid w:val="00735F2F"/>
    <w:rsid w:val="00743F08"/>
    <w:rsid w:val="00747C52"/>
    <w:rsid w:val="007511E3"/>
    <w:rsid w:val="0076471E"/>
    <w:rsid w:val="007762CE"/>
    <w:rsid w:val="00780B07"/>
    <w:rsid w:val="0078765B"/>
    <w:rsid w:val="00795A90"/>
    <w:rsid w:val="007A3B28"/>
    <w:rsid w:val="007A4F6D"/>
    <w:rsid w:val="007A6F84"/>
    <w:rsid w:val="007B3C17"/>
    <w:rsid w:val="007B7DF5"/>
    <w:rsid w:val="007B7E86"/>
    <w:rsid w:val="007C28A6"/>
    <w:rsid w:val="007C4661"/>
    <w:rsid w:val="007D2F68"/>
    <w:rsid w:val="007D3D44"/>
    <w:rsid w:val="007D560A"/>
    <w:rsid w:val="007D5CC0"/>
    <w:rsid w:val="007D6665"/>
    <w:rsid w:val="007D6692"/>
    <w:rsid w:val="007E2B66"/>
    <w:rsid w:val="007F0132"/>
    <w:rsid w:val="007F02D1"/>
    <w:rsid w:val="007F08E0"/>
    <w:rsid w:val="00803AB6"/>
    <w:rsid w:val="0080468A"/>
    <w:rsid w:val="00806336"/>
    <w:rsid w:val="0081237C"/>
    <w:rsid w:val="0081741F"/>
    <w:rsid w:val="008218D6"/>
    <w:rsid w:val="008252BD"/>
    <w:rsid w:val="008270C5"/>
    <w:rsid w:val="00827186"/>
    <w:rsid w:val="00827902"/>
    <w:rsid w:val="008317D2"/>
    <w:rsid w:val="00831E38"/>
    <w:rsid w:val="00833C82"/>
    <w:rsid w:val="00837564"/>
    <w:rsid w:val="0084040A"/>
    <w:rsid w:val="008418C4"/>
    <w:rsid w:val="0084365C"/>
    <w:rsid w:val="0084490C"/>
    <w:rsid w:val="00845C99"/>
    <w:rsid w:val="0084691A"/>
    <w:rsid w:val="00847274"/>
    <w:rsid w:val="008576D9"/>
    <w:rsid w:val="008626C1"/>
    <w:rsid w:val="00863446"/>
    <w:rsid w:val="00870DE1"/>
    <w:rsid w:val="00882D5B"/>
    <w:rsid w:val="00884402"/>
    <w:rsid w:val="00886A98"/>
    <w:rsid w:val="00890C6C"/>
    <w:rsid w:val="008A1ABB"/>
    <w:rsid w:val="008A2EDD"/>
    <w:rsid w:val="008A5256"/>
    <w:rsid w:val="008B11CB"/>
    <w:rsid w:val="008B2164"/>
    <w:rsid w:val="008B31E9"/>
    <w:rsid w:val="008B43F7"/>
    <w:rsid w:val="008B693D"/>
    <w:rsid w:val="008B6CC8"/>
    <w:rsid w:val="008B7945"/>
    <w:rsid w:val="008B7EA3"/>
    <w:rsid w:val="008C34DF"/>
    <w:rsid w:val="008C4E78"/>
    <w:rsid w:val="008C6BD0"/>
    <w:rsid w:val="008C71D6"/>
    <w:rsid w:val="008D2C8F"/>
    <w:rsid w:val="008D41B3"/>
    <w:rsid w:val="008D70D4"/>
    <w:rsid w:val="008D743B"/>
    <w:rsid w:val="008E0755"/>
    <w:rsid w:val="008F1A99"/>
    <w:rsid w:val="008F1BDB"/>
    <w:rsid w:val="008F2F12"/>
    <w:rsid w:val="00900305"/>
    <w:rsid w:val="0090326A"/>
    <w:rsid w:val="00904477"/>
    <w:rsid w:val="00904A01"/>
    <w:rsid w:val="00912D2E"/>
    <w:rsid w:val="00913359"/>
    <w:rsid w:val="00917252"/>
    <w:rsid w:val="00924661"/>
    <w:rsid w:val="00924F2A"/>
    <w:rsid w:val="00924F8C"/>
    <w:rsid w:val="009250C7"/>
    <w:rsid w:val="0092512C"/>
    <w:rsid w:val="009258A4"/>
    <w:rsid w:val="0093087E"/>
    <w:rsid w:val="00935039"/>
    <w:rsid w:val="00936FCD"/>
    <w:rsid w:val="009444BB"/>
    <w:rsid w:val="0094494F"/>
    <w:rsid w:val="009474C6"/>
    <w:rsid w:val="0095178C"/>
    <w:rsid w:val="00955E76"/>
    <w:rsid w:val="00955FD6"/>
    <w:rsid w:val="009737D8"/>
    <w:rsid w:val="00973C01"/>
    <w:rsid w:val="00977FBC"/>
    <w:rsid w:val="00980669"/>
    <w:rsid w:val="00984C16"/>
    <w:rsid w:val="00984CCE"/>
    <w:rsid w:val="00991A94"/>
    <w:rsid w:val="009944B4"/>
    <w:rsid w:val="0099465A"/>
    <w:rsid w:val="009959AC"/>
    <w:rsid w:val="009A0DF7"/>
    <w:rsid w:val="009A1232"/>
    <w:rsid w:val="009A3761"/>
    <w:rsid w:val="009B33B3"/>
    <w:rsid w:val="009B4723"/>
    <w:rsid w:val="009B53B3"/>
    <w:rsid w:val="009B61CB"/>
    <w:rsid w:val="009D06CE"/>
    <w:rsid w:val="009D4F29"/>
    <w:rsid w:val="009D5BA9"/>
    <w:rsid w:val="009E3A54"/>
    <w:rsid w:val="009E4C36"/>
    <w:rsid w:val="009E74B1"/>
    <w:rsid w:val="009F26D4"/>
    <w:rsid w:val="009F69B1"/>
    <w:rsid w:val="009F69D8"/>
    <w:rsid w:val="00A02D53"/>
    <w:rsid w:val="00A031AB"/>
    <w:rsid w:val="00A03725"/>
    <w:rsid w:val="00A05142"/>
    <w:rsid w:val="00A1354F"/>
    <w:rsid w:val="00A13D82"/>
    <w:rsid w:val="00A15FE0"/>
    <w:rsid w:val="00A216ED"/>
    <w:rsid w:val="00A315AC"/>
    <w:rsid w:val="00A35407"/>
    <w:rsid w:val="00A370C2"/>
    <w:rsid w:val="00A4018F"/>
    <w:rsid w:val="00A436E7"/>
    <w:rsid w:val="00A4517C"/>
    <w:rsid w:val="00A51D4D"/>
    <w:rsid w:val="00A522AD"/>
    <w:rsid w:val="00A54887"/>
    <w:rsid w:val="00A578EB"/>
    <w:rsid w:val="00A57DDD"/>
    <w:rsid w:val="00A6170A"/>
    <w:rsid w:val="00A64359"/>
    <w:rsid w:val="00A67DE5"/>
    <w:rsid w:val="00A72467"/>
    <w:rsid w:val="00A736A2"/>
    <w:rsid w:val="00A77D60"/>
    <w:rsid w:val="00A80257"/>
    <w:rsid w:val="00A820FC"/>
    <w:rsid w:val="00A85BE0"/>
    <w:rsid w:val="00A90F4C"/>
    <w:rsid w:val="00A92B31"/>
    <w:rsid w:val="00A938F4"/>
    <w:rsid w:val="00A94484"/>
    <w:rsid w:val="00A977FD"/>
    <w:rsid w:val="00AA06F9"/>
    <w:rsid w:val="00AA2C06"/>
    <w:rsid w:val="00AA7C05"/>
    <w:rsid w:val="00AB0F07"/>
    <w:rsid w:val="00AC4D96"/>
    <w:rsid w:val="00AC52FA"/>
    <w:rsid w:val="00AD0798"/>
    <w:rsid w:val="00AD50B9"/>
    <w:rsid w:val="00AD6B17"/>
    <w:rsid w:val="00AD7D2F"/>
    <w:rsid w:val="00AE31CD"/>
    <w:rsid w:val="00AE3FED"/>
    <w:rsid w:val="00AE45E0"/>
    <w:rsid w:val="00AE4933"/>
    <w:rsid w:val="00AE6FB4"/>
    <w:rsid w:val="00AF025F"/>
    <w:rsid w:val="00AF7605"/>
    <w:rsid w:val="00B0350D"/>
    <w:rsid w:val="00B06FC2"/>
    <w:rsid w:val="00B175CE"/>
    <w:rsid w:val="00B1766A"/>
    <w:rsid w:val="00B20AC8"/>
    <w:rsid w:val="00B22073"/>
    <w:rsid w:val="00B24854"/>
    <w:rsid w:val="00B27D5F"/>
    <w:rsid w:val="00B357D9"/>
    <w:rsid w:val="00B41697"/>
    <w:rsid w:val="00B452F9"/>
    <w:rsid w:val="00B45D04"/>
    <w:rsid w:val="00B46AAD"/>
    <w:rsid w:val="00B561A3"/>
    <w:rsid w:val="00B60B6A"/>
    <w:rsid w:val="00B6723C"/>
    <w:rsid w:val="00B716AD"/>
    <w:rsid w:val="00B72444"/>
    <w:rsid w:val="00B760E5"/>
    <w:rsid w:val="00B80C9E"/>
    <w:rsid w:val="00B959F2"/>
    <w:rsid w:val="00B95AAB"/>
    <w:rsid w:val="00B96034"/>
    <w:rsid w:val="00B97746"/>
    <w:rsid w:val="00BA1E35"/>
    <w:rsid w:val="00BA356D"/>
    <w:rsid w:val="00BA4A20"/>
    <w:rsid w:val="00BB54BD"/>
    <w:rsid w:val="00BB63F9"/>
    <w:rsid w:val="00BB7272"/>
    <w:rsid w:val="00BC3E03"/>
    <w:rsid w:val="00BC6158"/>
    <w:rsid w:val="00BD2307"/>
    <w:rsid w:val="00BD2901"/>
    <w:rsid w:val="00BD5644"/>
    <w:rsid w:val="00BD589B"/>
    <w:rsid w:val="00BD62CC"/>
    <w:rsid w:val="00BE4093"/>
    <w:rsid w:val="00BE73F7"/>
    <w:rsid w:val="00BF0521"/>
    <w:rsid w:val="00BF6113"/>
    <w:rsid w:val="00C021CE"/>
    <w:rsid w:val="00C05D86"/>
    <w:rsid w:val="00C071B2"/>
    <w:rsid w:val="00C10F97"/>
    <w:rsid w:val="00C1251F"/>
    <w:rsid w:val="00C15E6D"/>
    <w:rsid w:val="00C2633C"/>
    <w:rsid w:val="00C30185"/>
    <w:rsid w:val="00C337E4"/>
    <w:rsid w:val="00C35279"/>
    <w:rsid w:val="00C37115"/>
    <w:rsid w:val="00C37717"/>
    <w:rsid w:val="00C37A13"/>
    <w:rsid w:val="00C402B1"/>
    <w:rsid w:val="00C41B37"/>
    <w:rsid w:val="00C53438"/>
    <w:rsid w:val="00C631CD"/>
    <w:rsid w:val="00C64E13"/>
    <w:rsid w:val="00C657E6"/>
    <w:rsid w:val="00C66572"/>
    <w:rsid w:val="00C6722E"/>
    <w:rsid w:val="00C67735"/>
    <w:rsid w:val="00C76BC8"/>
    <w:rsid w:val="00C808CD"/>
    <w:rsid w:val="00C81737"/>
    <w:rsid w:val="00C847CF"/>
    <w:rsid w:val="00C93435"/>
    <w:rsid w:val="00CA0FF6"/>
    <w:rsid w:val="00CA1456"/>
    <w:rsid w:val="00CA7BF4"/>
    <w:rsid w:val="00CC1421"/>
    <w:rsid w:val="00CC43C2"/>
    <w:rsid w:val="00CC75FA"/>
    <w:rsid w:val="00CD0298"/>
    <w:rsid w:val="00CD18CC"/>
    <w:rsid w:val="00CD2449"/>
    <w:rsid w:val="00CE0C7E"/>
    <w:rsid w:val="00CE1D6A"/>
    <w:rsid w:val="00CE1D8F"/>
    <w:rsid w:val="00CE6077"/>
    <w:rsid w:val="00CE6446"/>
    <w:rsid w:val="00CF0C84"/>
    <w:rsid w:val="00CF45BE"/>
    <w:rsid w:val="00CF5E7C"/>
    <w:rsid w:val="00CF6BF4"/>
    <w:rsid w:val="00D007B7"/>
    <w:rsid w:val="00D04C6B"/>
    <w:rsid w:val="00D13256"/>
    <w:rsid w:val="00D13829"/>
    <w:rsid w:val="00D153CF"/>
    <w:rsid w:val="00D2643F"/>
    <w:rsid w:val="00D27BC5"/>
    <w:rsid w:val="00D34CDD"/>
    <w:rsid w:val="00D36AB4"/>
    <w:rsid w:val="00D36AC2"/>
    <w:rsid w:val="00D45DE3"/>
    <w:rsid w:val="00D46895"/>
    <w:rsid w:val="00D47F71"/>
    <w:rsid w:val="00D53364"/>
    <w:rsid w:val="00D605E4"/>
    <w:rsid w:val="00D615EB"/>
    <w:rsid w:val="00D7205C"/>
    <w:rsid w:val="00D72934"/>
    <w:rsid w:val="00D748CA"/>
    <w:rsid w:val="00D75DE5"/>
    <w:rsid w:val="00D83950"/>
    <w:rsid w:val="00D84226"/>
    <w:rsid w:val="00D862E1"/>
    <w:rsid w:val="00D87E6D"/>
    <w:rsid w:val="00DA4E61"/>
    <w:rsid w:val="00DA5DB0"/>
    <w:rsid w:val="00DA691D"/>
    <w:rsid w:val="00DB0327"/>
    <w:rsid w:val="00DB03B8"/>
    <w:rsid w:val="00DB7DA1"/>
    <w:rsid w:val="00DC07A9"/>
    <w:rsid w:val="00DC2EEA"/>
    <w:rsid w:val="00DC3A4A"/>
    <w:rsid w:val="00DD3585"/>
    <w:rsid w:val="00DE602A"/>
    <w:rsid w:val="00DF3C90"/>
    <w:rsid w:val="00DF44F9"/>
    <w:rsid w:val="00DF5954"/>
    <w:rsid w:val="00DF69EE"/>
    <w:rsid w:val="00E023F5"/>
    <w:rsid w:val="00E06F2F"/>
    <w:rsid w:val="00E07928"/>
    <w:rsid w:val="00E1602F"/>
    <w:rsid w:val="00E1654D"/>
    <w:rsid w:val="00E2611B"/>
    <w:rsid w:val="00E26F1D"/>
    <w:rsid w:val="00E3404B"/>
    <w:rsid w:val="00E36DDE"/>
    <w:rsid w:val="00E40DE1"/>
    <w:rsid w:val="00E4162B"/>
    <w:rsid w:val="00E47B9D"/>
    <w:rsid w:val="00E47D72"/>
    <w:rsid w:val="00E5073B"/>
    <w:rsid w:val="00E5496C"/>
    <w:rsid w:val="00E54A5A"/>
    <w:rsid w:val="00E55442"/>
    <w:rsid w:val="00E55C12"/>
    <w:rsid w:val="00E56181"/>
    <w:rsid w:val="00E67C8B"/>
    <w:rsid w:val="00E74616"/>
    <w:rsid w:val="00E74D9A"/>
    <w:rsid w:val="00E818EA"/>
    <w:rsid w:val="00E87C9B"/>
    <w:rsid w:val="00E87CFA"/>
    <w:rsid w:val="00E93944"/>
    <w:rsid w:val="00E945E6"/>
    <w:rsid w:val="00E9664D"/>
    <w:rsid w:val="00E9720D"/>
    <w:rsid w:val="00EA5CFA"/>
    <w:rsid w:val="00EA76B4"/>
    <w:rsid w:val="00EA7D67"/>
    <w:rsid w:val="00EB1B57"/>
    <w:rsid w:val="00EB38C6"/>
    <w:rsid w:val="00EC5A80"/>
    <w:rsid w:val="00EC62E6"/>
    <w:rsid w:val="00EE706B"/>
    <w:rsid w:val="00EE7F0D"/>
    <w:rsid w:val="00EF1460"/>
    <w:rsid w:val="00EF45F7"/>
    <w:rsid w:val="00EF4D51"/>
    <w:rsid w:val="00F0129C"/>
    <w:rsid w:val="00F01563"/>
    <w:rsid w:val="00F0254F"/>
    <w:rsid w:val="00F04BFE"/>
    <w:rsid w:val="00F071CB"/>
    <w:rsid w:val="00F1167E"/>
    <w:rsid w:val="00F1229F"/>
    <w:rsid w:val="00F124AE"/>
    <w:rsid w:val="00F153DC"/>
    <w:rsid w:val="00F20147"/>
    <w:rsid w:val="00F209EB"/>
    <w:rsid w:val="00F21DBA"/>
    <w:rsid w:val="00F264EF"/>
    <w:rsid w:val="00F27F87"/>
    <w:rsid w:val="00F3212D"/>
    <w:rsid w:val="00F32DC2"/>
    <w:rsid w:val="00F40C25"/>
    <w:rsid w:val="00F43FF0"/>
    <w:rsid w:val="00F44735"/>
    <w:rsid w:val="00F44ADC"/>
    <w:rsid w:val="00F44C8B"/>
    <w:rsid w:val="00F46576"/>
    <w:rsid w:val="00F47A21"/>
    <w:rsid w:val="00F50B74"/>
    <w:rsid w:val="00F525F8"/>
    <w:rsid w:val="00F57BBB"/>
    <w:rsid w:val="00F64C8B"/>
    <w:rsid w:val="00F70989"/>
    <w:rsid w:val="00F747CC"/>
    <w:rsid w:val="00F81AD0"/>
    <w:rsid w:val="00F82BBB"/>
    <w:rsid w:val="00F83AF9"/>
    <w:rsid w:val="00F8434F"/>
    <w:rsid w:val="00F850F0"/>
    <w:rsid w:val="00F855FE"/>
    <w:rsid w:val="00F865F4"/>
    <w:rsid w:val="00F86B76"/>
    <w:rsid w:val="00F92C03"/>
    <w:rsid w:val="00F930C3"/>
    <w:rsid w:val="00F95F3C"/>
    <w:rsid w:val="00F96CD1"/>
    <w:rsid w:val="00FA1D9A"/>
    <w:rsid w:val="00FA275B"/>
    <w:rsid w:val="00FB15C4"/>
    <w:rsid w:val="00FC1747"/>
    <w:rsid w:val="00FC2FCA"/>
    <w:rsid w:val="00FC5532"/>
    <w:rsid w:val="00FC6631"/>
    <w:rsid w:val="00FC7E65"/>
    <w:rsid w:val="00FD3E76"/>
    <w:rsid w:val="00FD6E29"/>
    <w:rsid w:val="00FD6FEF"/>
    <w:rsid w:val="00FE13D4"/>
    <w:rsid w:val="00FE2CF2"/>
    <w:rsid w:val="00FE3BCB"/>
    <w:rsid w:val="00FE7C05"/>
    <w:rsid w:val="00FF14BA"/>
    <w:rsid w:val="00FF253C"/>
    <w:rsid w:val="00FF4832"/>
    <w:rsid w:val="00FF6D34"/>
    <w:rsid w:val="00FF726D"/>
    <w:rsid w:val="01441BB9"/>
    <w:rsid w:val="04141B96"/>
    <w:rsid w:val="098E39B9"/>
    <w:rsid w:val="09E57B97"/>
    <w:rsid w:val="0ADA152D"/>
    <w:rsid w:val="0D9E1C0C"/>
    <w:rsid w:val="0E4B143D"/>
    <w:rsid w:val="0EF02E72"/>
    <w:rsid w:val="0F9C0FEB"/>
    <w:rsid w:val="10814158"/>
    <w:rsid w:val="10F875E7"/>
    <w:rsid w:val="116B540D"/>
    <w:rsid w:val="12844DC1"/>
    <w:rsid w:val="15EC6C9A"/>
    <w:rsid w:val="1823357E"/>
    <w:rsid w:val="187036B2"/>
    <w:rsid w:val="1B1A3889"/>
    <w:rsid w:val="1C45116C"/>
    <w:rsid w:val="1F94354A"/>
    <w:rsid w:val="20976B94"/>
    <w:rsid w:val="21460153"/>
    <w:rsid w:val="21DA3F9D"/>
    <w:rsid w:val="223D0F22"/>
    <w:rsid w:val="24743B37"/>
    <w:rsid w:val="25470B20"/>
    <w:rsid w:val="29483C47"/>
    <w:rsid w:val="2A8F3BCE"/>
    <w:rsid w:val="2CAF4831"/>
    <w:rsid w:val="2F1D0509"/>
    <w:rsid w:val="2F595C98"/>
    <w:rsid w:val="303743B7"/>
    <w:rsid w:val="30BB6EC9"/>
    <w:rsid w:val="315C55A5"/>
    <w:rsid w:val="31AA78D1"/>
    <w:rsid w:val="3D876672"/>
    <w:rsid w:val="3E441796"/>
    <w:rsid w:val="3E792B8A"/>
    <w:rsid w:val="436D3360"/>
    <w:rsid w:val="45361007"/>
    <w:rsid w:val="48C15F81"/>
    <w:rsid w:val="494A68AB"/>
    <w:rsid w:val="4AF73C7C"/>
    <w:rsid w:val="4BE95B87"/>
    <w:rsid w:val="4D03459A"/>
    <w:rsid w:val="4E2540DD"/>
    <w:rsid w:val="4EEE2310"/>
    <w:rsid w:val="4F0928DF"/>
    <w:rsid w:val="50DA41AC"/>
    <w:rsid w:val="53387659"/>
    <w:rsid w:val="55104550"/>
    <w:rsid w:val="57F3068C"/>
    <w:rsid w:val="58D20590"/>
    <w:rsid w:val="5D410D65"/>
    <w:rsid w:val="5E660CC1"/>
    <w:rsid w:val="60D24AF7"/>
    <w:rsid w:val="62A01732"/>
    <w:rsid w:val="661D5A78"/>
    <w:rsid w:val="663B1AE6"/>
    <w:rsid w:val="69352D01"/>
    <w:rsid w:val="6B300AA0"/>
    <w:rsid w:val="6E3D39F9"/>
    <w:rsid w:val="6FA81A09"/>
    <w:rsid w:val="703154C9"/>
    <w:rsid w:val="70350492"/>
    <w:rsid w:val="718B0520"/>
    <w:rsid w:val="71D44901"/>
    <w:rsid w:val="720924FA"/>
    <w:rsid w:val="73007C27"/>
    <w:rsid w:val="742129A2"/>
    <w:rsid w:val="74B13A97"/>
    <w:rsid w:val="74DE6D70"/>
    <w:rsid w:val="74FC652A"/>
    <w:rsid w:val="75435570"/>
    <w:rsid w:val="76171091"/>
    <w:rsid w:val="77A7157C"/>
    <w:rsid w:val="7803568A"/>
    <w:rsid w:val="7AFE135D"/>
    <w:rsid w:val="7B4A10E6"/>
    <w:rsid w:val="7C683D87"/>
    <w:rsid w:val="7CEF1D89"/>
    <w:rsid w:val="7E494DA3"/>
    <w:rsid w:val="7FC43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unhideWhenUsed/>
    <w:qFormat/>
    <w:uiPriority w:val="39"/>
    <w:pPr>
      <w:widowControl/>
      <w:spacing w:after="100" w:line="276" w:lineRule="auto"/>
      <w:ind w:left="220"/>
      <w:jc w:val="left"/>
    </w:pPr>
    <w:rPr>
      <w:rFonts w:ascii="Calibri" w:hAnsi="Calibri"/>
      <w:kern w:val="0"/>
      <w:sz w:val="22"/>
    </w:rPr>
  </w:style>
  <w:style w:type="paragraph" w:styleId="5">
    <w:name w:val="Body Text"/>
    <w:basedOn w:val="1"/>
    <w:unhideWhenUsed/>
    <w:qFormat/>
    <w:uiPriority w:val="1"/>
    <w:pPr>
      <w:spacing w:before="41"/>
      <w:ind w:left="121"/>
      <w:jc w:val="left"/>
    </w:pPr>
    <w:rPr>
      <w:rFonts w:ascii="仿宋" w:hAnsi="仿宋" w:eastAsia="仿宋"/>
      <w:kern w:val="0"/>
      <w:sz w:val="28"/>
      <w:szCs w:val="28"/>
      <w:lang w:eastAsia="en-US"/>
    </w:rPr>
  </w:style>
  <w:style w:type="paragraph" w:styleId="6">
    <w:name w:val="Body Text Indent"/>
    <w:basedOn w:val="1"/>
    <w:qFormat/>
    <w:uiPriority w:val="0"/>
    <w:pPr>
      <w:spacing w:line="380" w:lineRule="exact"/>
      <w:ind w:firstLine="480" w:firstLineChars="200"/>
    </w:pPr>
    <w:rPr>
      <w:rFonts w:ascii="宋体" w:hAnsi="宋体"/>
      <w:sz w:val="24"/>
    </w:rPr>
  </w:style>
  <w:style w:type="paragraph" w:styleId="7">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8">
    <w:name w:val="Plain Text"/>
    <w:basedOn w:val="1"/>
    <w:qFormat/>
    <w:uiPriority w:val="0"/>
    <w:rPr>
      <w:rFonts w:ascii="宋体" w:hAnsi="Courier New" w:cs="Courier New"/>
      <w:szCs w:val="21"/>
    </w:rPr>
  </w:style>
  <w:style w:type="paragraph" w:styleId="9">
    <w:name w:val="Date"/>
    <w:basedOn w:val="1"/>
    <w:next w:val="1"/>
    <w:qFormat/>
    <w:uiPriority w:val="0"/>
    <w:pPr>
      <w:ind w:left="100" w:leftChars="2500"/>
    </w:pPr>
    <w:rPr>
      <w:rFonts w:ascii="宋体" w:hAnsi="宋体"/>
      <w:sz w:val="24"/>
    </w:rPr>
  </w:style>
  <w:style w:type="paragraph" w:styleId="10">
    <w:name w:val="Balloon Text"/>
    <w:basedOn w:val="1"/>
    <w:link w:val="25"/>
    <w:qFormat/>
    <w:uiPriority w:val="0"/>
    <w:rPr>
      <w:sz w:val="18"/>
      <w:szCs w:val="18"/>
    </w:rPr>
  </w:style>
  <w:style w:type="paragraph" w:styleId="11">
    <w:name w:val="footer"/>
    <w:basedOn w:val="1"/>
    <w:link w:val="24"/>
    <w:qFormat/>
    <w:uiPriority w:val="99"/>
    <w:pPr>
      <w:tabs>
        <w:tab w:val="center" w:pos="4153"/>
        <w:tab w:val="right" w:pos="8306"/>
      </w:tabs>
      <w:snapToGrid w:val="0"/>
      <w:jc w:val="left"/>
    </w:pPr>
    <w:rPr>
      <w:sz w:val="18"/>
      <w:szCs w:val="18"/>
    </w:rPr>
  </w:style>
  <w:style w:type="paragraph" w:styleId="12">
    <w:name w:val="header"/>
    <w:basedOn w:val="1"/>
    <w:link w:val="26"/>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footnote text"/>
    <w:basedOn w:val="1"/>
    <w:link w:val="27"/>
    <w:qFormat/>
    <w:uiPriority w:val="0"/>
    <w:pPr>
      <w:snapToGrid w:val="0"/>
      <w:jc w:val="left"/>
    </w:pPr>
    <w:rPr>
      <w:sz w:val="18"/>
      <w:szCs w:val="18"/>
    </w:rPr>
  </w:style>
  <w:style w:type="paragraph" w:styleId="15">
    <w:name w:val="Normal (Web)"/>
    <w:basedOn w:val="1"/>
    <w:qFormat/>
    <w:uiPriority w:val="0"/>
    <w:pPr>
      <w:spacing w:beforeAutospacing="1" w:afterAutospacing="1"/>
      <w:jc w:val="left"/>
    </w:pPr>
    <w:rPr>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basedOn w:val="18"/>
    <w:qFormat/>
    <w:uiPriority w:val="0"/>
  </w:style>
  <w:style w:type="character" w:styleId="20">
    <w:name w:val="Hyperlink"/>
    <w:basedOn w:val="18"/>
    <w:unhideWhenUsed/>
    <w:qFormat/>
    <w:uiPriority w:val="99"/>
    <w:rPr>
      <w:color w:val="0000FF" w:themeColor="hyperlink"/>
      <w:u w:val="single"/>
    </w:rPr>
  </w:style>
  <w:style w:type="character" w:styleId="21">
    <w:name w:val="footnote reference"/>
    <w:basedOn w:val="18"/>
    <w:qFormat/>
    <w:uiPriority w:val="0"/>
    <w:rPr>
      <w:vertAlign w:val="superscript"/>
    </w:rPr>
  </w:style>
  <w:style w:type="character" w:customStyle="1" w:styleId="22">
    <w:name w:val="无间隔 Char"/>
    <w:basedOn w:val="18"/>
    <w:link w:val="23"/>
    <w:qFormat/>
    <w:uiPriority w:val="1"/>
    <w:rPr>
      <w:rFonts w:ascii="Calibri" w:hAnsi="Calibri"/>
      <w:sz w:val="22"/>
      <w:szCs w:val="22"/>
      <w:lang w:val="en-US" w:eastAsia="zh-CN" w:bidi="ar-SA"/>
    </w:rPr>
  </w:style>
  <w:style w:type="paragraph" w:styleId="23">
    <w:name w:val="No Spacing"/>
    <w:link w:val="22"/>
    <w:qFormat/>
    <w:uiPriority w:val="1"/>
    <w:rPr>
      <w:rFonts w:ascii="Calibri" w:hAnsi="Calibri" w:eastAsia="宋体" w:cs="Times New Roman"/>
      <w:sz w:val="22"/>
      <w:szCs w:val="22"/>
      <w:lang w:val="en-US" w:eastAsia="zh-CN" w:bidi="ar-SA"/>
    </w:rPr>
  </w:style>
  <w:style w:type="character" w:customStyle="1" w:styleId="24">
    <w:name w:val="页脚 Char"/>
    <w:basedOn w:val="18"/>
    <w:link w:val="11"/>
    <w:qFormat/>
    <w:uiPriority w:val="99"/>
    <w:rPr>
      <w:kern w:val="2"/>
      <w:sz w:val="18"/>
      <w:szCs w:val="18"/>
    </w:rPr>
  </w:style>
  <w:style w:type="character" w:customStyle="1" w:styleId="25">
    <w:name w:val="批注框文本 Char"/>
    <w:basedOn w:val="18"/>
    <w:link w:val="10"/>
    <w:qFormat/>
    <w:uiPriority w:val="0"/>
    <w:rPr>
      <w:kern w:val="2"/>
      <w:sz w:val="18"/>
      <w:szCs w:val="18"/>
    </w:rPr>
  </w:style>
  <w:style w:type="character" w:customStyle="1" w:styleId="26">
    <w:name w:val="页眉 Char"/>
    <w:basedOn w:val="18"/>
    <w:link w:val="12"/>
    <w:qFormat/>
    <w:uiPriority w:val="99"/>
    <w:rPr>
      <w:kern w:val="2"/>
      <w:sz w:val="18"/>
      <w:szCs w:val="18"/>
    </w:rPr>
  </w:style>
  <w:style w:type="character" w:customStyle="1" w:styleId="27">
    <w:name w:val="脚注文本 Char"/>
    <w:basedOn w:val="18"/>
    <w:link w:val="14"/>
    <w:qFormat/>
    <w:uiPriority w:val="0"/>
    <w:rPr>
      <w:kern w:val="2"/>
      <w:sz w:val="18"/>
      <w:szCs w:val="18"/>
    </w:rPr>
  </w:style>
  <w:style w:type="paragraph" w:customStyle="1" w:styleId="28">
    <w:name w:val="Other|2"/>
    <w:basedOn w:val="1"/>
    <w:qFormat/>
    <w:uiPriority w:val="0"/>
    <w:pPr>
      <w:jc w:val="center"/>
    </w:pPr>
    <w:rPr>
      <w:rFonts w:ascii="宋体" w:hAnsi="宋体" w:cs="宋体"/>
      <w:sz w:val="20"/>
      <w:lang w:val="zh-TW" w:eastAsia="zh-TW" w:bidi="zh-TW"/>
    </w:rPr>
  </w:style>
  <w:style w:type="paragraph" w:customStyle="1" w:styleId="29">
    <w:name w:val="Other|1"/>
    <w:basedOn w:val="1"/>
    <w:qFormat/>
    <w:uiPriority w:val="0"/>
    <w:pPr>
      <w:spacing w:line="401" w:lineRule="auto"/>
      <w:ind w:firstLine="400"/>
    </w:pPr>
    <w:rPr>
      <w:rFonts w:ascii="宋体" w:hAnsi="宋体" w:cs="宋体"/>
      <w:sz w:val="30"/>
      <w:szCs w:val="30"/>
      <w:lang w:val="zh-TW" w:eastAsia="zh-TW" w:bidi="zh-TW"/>
    </w:rPr>
  </w:style>
  <w:style w:type="paragraph" w:customStyle="1" w:styleId="30">
    <w:name w:val="Header or footer|2"/>
    <w:basedOn w:val="1"/>
    <w:qFormat/>
    <w:uiPriority w:val="0"/>
    <w:rPr>
      <w:sz w:val="20"/>
      <w:lang w:val="zh-TW" w:eastAsia="zh-TW" w:bidi="zh-TW"/>
    </w:rPr>
  </w:style>
  <w:style w:type="paragraph" w:customStyle="1" w:styleId="31">
    <w:name w:val="TOC Heading"/>
    <w:basedOn w:val="3"/>
    <w:next w:val="1"/>
    <w:semiHidden/>
    <w:unhideWhenUsed/>
    <w:qFormat/>
    <w:uiPriority w:val="39"/>
    <w:pPr>
      <w:keepNext/>
      <w:keepLines/>
      <w:widowControl/>
      <w:spacing w:before="480" w:beforeAutospacing="0" w:afterAutospacing="0" w:line="276" w:lineRule="auto"/>
      <w:outlineLvl w:val="9"/>
    </w:pPr>
    <w:rPr>
      <w:rFonts w:hint="default" w:asciiTheme="majorHAnsi" w:hAnsiTheme="majorHAnsi" w:eastAsiaTheme="majorEastAsia" w:cstheme="majorBidi"/>
      <w:bCs/>
      <w:color w:val="366091" w:themeColor="accent1" w:themeShade="BF"/>
      <w:kern w:val="0"/>
      <w:sz w:val="28"/>
      <w:szCs w:val="28"/>
    </w:rPr>
  </w:style>
  <w:style w:type="paragraph" w:customStyle="1" w:styleId="32">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108" textRotate="1"/>
    <customShpInfo spid="_x0000_s4106"/>
    <customShpInfo spid="_x0000_s4109"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73DF80-32D0-48B6-BDC2-042DA4015297}">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14</Pages>
  <Words>5582</Words>
  <Characters>5939</Characters>
  <Lines>90</Lines>
  <Paragraphs>25</Paragraphs>
  <TotalTime>17</TotalTime>
  <ScaleCrop>false</ScaleCrop>
  <LinksUpToDate>false</LinksUpToDate>
  <CharactersWithSpaces>6148</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2014-04-21T00:28:00Z</dcterms:created>
  <dc:creator>中兴科技</dc:creator>
  <cp:lastModifiedBy>Administrator</cp:lastModifiedBy>
  <cp:lastPrinted>2022-11-05T09:22:00Z</cp:lastPrinted>
  <dcterms:modified xsi:type="dcterms:W3CDTF">2022-11-07T03:10:47Z</dcterms:modified>
  <dc:title>审 计 报 告</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4A2DA667480C4F48BEB562C0F7E0314E</vt:lpwstr>
  </property>
</Properties>
</file>