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rPr>
          <w:rFonts w:ascii="宋体" w:hAnsi="宋体"/>
          <w:sz w:val="36"/>
          <w:szCs w:val="36"/>
        </w:rPr>
      </w:pPr>
    </w:p>
    <w:p>
      <w:pPr>
        <w:jc w:val="center"/>
        <w:rPr>
          <w:rFonts w:ascii="宋体" w:hAnsi="宋体"/>
          <w:szCs w:val="21"/>
        </w:rPr>
      </w:pPr>
    </w:p>
    <w:p>
      <w:pPr>
        <w:spacing w:line="900" w:lineRule="exact"/>
        <w:jc w:val="center"/>
        <w:rPr>
          <w:rFonts w:hint="eastAsia" w:ascii="仿宋" w:hAnsi="仿宋" w:eastAsia="仿宋" w:cs="仿宋"/>
          <w:b/>
          <w:bCs/>
          <w:sz w:val="52"/>
          <w:szCs w:val="52"/>
        </w:rPr>
      </w:pPr>
      <w:r>
        <w:rPr>
          <w:rFonts w:hint="eastAsia" w:ascii="仿宋" w:hAnsi="仿宋" w:eastAsia="仿宋" w:cs="仿宋"/>
          <w:b/>
          <w:bCs/>
          <w:sz w:val="52"/>
          <w:szCs w:val="52"/>
        </w:rPr>
        <w:t>重点资金支出项目绩效评价报告</w:t>
      </w:r>
    </w:p>
    <w:p>
      <w:pPr>
        <w:spacing w:line="900" w:lineRule="exact"/>
        <w:jc w:val="center"/>
        <w:rPr>
          <w:rFonts w:ascii="方正小标宋_GBK" w:eastAsia="方正小标宋_GBK"/>
          <w:sz w:val="52"/>
          <w:szCs w:val="52"/>
        </w:rPr>
      </w:pPr>
    </w:p>
    <w:p>
      <w:pPr>
        <w:jc w:val="center"/>
        <w:rPr>
          <w:rFonts w:hint="eastAsia" w:ascii="仿宋" w:hAnsi="仿宋" w:eastAsia="仿宋" w:cs="仿宋"/>
          <w:sz w:val="32"/>
          <w:szCs w:val="32"/>
        </w:rPr>
      </w:pPr>
      <w:r>
        <w:rPr>
          <w:rFonts w:hint="eastAsia" w:ascii="仿宋" w:hAnsi="仿宋" w:eastAsia="仿宋" w:cs="仿宋"/>
          <w:sz w:val="32"/>
          <w:szCs w:val="32"/>
        </w:rPr>
        <w:t>（   202</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  年度）</w:t>
      </w:r>
    </w:p>
    <w:p>
      <w:pPr>
        <w:rPr>
          <w:rFonts w:hint="eastAsia" w:ascii="仿宋" w:hAnsi="仿宋" w:eastAsia="仿宋" w:cs="仿宋"/>
          <w:sz w:val="32"/>
          <w:szCs w:val="32"/>
        </w:rPr>
      </w:pPr>
    </w:p>
    <w:p>
      <w:pPr>
        <w:spacing w:line="900" w:lineRule="exact"/>
        <w:ind w:firstLine="1050" w:firstLineChars="350"/>
        <w:rPr>
          <w:rFonts w:ascii="宋体" w:hAnsi="宋体"/>
          <w:sz w:val="30"/>
          <w:szCs w:val="30"/>
        </w:rPr>
      </w:pPr>
    </w:p>
    <w:p>
      <w:pPr>
        <w:pStyle w:val="2"/>
      </w:pP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评价机构：</w:t>
      </w:r>
      <w:r>
        <w:rPr>
          <w:rFonts w:hint="eastAsia" w:ascii="仿宋" w:hAnsi="仿宋" w:eastAsia="仿宋" w:cs="仿宋"/>
          <w:sz w:val="32"/>
          <w:szCs w:val="32"/>
          <w:lang w:eastAsia="zh-CN"/>
        </w:rPr>
        <w:t>曲阳县财政局、</w:t>
      </w:r>
      <w:r>
        <w:rPr>
          <w:rFonts w:hint="eastAsia" w:ascii="仿宋" w:hAnsi="仿宋" w:eastAsia="仿宋" w:cs="仿宋"/>
          <w:sz w:val="32"/>
          <w:szCs w:val="32"/>
        </w:rPr>
        <w:t>河北中盛信达会计师事务所有限公司</w:t>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项目名称：</w:t>
      </w:r>
      <w:r>
        <w:rPr>
          <w:rFonts w:hint="eastAsia" w:ascii="仿宋" w:hAnsi="仿宋" w:eastAsia="仿宋" w:cs="仿宋"/>
          <w:sz w:val="32"/>
          <w:szCs w:val="32"/>
          <w:lang w:val="en-US" w:eastAsia="zh-CN"/>
        </w:rPr>
        <w:t>公交车运营补贴</w:t>
      </w:r>
      <w:r>
        <w:rPr>
          <w:rFonts w:hint="eastAsia" w:ascii="仿宋" w:hAnsi="仿宋" w:eastAsia="仿宋" w:cs="仿宋"/>
          <w:sz w:val="32"/>
          <w:szCs w:val="32"/>
        </w:rPr>
        <w:t>项目</w:t>
      </w:r>
    </w:p>
    <w:p>
      <w:pPr>
        <w:spacing w:line="900" w:lineRule="exact"/>
        <w:ind w:firstLine="1120" w:firstLineChars="350"/>
        <w:jc w:val="left"/>
        <w:rPr>
          <w:rFonts w:hint="default" w:ascii="仿宋" w:hAnsi="仿宋" w:eastAsia="仿宋" w:cs="仿宋"/>
          <w:sz w:val="32"/>
          <w:szCs w:val="32"/>
          <w:lang w:val="en-US" w:eastAsia="zh-CN"/>
        </w:rPr>
      </w:pPr>
      <w:r>
        <w:rPr>
          <w:rFonts w:hint="eastAsia" w:ascii="仿宋" w:hAnsi="仿宋" w:eastAsia="仿宋" w:cs="仿宋"/>
          <w:sz w:val="32"/>
          <w:szCs w:val="32"/>
        </w:rPr>
        <w:t>项目承担单位：</w:t>
      </w:r>
      <w:r>
        <w:rPr>
          <w:rFonts w:hint="eastAsia" w:ascii="仿宋" w:hAnsi="仿宋" w:eastAsia="仿宋" w:cs="仿宋"/>
          <w:sz w:val="32"/>
          <w:szCs w:val="32"/>
          <w:lang w:val="en-US" w:eastAsia="zh-CN"/>
        </w:rPr>
        <w:t>曲阳县交通运输局</w:t>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报 告 日 期：202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pPr>
        <w:spacing w:line="900" w:lineRule="exact"/>
        <w:ind w:firstLine="1120" w:firstLineChars="350"/>
        <w:jc w:val="left"/>
        <w:rPr>
          <w:rFonts w:hint="eastAsia" w:ascii="仿宋" w:hAnsi="仿宋" w:eastAsia="仿宋" w:cs="仿宋"/>
          <w:sz w:val="32"/>
          <w:szCs w:val="32"/>
        </w:rPr>
      </w:pPr>
    </w:p>
    <w:p>
      <w:pPr>
        <w:pStyle w:val="13"/>
        <w:spacing w:line="360" w:lineRule="exact"/>
        <w:ind w:firstLine="3240" w:firstLineChars="900"/>
        <w:rPr>
          <w:rFonts w:ascii="黑体" w:hAnsi="黑体" w:eastAsia="黑体" w:cs="黑体"/>
          <w:sz w:val="36"/>
          <w:szCs w:val="36"/>
        </w:rPr>
      </w:pPr>
    </w:p>
    <w:p/>
    <w:p>
      <w:pPr>
        <w:pStyle w:val="2"/>
      </w:pPr>
    </w:p>
    <w:p>
      <w:pPr>
        <w:sectPr>
          <w:headerReference r:id="rId4" w:type="first"/>
          <w:footerReference r:id="rId6" w:type="first"/>
          <w:headerReference r:id="rId3" w:type="default"/>
          <w:footerReference r:id="rId5" w:type="default"/>
          <w:pgSz w:w="11906" w:h="16838"/>
          <w:pgMar w:top="1077" w:right="1304" w:bottom="1077" w:left="1304" w:header="1134" w:footer="680" w:gutter="0"/>
          <w:pgBorders>
            <w:top w:val="none" w:sz="0" w:space="0"/>
            <w:left w:val="none" w:sz="0" w:space="0"/>
            <w:bottom w:val="none" w:sz="0" w:space="0"/>
            <w:right w:val="none" w:sz="0" w:space="0"/>
          </w:pgBorders>
          <w:pgNumType w:fmt="decimal" w:start="1"/>
          <w:cols w:space="720" w:num="1"/>
          <w:titlePg/>
          <w:docGrid w:type="lines" w:linePitch="312" w:charSpace="0"/>
        </w:sectPr>
      </w:pPr>
    </w:p>
    <w:p>
      <w:pPr>
        <w:pStyle w:val="2"/>
      </w:pPr>
    </w:p>
    <w:sdt>
      <w:sdtPr>
        <w:rPr>
          <w:rFonts w:ascii="宋体" w:hAnsi="宋体" w:eastAsia="宋体" w:cs="Times New Roman"/>
          <w:kern w:val="2"/>
          <w:sz w:val="21"/>
          <w:lang w:val="en-US" w:eastAsia="zh-CN" w:bidi="ar-SA"/>
        </w:rPr>
        <w:id w:val="147465289"/>
        <w15:color w:val="DBDBDB"/>
        <w:docPartObj>
          <w:docPartGallery w:val="Table of Contents"/>
          <w:docPartUnique/>
        </w:docPartObj>
      </w:sdtPr>
      <w:sdtEndPr>
        <w:rPr>
          <w:rFonts w:hint="eastAsia" w:ascii="仿宋" w:hAnsi="仿宋" w:eastAsia="仿宋" w:cs="仿宋"/>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b/>
              <w:bCs/>
              <w:sz w:val="30"/>
              <w:szCs w:val="30"/>
            </w:rPr>
          </w:pPr>
          <w:r>
            <w:rPr>
              <w:rFonts w:ascii="宋体" w:hAnsi="宋体" w:eastAsia="宋体"/>
              <w:b/>
              <w:bCs/>
              <w:sz w:val="30"/>
              <w:szCs w:val="30"/>
            </w:rPr>
            <w:t>目录</w:t>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TOC \o "1-1" \h \u </w:instrText>
          </w:r>
          <w:r>
            <w:rPr>
              <w:rFonts w:hint="eastAsia" w:ascii="仿宋" w:hAnsi="仿宋" w:eastAsia="仿宋" w:cs="仿宋"/>
              <w:sz w:val="30"/>
              <w:szCs w:val="30"/>
            </w:rPr>
            <w:fldChar w:fldCharType="separate"/>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_Toc8967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一、</w:t>
          </w:r>
          <w:r>
            <w:rPr>
              <w:rFonts w:hint="eastAsia" w:ascii="仿宋" w:hAnsi="仿宋" w:eastAsia="仿宋" w:cs="仿宋"/>
              <w:bCs/>
              <w:sz w:val="30"/>
              <w:szCs w:val="30"/>
            </w:rPr>
            <w:t>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_Toc8967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_Toc19822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二、</w:t>
          </w:r>
          <w:r>
            <w:rPr>
              <w:rFonts w:hint="eastAsia" w:ascii="仿宋" w:hAnsi="仿宋" w:eastAsia="仿宋" w:cs="仿宋"/>
              <w:bCs/>
              <w:sz w:val="30"/>
              <w:szCs w:val="30"/>
            </w:rPr>
            <w:t>项目实施内容和范围</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_Toc19822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_Toc1525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三、</w:t>
          </w:r>
          <w:r>
            <w:rPr>
              <w:rFonts w:hint="eastAsia" w:ascii="仿宋" w:hAnsi="仿宋" w:eastAsia="仿宋" w:cs="仿宋"/>
              <w:bCs/>
              <w:sz w:val="30"/>
              <w:szCs w:val="30"/>
            </w:rPr>
            <w:t>项目资金使用情况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_Toc1525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_Toc21592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四、</w:t>
          </w:r>
          <w:r>
            <w:rPr>
              <w:rFonts w:hint="eastAsia" w:ascii="仿宋" w:hAnsi="仿宋" w:eastAsia="仿宋" w:cs="仿宋"/>
              <w:bCs/>
              <w:sz w:val="30"/>
              <w:szCs w:val="30"/>
            </w:rPr>
            <w:t>项目</w:t>
          </w:r>
          <w:r>
            <w:rPr>
              <w:rFonts w:hint="eastAsia" w:ascii="仿宋" w:hAnsi="仿宋" w:eastAsia="仿宋" w:cs="仿宋"/>
              <w:bCs/>
              <w:sz w:val="30"/>
              <w:szCs w:val="30"/>
              <w:lang w:val="en-US" w:eastAsia="zh-CN"/>
            </w:rPr>
            <w:t>管理</w:t>
          </w:r>
          <w:r>
            <w:rPr>
              <w:rFonts w:hint="eastAsia" w:ascii="仿宋" w:hAnsi="仿宋" w:eastAsia="仿宋" w:cs="仿宋"/>
              <w:bCs/>
              <w:sz w:val="30"/>
              <w:szCs w:val="30"/>
            </w:rPr>
            <w:t>绩效</w:t>
          </w:r>
          <w:r>
            <w:rPr>
              <w:rFonts w:hint="eastAsia" w:ascii="仿宋" w:hAnsi="仿宋" w:eastAsia="仿宋" w:cs="仿宋"/>
              <w:bCs/>
              <w:sz w:val="30"/>
              <w:szCs w:val="30"/>
              <w:lang w:val="en-US" w:eastAsia="zh-CN"/>
            </w:rPr>
            <w:t>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_Toc21592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_Toc10581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五、</w:t>
          </w:r>
          <w:r>
            <w:rPr>
              <w:rFonts w:hint="eastAsia" w:ascii="仿宋" w:hAnsi="仿宋" w:eastAsia="仿宋" w:cs="仿宋"/>
              <w:bCs/>
              <w:sz w:val="30"/>
              <w:szCs w:val="30"/>
            </w:rPr>
            <w:t>绩效评价依据</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_Toc10581 \h </w:instrText>
          </w:r>
          <w:r>
            <w:rPr>
              <w:rFonts w:hint="eastAsia" w:ascii="仿宋" w:hAnsi="仿宋" w:eastAsia="仿宋" w:cs="仿宋"/>
              <w:sz w:val="30"/>
              <w:szCs w:val="30"/>
            </w:rPr>
            <w:fldChar w:fldCharType="separate"/>
          </w:r>
          <w:r>
            <w:rPr>
              <w:rFonts w:hint="eastAsia" w:ascii="仿宋" w:hAnsi="仿宋" w:eastAsia="仿宋" w:cs="仿宋"/>
              <w:sz w:val="30"/>
              <w:szCs w:val="30"/>
            </w:rPr>
            <w:t>8</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_Toc2211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六</w:t>
          </w:r>
          <w:r>
            <w:rPr>
              <w:rFonts w:hint="eastAsia" w:ascii="仿宋" w:hAnsi="仿宋" w:eastAsia="仿宋" w:cs="仿宋"/>
              <w:sz w:val="30"/>
              <w:szCs w:val="30"/>
            </w:rPr>
            <w:t>、项目综合评价结论和评价等级</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_Toc2211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_Toc30518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七</w:t>
          </w:r>
          <w:r>
            <w:rPr>
              <w:rFonts w:hint="eastAsia" w:ascii="仿宋" w:hAnsi="仿宋" w:eastAsia="仿宋" w:cs="仿宋"/>
              <w:bCs/>
              <w:sz w:val="30"/>
              <w:szCs w:val="30"/>
            </w:rPr>
            <w:t>、存在的问题及改进措施</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_Toc30518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_Toc23781 </w:instrText>
          </w:r>
          <w:r>
            <w:rPr>
              <w:rFonts w:hint="eastAsia" w:ascii="仿宋" w:hAnsi="仿宋" w:eastAsia="仿宋" w:cs="仿宋"/>
              <w:sz w:val="30"/>
              <w:szCs w:val="30"/>
            </w:rPr>
            <w:fldChar w:fldCharType="separate"/>
          </w:r>
          <w:r>
            <w:rPr>
              <w:rFonts w:hint="eastAsia" w:ascii="仿宋" w:hAnsi="仿宋" w:eastAsia="仿宋" w:cs="仿宋"/>
              <w:kern w:val="2"/>
              <w:sz w:val="30"/>
              <w:szCs w:val="30"/>
            </w:rPr>
            <w:t>附件：绩效评价指标体系及评分情况表</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_Toc23781 \h </w:instrText>
          </w:r>
          <w:r>
            <w:rPr>
              <w:rFonts w:hint="eastAsia" w:ascii="仿宋" w:hAnsi="仿宋" w:eastAsia="仿宋" w:cs="仿宋"/>
              <w:sz w:val="30"/>
              <w:szCs w:val="30"/>
            </w:rPr>
            <w:fldChar w:fldCharType="separate"/>
          </w:r>
          <w:r>
            <w:rPr>
              <w:rFonts w:hint="eastAsia" w:ascii="仿宋" w:hAnsi="仿宋" w:eastAsia="仿宋" w:cs="仿宋"/>
              <w:sz w:val="30"/>
              <w:szCs w:val="30"/>
            </w:rPr>
            <w:t>10</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rPr>
              <w:rFonts w:hint="eastAsia" w:ascii="仿宋" w:hAnsi="仿宋" w:eastAsia="仿宋" w:cs="仿宋"/>
              <w:sz w:val="30"/>
              <w:szCs w:val="30"/>
            </w:rPr>
          </w:pPr>
          <w:r>
            <w:rPr>
              <w:rFonts w:hint="eastAsia" w:ascii="仿宋" w:hAnsi="仿宋" w:eastAsia="仿宋" w:cs="仿宋"/>
              <w:sz w:val="30"/>
              <w:szCs w:val="30"/>
            </w:rPr>
            <w:fldChar w:fldCharType="end"/>
          </w:r>
        </w:p>
      </w:sdtContent>
    </w:sdt>
    <w:p>
      <w:pPr>
        <w:pStyle w:val="2"/>
        <w:rPr>
          <w:rFonts w:hint="eastAsia" w:ascii="仿宋" w:hAnsi="仿宋" w:eastAsia="仿宋" w:cs="仿宋"/>
          <w:sz w:val="30"/>
          <w:szCs w:val="30"/>
        </w:rPr>
      </w:pPr>
    </w:p>
    <w:p>
      <w:pPr>
        <w:rPr>
          <w:rFonts w:hint="eastAsia" w:ascii="仿宋" w:hAnsi="仿宋" w:eastAsia="仿宋" w:cs="仿宋"/>
          <w:sz w:val="30"/>
          <w:szCs w:val="30"/>
        </w:rPr>
      </w:pPr>
    </w:p>
    <w:p>
      <w:pPr>
        <w:pStyle w:val="2"/>
        <w:rPr>
          <w:rFonts w:hint="eastAsia" w:ascii="仿宋" w:hAnsi="仿宋" w:eastAsia="仿宋" w:cs="仿宋"/>
          <w:sz w:val="30"/>
          <w:szCs w:val="30"/>
        </w:rPr>
      </w:pPr>
    </w:p>
    <w:p>
      <w:pPr>
        <w:pStyle w:val="2"/>
      </w:pPr>
    </w:p>
    <w:p>
      <w:pPr>
        <w:sectPr>
          <w:footerReference r:id="rId8" w:type="first"/>
          <w:footerReference r:id="rId7" w:type="default"/>
          <w:pgSz w:w="11906" w:h="16838"/>
          <w:pgMar w:top="1077" w:right="1304" w:bottom="1077" w:left="1304" w:header="1134" w:footer="680"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2"/>
      </w:pPr>
    </w:p>
    <w:p>
      <w:pPr>
        <w:spacing w:line="560" w:lineRule="exact"/>
        <w:jc w:val="center"/>
        <w:outlineLvl w:val="0"/>
        <w:rPr>
          <w:rFonts w:hint="eastAsia" w:ascii="仿宋" w:hAnsi="仿宋" w:eastAsia="仿宋" w:cs="仿宋"/>
          <w:b/>
          <w:bCs w:val="0"/>
          <w:sz w:val="36"/>
          <w:szCs w:val="36"/>
        </w:rPr>
      </w:pPr>
      <w:r>
        <w:rPr>
          <w:rFonts w:hint="eastAsia" w:ascii="仿宋" w:hAnsi="仿宋" w:eastAsia="仿宋" w:cs="仿宋"/>
          <w:b/>
          <w:bCs w:val="0"/>
          <w:sz w:val="36"/>
          <w:szCs w:val="36"/>
          <w:lang w:eastAsia="zh-CN"/>
        </w:rPr>
        <w:t>公交车运营补贴项目</w:t>
      </w:r>
    </w:p>
    <w:p>
      <w:pPr>
        <w:spacing w:after="156" w:line="560" w:lineRule="exact"/>
        <w:ind w:left="-359" w:leftChars="-171"/>
        <w:jc w:val="center"/>
        <w:outlineLvl w:val="0"/>
        <w:rPr>
          <w:rFonts w:hint="eastAsia" w:ascii="仿宋" w:hAnsi="仿宋" w:eastAsia="仿宋" w:cs="仿宋"/>
          <w:b/>
          <w:bCs w:val="0"/>
          <w:sz w:val="36"/>
          <w:szCs w:val="36"/>
        </w:rPr>
      </w:pPr>
      <w:bookmarkStart w:id="0" w:name="_Toc2651"/>
      <w:bookmarkStart w:id="1" w:name="_Toc12514"/>
      <w:r>
        <w:rPr>
          <w:rFonts w:hint="eastAsia" w:ascii="仿宋" w:hAnsi="仿宋" w:eastAsia="仿宋" w:cs="仿宋"/>
          <w:b/>
          <w:bCs w:val="0"/>
          <w:sz w:val="36"/>
          <w:szCs w:val="36"/>
        </w:rPr>
        <w:t>绩效评价报告</w:t>
      </w:r>
      <w:bookmarkEnd w:id="0"/>
      <w:bookmarkEnd w:id="1"/>
    </w:p>
    <w:p>
      <w:pPr>
        <w:spacing w:afterLines="50" w:line="560" w:lineRule="exact"/>
        <w:ind w:firstLine="1239" w:firstLineChars="590"/>
        <w:rPr>
          <w:rFonts w:hint="eastAsia" w:ascii="仿宋" w:hAnsi="仿宋" w:eastAsia="仿宋" w:cs="仿宋"/>
          <w:sz w:val="24"/>
          <w:szCs w:val="24"/>
        </w:rPr>
      </w:pPr>
      <w:r>
        <w:rPr>
          <w:rFonts w:hint="eastAsia"/>
        </w:rPr>
        <w:t xml:space="preserve">                                          </w:t>
      </w:r>
      <w:r>
        <w:rPr>
          <w:rFonts w:hint="eastAsia" w:ascii="仿宋" w:hAnsi="仿宋" w:eastAsia="仿宋" w:cs="仿宋"/>
          <w:sz w:val="24"/>
          <w:szCs w:val="24"/>
        </w:rPr>
        <w:t xml:space="preserve"> </w:t>
      </w:r>
      <w:r>
        <w:rPr>
          <w:rFonts w:hint="eastAsia" w:ascii="仿宋" w:hAnsi="仿宋" w:eastAsia="仿宋" w:cs="仿宋"/>
          <w:b/>
          <w:sz w:val="24"/>
          <w:szCs w:val="24"/>
        </w:rPr>
        <w:t xml:space="preserve">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根据《曲阳县财政局关于印发</w:t>
      </w:r>
      <w:r>
        <w:rPr>
          <w:rFonts w:hint="eastAsia" w:ascii="仿宋" w:hAnsi="仿宋" w:eastAsia="仿宋" w:cs="仿宋"/>
          <w:sz w:val="30"/>
          <w:szCs w:val="30"/>
          <w:lang w:val="en-US" w:eastAsia="zh-CN"/>
        </w:rPr>
        <w:t>2022年县级财政重点绩效评价计划的通知</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曲财</w:t>
      </w:r>
      <w:r>
        <w:rPr>
          <w:rFonts w:hint="eastAsia" w:ascii="仿宋" w:hAnsi="仿宋" w:eastAsia="仿宋" w:cs="仿宋"/>
          <w:sz w:val="30"/>
          <w:szCs w:val="30"/>
          <w:lang w:val="en-US" w:eastAsia="zh-CN"/>
        </w:rPr>
        <w:t>[2022] 54号),</w:t>
      </w:r>
      <w:r>
        <w:rPr>
          <w:rFonts w:hint="eastAsia" w:ascii="仿宋" w:hAnsi="仿宋" w:eastAsia="仿宋" w:cs="仿宋"/>
          <w:sz w:val="30"/>
          <w:szCs w:val="30"/>
        </w:rPr>
        <w:t>对</w:t>
      </w:r>
      <w:r>
        <w:rPr>
          <w:rFonts w:hint="eastAsia" w:ascii="仿宋" w:hAnsi="仿宋" w:eastAsia="仿宋" w:cs="仿宋"/>
          <w:sz w:val="30"/>
          <w:szCs w:val="30"/>
          <w:lang w:eastAsia="zh-CN"/>
        </w:rPr>
        <w:t>曲阳县交通运输局</w:t>
      </w:r>
      <w:r>
        <w:rPr>
          <w:rFonts w:hint="eastAsia" w:ascii="仿宋" w:hAnsi="仿宋" w:eastAsia="仿宋" w:cs="仿宋"/>
          <w:sz w:val="30"/>
          <w:szCs w:val="30"/>
        </w:rPr>
        <w:t>承担的</w:t>
      </w:r>
      <w:r>
        <w:rPr>
          <w:rFonts w:hint="eastAsia" w:ascii="仿宋" w:hAnsi="仿宋" w:eastAsia="仿宋" w:cs="仿宋"/>
          <w:sz w:val="30"/>
          <w:szCs w:val="30"/>
          <w:lang w:eastAsia="zh-CN"/>
        </w:rPr>
        <w:t>公交车运营补贴项目</w:t>
      </w:r>
      <w:r>
        <w:rPr>
          <w:rFonts w:hint="eastAsia" w:ascii="仿宋" w:hAnsi="仿宋" w:eastAsia="仿宋" w:cs="仿宋"/>
          <w:sz w:val="30"/>
          <w:szCs w:val="30"/>
        </w:rPr>
        <w:t>（以下简称“该项目”）的具体实施情况进行了绩效评价。</w:t>
      </w:r>
      <w:r>
        <w:rPr>
          <w:rFonts w:hint="eastAsia" w:ascii="仿宋" w:hAnsi="仿宋" w:eastAsia="仿宋" w:cs="仿宋"/>
          <w:sz w:val="30"/>
          <w:szCs w:val="30"/>
          <w:lang w:eastAsia="zh-CN"/>
        </w:rPr>
        <w:t>曲阳县交通运输局</w:t>
      </w:r>
      <w:r>
        <w:rPr>
          <w:rFonts w:hint="eastAsia" w:ascii="仿宋" w:hAnsi="仿宋" w:eastAsia="仿宋" w:cs="仿宋"/>
          <w:sz w:val="30"/>
          <w:szCs w:val="30"/>
        </w:rPr>
        <w:t>和相关单位提供与绩效评价有关的项目资料，并对其真实性、完整性、合法性负责，我们的责任是根据项目相关资料，对该项目的项目投入、项目过程管理、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color w:val="000000"/>
          <w:sz w:val="30"/>
          <w:szCs w:val="30"/>
        </w:rPr>
      </w:pPr>
      <w:r>
        <w:rPr>
          <w:rFonts w:hint="eastAsia" w:ascii="仿宋" w:hAnsi="仿宋" w:eastAsia="仿宋" w:cs="仿宋"/>
          <w:sz w:val="30"/>
          <w:szCs w:val="30"/>
        </w:rPr>
        <w:t>在评价工作中，我们结合该项目的实际情况制定了绩效评价工作方案和绩效评价指标体系，实施了包括资料查看、现场检查、等我们认为必要的评价手段。绩效评价工作现已完成，具体</w:t>
      </w:r>
      <w:r>
        <w:rPr>
          <w:rFonts w:hint="eastAsia" w:ascii="仿宋" w:hAnsi="仿宋" w:eastAsia="仿宋" w:cs="仿宋"/>
          <w:color w:val="000000"/>
          <w:sz w:val="30"/>
          <w:szCs w:val="30"/>
        </w:rPr>
        <w:t>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bookmarkStart w:id="2" w:name="_Toc83630317"/>
      <w:bookmarkStart w:id="3" w:name="_Toc8967"/>
      <w:bookmarkStart w:id="4" w:name="_Toc30480"/>
      <w:bookmarkStart w:id="5" w:name="_Toc83631027"/>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项目概况</w:t>
      </w:r>
      <w:bookmarkEnd w:id="2"/>
      <w:bookmarkEnd w:id="3"/>
      <w:bookmarkEnd w:id="4"/>
      <w:bookmarkEnd w:id="5"/>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疫情期间，公交公司积极支持复工、复产，开通公交线路，在没有营运收入的情况下保持运营，发挥了企业的社会责任。</w:t>
      </w:r>
      <w:r>
        <w:rPr>
          <w:rFonts w:hint="eastAsia" w:ascii="仿宋" w:hAnsi="仿宋" w:eastAsia="仿宋" w:cs="仿宋"/>
          <w:sz w:val="30"/>
          <w:szCs w:val="30"/>
        </w:rPr>
        <w:t>根据曲阳县人民政府常务会议纪要(2016) 11号精神，</w:t>
      </w:r>
      <w:r>
        <w:rPr>
          <w:rFonts w:hint="eastAsia" w:ascii="仿宋" w:hAnsi="仿宋" w:eastAsia="仿宋" w:cs="仿宋"/>
          <w:sz w:val="30"/>
          <w:szCs w:val="30"/>
          <w:lang w:val="en-US" w:eastAsia="zh-CN"/>
        </w:rPr>
        <w:t>及冀政〔2013〕45号【河北省人民政府关于城市优先发展公共交通的实施意见】，为进一步促进曲阳县公交事业、有序、持续发展，</w:t>
      </w:r>
      <w:r>
        <w:rPr>
          <w:rFonts w:hint="eastAsia" w:ascii="仿宋" w:hAnsi="仿宋" w:eastAsia="仿宋" w:cs="仿宋"/>
          <w:sz w:val="30"/>
          <w:szCs w:val="30"/>
        </w:rPr>
        <w:t>对</w:t>
      </w:r>
      <w:r>
        <w:rPr>
          <w:rFonts w:hint="eastAsia" w:ascii="仿宋" w:hAnsi="仿宋" w:eastAsia="仿宋" w:cs="仿宋"/>
          <w:sz w:val="30"/>
          <w:szCs w:val="30"/>
          <w:lang w:val="en-US" w:eastAsia="zh-CN"/>
        </w:rPr>
        <w:t>曲阳县</w:t>
      </w:r>
      <w:r>
        <w:rPr>
          <w:rFonts w:hint="eastAsia" w:ascii="仿宋" w:hAnsi="仿宋" w:eastAsia="仿宋" w:cs="仿宋"/>
          <w:sz w:val="30"/>
          <w:szCs w:val="30"/>
        </w:rPr>
        <w:t>交通运输有限公司实施政策性补贴。</w:t>
      </w:r>
    </w:p>
    <w:p>
      <w:pPr>
        <w:pageBreakBefore w:val="0"/>
        <w:numPr>
          <w:ilvl w:val="0"/>
          <w:numId w:val="0"/>
        </w:numPr>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bookmarkStart w:id="6" w:name="_Toc19822"/>
      <w:bookmarkStart w:id="7" w:name="_Toc22961"/>
      <w:bookmarkStart w:id="8" w:name="_Toc83630318"/>
      <w:bookmarkStart w:id="9" w:name="_Toc83631028"/>
      <w:bookmarkStart w:id="10" w:name="_Toc22022"/>
      <w:bookmarkStart w:id="11" w:name="_Toc25381"/>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6"/>
      <w:bookmarkEnd w:id="7"/>
      <w:bookmarkEnd w:id="8"/>
      <w:bookmarkEnd w:id="9"/>
      <w:bookmarkEnd w:id="10"/>
      <w:bookmarkEnd w:id="11"/>
    </w:p>
    <w:p>
      <w:pPr>
        <w:ind w:firstLine="600" w:firstLineChars="200"/>
        <w:rPr>
          <w:rFonts w:hint="default"/>
          <w:lang w:val="en-US" w:eastAsia="zh-CN"/>
        </w:rPr>
      </w:pPr>
      <w:bookmarkStart w:id="12" w:name="_Toc16200"/>
      <w:bookmarkStart w:id="13" w:name="_Toc30654"/>
      <w:r>
        <w:rPr>
          <w:rFonts w:hint="eastAsia" w:ascii="仿宋" w:hAnsi="仿宋" w:eastAsia="仿宋" w:cs="仿宋"/>
          <w:sz w:val="30"/>
          <w:szCs w:val="30"/>
        </w:rPr>
        <w:t>根据县政府依法取缔城区内非法营运三轮车行动的决定，及防疫期间公交车上配备一名专职测体温、 登记乘客乘车轨迹等临时性支出，经审计局派出审计组确认2020年亏损1179.27万元，2021年申请</w:t>
      </w:r>
      <w:r>
        <w:rPr>
          <w:rFonts w:hint="eastAsia" w:ascii="仿宋" w:hAnsi="仿宋" w:eastAsia="仿宋" w:cs="仿宋"/>
          <w:sz w:val="30"/>
          <w:szCs w:val="30"/>
          <w:lang w:val="en-US" w:eastAsia="zh-CN"/>
        </w:rPr>
        <w:t>对曲阳县</w:t>
      </w:r>
      <w:r>
        <w:rPr>
          <w:rFonts w:hint="eastAsia" w:ascii="仿宋" w:hAnsi="仿宋" w:eastAsia="仿宋" w:cs="仿宋"/>
          <w:sz w:val="30"/>
          <w:szCs w:val="30"/>
        </w:rPr>
        <w:t>交通运输有限公司公交车运营亏损补贴资金300万元。</w:t>
      </w:r>
    </w:p>
    <w:bookmarkEnd w:id="12"/>
    <w:bookmarkEnd w:id="13"/>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bookmarkStart w:id="14" w:name="_Toc83630319"/>
      <w:bookmarkStart w:id="15" w:name="_Toc8527"/>
      <w:bookmarkStart w:id="16" w:name="_Toc83631029"/>
      <w:bookmarkStart w:id="17" w:name="_Toc24391"/>
      <w:bookmarkStart w:id="18" w:name="_Toc1525"/>
      <w:bookmarkStart w:id="19" w:name="_Toc17013"/>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项目资金使用情况</w:t>
      </w:r>
      <w:bookmarkEnd w:id="14"/>
      <w:bookmarkEnd w:id="15"/>
      <w:bookmarkEnd w:id="16"/>
      <w:bookmarkEnd w:id="17"/>
      <w:bookmarkEnd w:id="18"/>
      <w:bookmarkEnd w:id="1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曲阳县公交车运营补贴</w:t>
      </w:r>
      <w:r>
        <w:rPr>
          <w:rFonts w:hint="eastAsia" w:ascii="仿宋" w:hAnsi="仿宋" w:eastAsia="仿宋" w:cs="仿宋"/>
          <w:sz w:val="30"/>
          <w:szCs w:val="30"/>
        </w:rPr>
        <w:t>资金为</w:t>
      </w:r>
      <w:r>
        <w:rPr>
          <w:rFonts w:hint="eastAsia" w:ascii="仿宋" w:hAnsi="仿宋" w:eastAsia="仿宋" w:cs="仿宋"/>
          <w:sz w:val="30"/>
          <w:szCs w:val="30"/>
          <w:lang w:val="en-US" w:eastAsia="zh-CN"/>
        </w:rPr>
        <w:t>300.00</w:t>
      </w:r>
      <w:r>
        <w:rPr>
          <w:rFonts w:hint="eastAsia" w:ascii="仿宋" w:hAnsi="仿宋" w:eastAsia="仿宋" w:cs="仿宋"/>
          <w:sz w:val="30"/>
          <w:szCs w:val="30"/>
        </w:rPr>
        <w:t>万元，</w:t>
      </w:r>
      <w:r>
        <w:rPr>
          <w:rFonts w:hint="eastAsia" w:ascii="仿宋" w:hAnsi="仿宋" w:eastAsia="仿宋" w:cs="仿宋"/>
          <w:sz w:val="30"/>
          <w:szCs w:val="30"/>
          <w:lang w:val="en-US" w:eastAsia="zh-CN"/>
        </w:rPr>
        <w:t>全部为地方资金</w:t>
      </w:r>
      <w:r>
        <w:rPr>
          <w:rFonts w:hint="eastAsia" w:ascii="仿宋" w:hAnsi="仿宋" w:eastAsia="仿宋" w:cs="仿宋"/>
          <w:sz w:val="30"/>
          <w:szCs w:val="30"/>
        </w:rPr>
        <w:t>。</w:t>
      </w:r>
      <w:r>
        <w:rPr>
          <w:rFonts w:hint="eastAsia" w:ascii="仿宋" w:hAnsi="仿宋" w:eastAsia="仿宋" w:cs="仿宋"/>
          <w:sz w:val="30"/>
          <w:szCs w:val="30"/>
          <w:lang w:val="en-US" w:eastAsia="zh-CN"/>
        </w:rPr>
        <w:t>曲阳县公交车运营补贴资金发放300.00</w:t>
      </w:r>
      <w:r>
        <w:rPr>
          <w:rFonts w:hint="eastAsia" w:ascii="仿宋" w:hAnsi="仿宋" w:eastAsia="仿宋" w:cs="仿宋"/>
          <w:sz w:val="30"/>
          <w:szCs w:val="30"/>
        </w:rPr>
        <w:t>万元，结余资金</w:t>
      </w:r>
      <w:r>
        <w:rPr>
          <w:rFonts w:hint="eastAsia" w:ascii="仿宋" w:hAnsi="仿宋" w:eastAsia="仿宋" w:cs="仿宋"/>
          <w:sz w:val="30"/>
          <w:szCs w:val="30"/>
          <w:lang w:val="en-US" w:eastAsia="zh-CN"/>
        </w:rPr>
        <w:t>0.00</w:t>
      </w:r>
      <w:r>
        <w:rPr>
          <w:rFonts w:hint="eastAsia" w:ascii="仿宋" w:hAnsi="仿宋" w:eastAsia="仿宋" w:cs="仿宋"/>
          <w:sz w:val="30"/>
          <w:szCs w:val="30"/>
        </w:rPr>
        <w:t>万元。</w:t>
      </w:r>
      <w:r>
        <w:rPr>
          <w:rFonts w:hint="eastAsia" w:ascii="仿宋" w:hAnsi="仿宋" w:eastAsia="仿宋" w:cs="仿宋"/>
          <w:sz w:val="30"/>
          <w:szCs w:val="30"/>
          <w:lang w:val="en-US" w:eastAsia="zh-CN"/>
        </w:rPr>
        <w:t>明细如下：</w:t>
      </w:r>
    </w:p>
    <w:tbl>
      <w:tblPr>
        <w:tblStyle w:val="16"/>
        <w:tblW w:w="4995" w:type="pct"/>
        <w:tblInd w:w="0" w:type="dxa"/>
        <w:tblLayout w:type="autofit"/>
        <w:tblCellMar>
          <w:top w:w="0" w:type="dxa"/>
          <w:left w:w="108" w:type="dxa"/>
          <w:bottom w:w="0" w:type="dxa"/>
          <w:right w:w="108" w:type="dxa"/>
        </w:tblCellMar>
      </w:tblPr>
      <w:tblGrid>
        <w:gridCol w:w="3825"/>
        <w:gridCol w:w="3159"/>
        <w:gridCol w:w="2860"/>
      </w:tblGrid>
      <w:tr>
        <w:tblPrEx>
          <w:tblCellMar>
            <w:top w:w="0" w:type="dxa"/>
            <w:left w:w="108" w:type="dxa"/>
            <w:bottom w:w="0" w:type="dxa"/>
            <w:right w:w="108" w:type="dxa"/>
          </w:tblCellMar>
        </w:tblPrEx>
        <w:trPr>
          <w:trHeight w:val="285" w:hRule="atLeast"/>
        </w:trPr>
        <w:tc>
          <w:tcPr>
            <w:tcW w:w="1942"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left="1" w:firstLine="600" w:firstLineChars="200"/>
              <w:jc w:val="left"/>
              <w:textAlignment w:val="auto"/>
              <w:rPr>
                <w:rFonts w:hint="eastAsia" w:ascii="仿宋" w:hAnsi="仿宋" w:eastAsia="仿宋" w:cs="仿宋"/>
                <w:sz w:val="30"/>
                <w:szCs w:val="30"/>
              </w:rPr>
            </w:pPr>
          </w:p>
        </w:tc>
        <w:tc>
          <w:tcPr>
            <w:tcW w:w="1604"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left="1" w:firstLine="600" w:firstLineChars="200"/>
              <w:jc w:val="left"/>
              <w:textAlignment w:val="auto"/>
              <w:rPr>
                <w:rFonts w:hint="eastAsia" w:ascii="仿宋" w:hAnsi="仿宋" w:eastAsia="仿宋" w:cs="仿宋"/>
                <w:sz w:val="30"/>
                <w:szCs w:val="30"/>
              </w:rPr>
            </w:pPr>
          </w:p>
        </w:tc>
        <w:tc>
          <w:tcPr>
            <w:tcW w:w="1452"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单位：万元</w:t>
            </w:r>
          </w:p>
        </w:tc>
      </w:tr>
      <w:tr>
        <w:tblPrEx>
          <w:tblCellMar>
            <w:top w:w="0" w:type="dxa"/>
            <w:left w:w="108" w:type="dxa"/>
            <w:bottom w:w="0" w:type="dxa"/>
            <w:right w:w="108" w:type="dxa"/>
          </w:tblCellMar>
        </w:tblPrEx>
        <w:trPr>
          <w:trHeight w:val="285" w:hRule="atLeast"/>
        </w:trPr>
        <w:tc>
          <w:tcPr>
            <w:tcW w:w="194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left="1"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单位名称</w:t>
            </w:r>
          </w:p>
        </w:tc>
        <w:tc>
          <w:tcPr>
            <w:tcW w:w="1604"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金额</w:t>
            </w:r>
          </w:p>
        </w:tc>
        <w:tc>
          <w:tcPr>
            <w:tcW w:w="1452"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left="1"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tc>
      </w:tr>
      <w:tr>
        <w:tblPrEx>
          <w:tblCellMar>
            <w:top w:w="0" w:type="dxa"/>
            <w:left w:w="108" w:type="dxa"/>
            <w:bottom w:w="0" w:type="dxa"/>
            <w:right w:w="108" w:type="dxa"/>
          </w:tblCellMar>
        </w:tblPrEx>
        <w:trPr>
          <w:trHeight w:val="285" w:hRule="atLeast"/>
        </w:trPr>
        <w:tc>
          <w:tcPr>
            <w:tcW w:w="1942"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曲阳县交通运输有限公司</w:t>
            </w:r>
          </w:p>
        </w:tc>
        <w:tc>
          <w:tcPr>
            <w:tcW w:w="1604" w:type="pct"/>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bottom"/>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300.00</w:t>
            </w:r>
          </w:p>
        </w:tc>
        <w:tc>
          <w:tcPr>
            <w:tcW w:w="1452" w:type="pct"/>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bottom"/>
              <w:rPr>
                <w:rFonts w:hint="default" w:ascii="仿宋" w:hAnsi="仿宋" w:eastAsia="仿宋" w:cs="仿宋"/>
                <w:i w:val="0"/>
                <w:color w:val="000000"/>
                <w:kern w:val="2"/>
                <w:sz w:val="24"/>
                <w:szCs w:val="24"/>
                <w:u w:val="none"/>
                <w:lang w:val="en-US" w:eastAsia="zh-CN" w:bidi="ar-SA"/>
              </w:rPr>
            </w:pPr>
          </w:p>
        </w:tc>
      </w:tr>
      <w:tr>
        <w:tblPrEx>
          <w:tblCellMar>
            <w:top w:w="0" w:type="dxa"/>
            <w:left w:w="108" w:type="dxa"/>
            <w:bottom w:w="0" w:type="dxa"/>
            <w:right w:w="108" w:type="dxa"/>
          </w:tblCellMar>
        </w:tblPrEx>
        <w:trPr>
          <w:trHeight w:val="285" w:hRule="atLeast"/>
        </w:trPr>
        <w:tc>
          <w:tcPr>
            <w:tcW w:w="194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left="1" w:firstLine="480" w:firstLineChars="20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合计</w:t>
            </w:r>
          </w:p>
        </w:tc>
        <w:tc>
          <w:tcPr>
            <w:tcW w:w="1604" w:type="pct"/>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bottom"/>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300.00</w:t>
            </w:r>
          </w:p>
        </w:tc>
        <w:tc>
          <w:tcPr>
            <w:tcW w:w="1452" w:type="pct"/>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bottom"/>
              <w:rPr>
                <w:rFonts w:hint="eastAsia" w:ascii="仿宋" w:hAnsi="仿宋" w:eastAsia="仿宋" w:cs="仿宋"/>
                <w:i w:val="0"/>
                <w:color w:val="000000"/>
                <w:kern w:val="2"/>
                <w:sz w:val="24"/>
                <w:szCs w:val="24"/>
                <w:u w:val="none"/>
                <w:lang w:val="en-US" w:eastAsia="zh-CN" w:bidi="ar-SA"/>
              </w:rPr>
            </w:pPr>
          </w:p>
        </w:tc>
      </w:tr>
    </w:tbl>
    <w:p>
      <w:pPr>
        <w:pageBreakBefore w:val="0"/>
        <w:kinsoku/>
        <w:wordWrap/>
        <w:overflowPunct/>
        <w:topLinePunct w:val="0"/>
        <w:autoSpaceDE/>
        <w:autoSpaceDN/>
        <w:bidi w:val="0"/>
        <w:adjustRightInd/>
        <w:snapToGrid/>
        <w:spacing w:line="560" w:lineRule="exact"/>
        <w:ind w:firstLine="951" w:firstLineChars="296"/>
        <w:outlineLvl w:val="0"/>
        <w:rPr>
          <w:rFonts w:hint="eastAsia" w:ascii="仿宋" w:hAnsi="仿宋" w:eastAsia="仿宋" w:cs="仿宋"/>
          <w:b/>
          <w:bCs/>
          <w:sz w:val="32"/>
          <w:szCs w:val="32"/>
          <w:lang w:val="en-US" w:eastAsia="zh-CN"/>
        </w:rPr>
      </w:pPr>
      <w:bookmarkStart w:id="20" w:name="_Toc21403"/>
      <w:bookmarkStart w:id="21" w:name="_Toc83630320"/>
      <w:bookmarkStart w:id="22" w:name="_Toc14351"/>
      <w:bookmarkStart w:id="23" w:name="_Toc83631030"/>
      <w:bookmarkStart w:id="24" w:name="_Toc21592"/>
      <w:bookmarkStart w:id="25" w:name="_Toc18734"/>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项目</w:t>
      </w:r>
      <w:r>
        <w:rPr>
          <w:rFonts w:hint="eastAsia" w:ascii="仿宋" w:hAnsi="仿宋" w:eastAsia="仿宋" w:cs="仿宋"/>
          <w:b/>
          <w:bCs/>
          <w:sz w:val="32"/>
          <w:szCs w:val="32"/>
          <w:lang w:val="en-US" w:eastAsia="zh-CN"/>
        </w:rPr>
        <w:t>管理</w:t>
      </w:r>
      <w:r>
        <w:rPr>
          <w:rFonts w:hint="eastAsia" w:ascii="仿宋" w:hAnsi="仿宋" w:eastAsia="仿宋" w:cs="仿宋"/>
          <w:b/>
          <w:bCs/>
          <w:sz w:val="32"/>
          <w:szCs w:val="32"/>
        </w:rPr>
        <w:t>绩效</w:t>
      </w:r>
      <w:bookmarkEnd w:id="20"/>
      <w:bookmarkEnd w:id="21"/>
      <w:bookmarkEnd w:id="22"/>
      <w:bookmarkEnd w:id="23"/>
      <w:r>
        <w:rPr>
          <w:rFonts w:hint="eastAsia" w:ascii="仿宋" w:hAnsi="仿宋" w:eastAsia="仿宋" w:cs="仿宋"/>
          <w:b/>
          <w:bCs/>
          <w:sz w:val="32"/>
          <w:szCs w:val="32"/>
          <w:lang w:val="en-US" w:eastAsia="zh-CN"/>
        </w:rPr>
        <w:t>情况</w:t>
      </w:r>
      <w:bookmarkEnd w:id="24"/>
      <w:bookmarkEnd w:id="25"/>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26" w:name="_Toc83631040"/>
      <w:bookmarkStart w:id="27" w:name="_Toc83630330"/>
      <w:bookmarkStart w:id="28" w:name="_Toc501368359"/>
      <w:bookmarkStart w:id="29" w:name="_Toc12058"/>
      <w:bookmarkStart w:id="30" w:name="_Toc32445"/>
      <w:bookmarkStart w:id="31" w:name="_Toc12908"/>
      <w:r>
        <w:rPr>
          <w:rFonts w:hint="eastAsia" w:ascii="仿宋" w:hAnsi="仿宋" w:eastAsia="仿宋" w:cs="仿宋"/>
          <w:b w:val="0"/>
          <w:bCs w:val="0"/>
          <w:sz w:val="30"/>
          <w:szCs w:val="30"/>
        </w:rPr>
        <w:t>（一）项目立项（10分）</w:t>
      </w:r>
      <w:bookmarkEnd w:id="26"/>
      <w:bookmarkEnd w:id="27"/>
      <w:bookmarkEnd w:id="28"/>
      <w:bookmarkEnd w:id="29"/>
      <w:bookmarkEnd w:id="30"/>
      <w:bookmarkEnd w:id="3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6"/>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(10分)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决策机制（5分）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项目设立的依据</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绩效目标（5分）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1.决策机制（5分）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该指标包含2个三级指标，主要评价项目立项是否符合国家法规、政策规定，符合社会经济发展战略规划；项目决策是否满足政府职能，用于调节经济、市场监管、提供公共产品和服务</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rPr>
      </w:pPr>
      <w:r>
        <w:rPr>
          <w:rFonts w:hint="eastAsia" w:ascii="仿宋" w:hAnsi="仿宋" w:eastAsia="仿宋" w:cs="仿宋"/>
          <w:sz w:val="30"/>
          <w:szCs w:val="30"/>
        </w:rPr>
        <w:t>项目设立的依据（3分）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该指标主要评价该项目立项是否符合国家法规、政策规定，符合社会经济发展战略规划</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rPr>
      </w:pPr>
      <w:bookmarkStart w:id="32" w:name="_Toc25534"/>
      <w:bookmarkStart w:id="33" w:name="_Toc83631041"/>
      <w:bookmarkStart w:id="34" w:name="_Toc83630331"/>
      <w:bookmarkStart w:id="35" w:name="_Toc83630427"/>
      <w:bookmarkStart w:id="36" w:name="_Toc21059"/>
      <w:r>
        <w:rPr>
          <w:rFonts w:hint="eastAsia" w:ascii="仿宋" w:hAnsi="仿宋" w:eastAsia="仿宋" w:cs="仿宋"/>
          <w:sz w:val="30"/>
          <w:szCs w:val="30"/>
        </w:rPr>
        <w:t>经检查，该项目设立的主要依据</w:t>
      </w:r>
      <w:r>
        <w:rPr>
          <w:rFonts w:hint="eastAsia" w:ascii="仿宋" w:hAnsi="仿宋" w:eastAsia="仿宋" w:cs="仿宋"/>
          <w:sz w:val="30"/>
          <w:szCs w:val="30"/>
          <w:lang w:val="en-US" w:eastAsia="zh-CN"/>
        </w:rPr>
        <w:t>曲阳县人民政府常务会议纪要[2016]11号</w:t>
      </w:r>
      <w:r>
        <w:rPr>
          <w:rFonts w:hint="eastAsia" w:ascii="仿宋" w:hAnsi="仿宋" w:eastAsia="仿宋" w:cs="仿宋"/>
          <w:sz w:val="30"/>
          <w:szCs w:val="30"/>
        </w:rPr>
        <w:t>；</w:t>
      </w:r>
      <w:bookmarkEnd w:id="32"/>
      <w:bookmarkEnd w:id="33"/>
      <w:bookmarkEnd w:id="34"/>
      <w:bookmarkEnd w:id="35"/>
      <w:bookmarkEnd w:id="36"/>
      <w:r>
        <w:rPr>
          <w:rFonts w:hint="eastAsia" w:ascii="仿宋" w:hAnsi="仿宋" w:eastAsia="仿宋" w:cs="仿宋"/>
          <w:sz w:val="30"/>
          <w:szCs w:val="30"/>
          <w:lang w:val="en-US" w:eastAsia="zh-CN"/>
        </w:rPr>
        <w:t>冀政〔2013〕45号【河北省人民政府关于城市优先发展公共交通的实施意见】</w:t>
      </w:r>
      <w:r>
        <w:rPr>
          <w:rFonts w:hint="eastAsia" w:ascii="仿宋" w:hAnsi="仿宋" w:eastAsia="仿宋" w:cs="仿宋"/>
          <w:sz w:val="30"/>
          <w:szCs w:val="30"/>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我们认为该项目设定依据充分，目标设定明确、合理、科学、可行，符合国家法规、政策规定，符合社会经济发展战略规划。</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（2）项目决策必要性（2分）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37" w:name="_Toc83630332"/>
      <w:bookmarkStart w:id="38" w:name="_Toc24207"/>
      <w:bookmarkStart w:id="39" w:name="_Toc83631042"/>
      <w:bookmarkStart w:id="40" w:name="_Toc32149"/>
      <w:bookmarkStart w:id="41" w:name="_Toc83630428"/>
      <w:r>
        <w:rPr>
          <w:rFonts w:hint="eastAsia" w:ascii="仿宋" w:hAnsi="仿宋" w:eastAsia="仿宋" w:cs="仿宋"/>
          <w:sz w:val="30"/>
          <w:szCs w:val="30"/>
        </w:rPr>
        <w:t>项目的实施为</w:t>
      </w:r>
      <w:r>
        <w:rPr>
          <w:rFonts w:hint="eastAsia" w:ascii="仿宋" w:hAnsi="仿宋" w:eastAsia="仿宋" w:cs="仿宋"/>
          <w:sz w:val="30"/>
          <w:szCs w:val="30"/>
          <w:lang w:val="en-US" w:eastAsia="zh-CN"/>
        </w:rPr>
        <w:t>曲阳县的广大企业做出了榜样，为坚定信心、实干创新，不断增强自主创新能力，提升管理水平，提高经济效益，为曲阳县的经济社会发展做出新的更大贡献</w:t>
      </w:r>
      <w:r>
        <w:rPr>
          <w:rFonts w:hint="eastAsia" w:ascii="仿宋" w:hAnsi="仿宋" w:eastAsia="仿宋" w:cs="仿宋"/>
          <w:sz w:val="30"/>
          <w:szCs w:val="30"/>
        </w:rPr>
        <w:t>。</w:t>
      </w:r>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42" w:name="_Toc26878"/>
      <w:bookmarkStart w:id="43" w:name="_Toc83631043"/>
      <w:bookmarkStart w:id="44" w:name="_Toc5914"/>
      <w:bookmarkStart w:id="45" w:name="_Toc83630429"/>
      <w:bookmarkStart w:id="46" w:name="_Toc83630333"/>
      <w:r>
        <w:rPr>
          <w:rFonts w:hint="eastAsia" w:ascii="仿宋" w:hAnsi="仿宋" w:eastAsia="仿宋" w:cs="仿宋"/>
          <w:sz w:val="30"/>
          <w:szCs w:val="30"/>
        </w:rPr>
        <w:t>为此我们认为该项目决策的评价结论为必要。</w:t>
      </w:r>
      <w:bookmarkEnd w:id="42"/>
      <w:bookmarkEnd w:id="43"/>
      <w:bookmarkEnd w:id="44"/>
      <w:bookmarkEnd w:id="45"/>
      <w:bookmarkEnd w:id="4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2.绩效目标（5分）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该指标共包含2个三级指标，主要评价项目绩效目标依据是否充分，项目绩效指标是否清晰、细化、量化、可衡量。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（1）合理性（3分）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经检查，该项目绩效目标是依据</w:t>
      </w:r>
      <w:r>
        <w:rPr>
          <w:rFonts w:hint="eastAsia" w:ascii="仿宋" w:hAnsi="仿宋" w:eastAsia="仿宋" w:cs="仿宋"/>
          <w:sz w:val="30"/>
          <w:szCs w:val="30"/>
          <w:lang w:val="en-US" w:eastAsia="zh-CN"/>
        </w:rPr>
        <w:t>曲阳县人民政府常务会议纪要[2016]11号；冀政〔2013〕45号【河北省人民政府关于城市优先发展公共交通的实施意见】</w:t>
      </w:r>
      <w:r>
        <w:rPr>
          <w:rFonts w:hint="eastAsia" w:ascii="仿宋" w:hAnsi="仿宋" w:eastAsia="仿宋" w:cs="仿宋"/>
          <w:sz w:val="30"/>
          <w:szCs w:val="30"/>
        </w:rPr>
        <w:t>等制定的，绩效目标依据较充分。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（2）明确性（2分）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经检查，该项目根据</w:t>
      </w:r>
      <w:r>
        <w:rPr>
          <w:rFonts w:hint="eastAsia" w:ascii="仿宋" w:hAnsi="仿宋" w:eastAsia="仿宋" w:cs="仿宋"/>
          <w:sz w:val="30"/>
          <w:szCs w:val="30"/>
          <w:highlight w:val="none"/>
          <w:lang w:eastAsia="zh-CN"/>
        </w:rPr>
        <w:t>曲阳县财政局</w:t>
      </w:r>
      <w:r>
        <w:rPr>
          <w:rFonts w:hint="eastAsia" w:ascii="仿宋" w:hAnsi="仿宋" w:eastAsia="仿宋" w:cs="仿宋"/>
          <w:sz w:val="30"/>
          <w:szCs w:val="30"/>
          <w:highlight w:val="none"/>
        </w:rPr>
        <w:t>下发的《关于开展</w:t>
      </w:r>
      <w:r>
        <w:rPr>
          <w:rFonts w:hint="eastAsia" w:ascii="仿宋" w:hAnsi="仿宋" w:eastAsia="仿宋" w:cs="仿宋"/>
          <w:sz w:val="30"/>
          <w:szCs w:val="30"/>
          <w:highlight w:val="none"/>
          <w:lang w:eastAsia="zh-CN"/>
        </w:rPr>
        <w:t>公交车运营补贴项目</w:t>
      </w:r>
      <w:r>
        <w:rPr>
          <w:rFonts w:hint="eastAsia" w:ascii="仿宋" w:hAnsi="仿宋" w:eastAsia="仿宋" w:cs="仿宋"/>
          <w:sz w:val="30"/>
          <w:szCs w:val="30"/>
          <w:highlight w:val="none"/>
        </w:rPr>
        <w:t>绩效评价工作的通知》，在项目绩效评价指标体系表中制定了项目产出指标和项目效益指标，绩效指</w:t>
      </w:r>
      <w:r>
        <w:rPr>
          <w:rFonts w:hint="eastAsia" w:ascii="仿宋" w:hAnsi="仿宋" w:eastAsia="仿宋" w:cs="仿宋"/>
          <w:sz w:val="30"/>
          <w:szCs w:val="30"/>
        </w:rPr>
        <w:t>标清晰、细化、量化、可衡量且与当年工作任务匹配。</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47" w:name="_Toc83631044"/>
      <w:bookmarkStart w:id="48" w:name="_Toc21302"/>
      <w:bookmarkStart w:id="49" w:name="_Toc83630334"/>
      <w:bookmarkStart w:id="50" w:name="_Toc8907"/>
      <w:bookmarkStart w:id="51" w:name="_Toc27328"/>
      <w:r>
        <w:rPr>
          <w:rFonts w:hint="eastAsia" w:ascii="仿宋" w:hAnsi="仿宋" w:eastAsia="仿宋" w:cs="仿宋"/>
          <w:b w:val="0"/>
          <w:bCs w:val="0"/>
          <w:sz w:val="30"/>
          <w:szCs w:val="30"/>
        </w:rPr>
        <w:t>（二）项目过程管理（4</w:t>
      </w:r>
      <w:r>
        <w:rPr>
          <w:rFonts w:hint="eastAsia" w:ascii="仿宋" w:hAnsi="仿宋" w:eastAsia="仿宋" w:cs="仿宋"/>
          <w:b w:val="0"/>
          <w:bCs w:val="0"/>
          <w:sz w:val="30"/>
          <w:szCs w:val="30"/>
          <w:lang w:val="en-US" w:eastAsia="zh-CN"/>
        </w:rPr>
        <w:t>3</w:t>
      </w:r>
      <w:r>
        <w:rPr>
          <w:rFonts w:hint="eastAsia" w:ascii="仿宋" w:hAnsi="仿宋" w:eastAsia="仿宋" w:cs="仿宋"/>
          <w:b w:val="0"/>
          <w:bCs w:val="0"/>
          <w:sz w:val="30"/>
          <w:szCs w:val="30"/>
        </w:rPr>
        <w:t>分）</w:t>
      </w:r>
      <w:bookmarkEnd w:id="47"/>
      <w:bookmarkEnd w:id="48"/>
      <w:bookmarkEnd w:id="49"/>
      <w:bookmarkEnd w:id="50"/>
      <w:bookmarkEnd w:id="5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tbl>
      <w:tblPr>
        <w:tblStyle w:val="16"/>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8"/>
        <w:gridCol w:w="1852"/>
        <w:gridCol w:w="2835"/>
        <w:gridCol w:w="1510"/>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3"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40</w:t>
            </w:r>
            <w:r>
              <w:rPr>
                <w:rFonts w:hint="eastAsia" w:ascii="仿宋" w:hAnsi="仿宋" w:eastAsia="仿宋" w:cs="仿宋"/>
                <w:color w:val="000000"/>
                <w:kern w:val="0"/>
                <w:sz w:val="24"/>
                <w:szCs w:val="24"/>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8</w:t>
            </w:r>
            <w:r>
              <w:rPr>
                <w:rFonts w:hint="eastAsia" w:ascii="仿宋" w:hAnsi="仿宋" w:eastAsia="仿宋" w:cs="仿宋"/>
                <w:color w:val="000000"/>
                <w:kern w:val="0"/>
                <w:sz w:val="24"/>
                <w:szCs w:val="24"/>
              </w:rPr>
              <w:t>分）</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rPr>
              <w:t>补贴资金</w:t>
            </w:r>
            <w:r>
              <w:rPr>
                <w:rFonts w:hint="eastAsia" w:ascii="仿宋" w:hAnsi="仿宋" w:eastAsia="仿宋" w:cs="仿宋"/>
                <w:color w:val="000000"/>
                <w:kern w:val="0"/>
                <w:sz w:val="24"/>
                <w:szCs w:val="24"/>
              </w:rPr>
              <w:t>实际使用率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rPr>
              <w:t>补贴资金财务</w:t>
            </w:r>
            <w:r>
              <w:rPr>
                <w:rFonts w:hint="eastAsia" w:ascii="仿宋" w:hAnsi="仿宋" w:eastAsia="仿宋" w:cs="仿宋"/>
                <w:color w:val="000000"/>
                <w:kern w:val="0"/>
                <w:sz w:val="24"/>
                <w:szCs w:val="24"/>
              </w:rPr>
              <w:t>核算</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3"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rPr>
              <w:t>补贴资金</w:t>
            </w:r>
            <w:r>
              <w:rPr>
                <w:rFonts w:hint="eastAsia" w:ascii="仿宋" w:hAnsi="仿宋" w:eastAsia="仿宋" w:cs="仿宋"/>
                <w:color w:val="000000"/>
                <w:kern w:val="0"/>
                <w:sz w:val="24"/>
                <w:szCs w:val="24"/>
              </w:rPr>
              <w:t>支出合规性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7"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rPr>
              <w:t>补贴资金</w:t>
            </w:r>
            <w:r>
              <w:rPr>
                <w:rFonts w:hint="eastAsia" w:ascii="仿宋" w:hAnsi="仿宋" w:eastAsia="仿宋" w:cs="仿宋"/>
                <w:color w:val="000000"/>
                <w:kern w:val="0"/>
                <w:sz w:val="24"/>
                <w:szCs w:val="24"/>
              </w:rPr>
              <w:t>发放及时性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12</w:t>
            </w:r>
            <w:r>
              <w:rPr>
                <w:rFonts w:hint="eastAsia" w:ascii="仿宋" w:hAnsi="仿宋" w:eastAsia="仿宋" w:cs="仿宋"/>
                <w:color w:val="000000"/>
                <w:kern w:val="0"/>
                <w:sz w:val="24"/>
                <w:szCs w:val="24"/>
              </w:rPr>
              <w:t>分）</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管理制度是否健全</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补贴资金使用的档案资料</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2" w:hRule="exact"/>
          <w:jc w:val="center"/>
        </w:trPr>
        <w:tc>
          <w:tcPr>
            <w:tcW w:w="3503"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4</w:t>
            </w:r>
            <w:r>
              <w:rPr>
                <w:rFonts w:hint="eastAsia" w:ascii="仿宋" w:hAnsi="仿宋" w:eastAsia="仿宋" w:cs="仿宋"/>
                <w:color w:val="000000"/>
                <w:kern w:val="0"/>
                <w:sz w:val="24"/>
                <w:szCs w:val="24"/>
                <w:lang w:val="en-US" w:eastAsia="zh-CN"/>
              </w:rPr>
              <w:t>0</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37</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1.项目财务管理（2</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（1）</w:t>
      </w:r>
      <w:r>
        <w:rPr>
          <w:rFonts w:hint="eastAsia" w:ascii="仿宋" w:hAnsi="仿宋" w:eastAsia="仿宋" w:cs="仿宋"/>
          <w:sz w:val="30"/>
          <w:szCs w:val="30"/>
          <w:lang w:val="en-US" w:eastAsia="zh-CN"/>
        </w:rPr>
        <w:t>补贴资金</w:t>
      </w:r>
      <w:r>
        <w:rPr>
          <w:rFonts w:hint="eastAsia" w:ascii="仿宋" w:hAnsi="仿宋" w:eastAsia="仿宋" w:cs="仿宋"/>
          <w:sz w:val="30"/>
          <w:szCs w:val="30"/>
        </w:rPr>
        <w:t>实际使用率（</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该指标主要评价实际使用专项资金数额占专项资金实际拨付额比例。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w:t>
      </w:r>
      <w:r>
        <w:rPr>
          <w:rFonts w:hint="eastAsia" w:ascii="仿宋" w:hAnsi="仿宋" w:eastAsia="仿宋" w:cs="仿宋"/>
          <w:sz w:val="30"/>
          <w:szCs w:val="30"/>
          <w:lang w:val="en-US" w:eastAsia="zh-CN"/>
        </w:rPr>
        <w:t>曲阳县公交车运营补贴资金300.00万元</w:t>
      </w:r>
      <w:r>
        <w:rPr>
          <w:rFonts w:hint="eastAsia" w:ascii="仿宋" w:hAnsi="仿宋" w:eastAsia="仿宋" w:cs="仿宋"/>
          <w:sz w:val="30"/>
          <w:szCs w:val="30"/>
        </w:rPr>
        <w:t>用于该项目，</w:t>
      </w:r>
      <w:r>
        <w:rPr>
          <w:rFonts w:hint="eastAsia" w:ascii="仿宋" w:hAnsi="仿宋" w:eastAsia="仿宋" w:cs="仿宋"/>
          <w:sz w:val="30"/>
          <w:szCs w:val="30"/>
          <w:lang w:val="en-US" w:eastAsia="zh-CN"/>
        </w:rPr>
        <w:t>实际使用补贴资金300.00</w:t>
      </w:r>
      <w:r>
        <w:rPr>
          <w:rFonts w:hint="eastAsia" w:ascii="仿宋" w:hAnsi="仿宋" w:eastAsia="仿宋" w:cs="仿宋"/>
          <w:sz w:val="30"/>
          <w:szCs w:val="30"/>
        </w:rPr>
        <w:t>万元，实际使用</w:t>
      </w:r>
      <w:r>
        <w:rPr>
          <w:rFonts w:hint="eastAsia" w:ascii="仿宋" w:hAnsi="仿宋" w:eastAsia="仿宋" w:cs="仿宋"/>
          <w:sz w:val="30"/>
          <w:szCs w:val="30"/>
          <w:lang w:val="en-US" w:eastAsia="zh-CN"/>
        </w:rPr>
        <w:t>补贴资金</w:t>
      </w:r>
      <w:r>
        <w:rPr>
          <w:rFonts w:hint="eastAsia" w:ascii="仿宋" w:hAnsi="仿宋" w:eastAsia="仿宋" w:cs="仿宋"/>
          <w:sz w:val="30"/>
          <w:szCs w:val="30"/>
        </w:rPr>
        <w:t>数额占</w:t>
      </w:r>
      <w:r>
        <w:rPr>
          <w:rFonts w:hint="eastAsia" w:ascii="仿宋" w:hAnsi="仿宋" w:eastAsia="仿宋" w:cs="仿宋"/>
          <w:sz w:val="30"/>
          <w:szCs w:val="30"/>
          <w:lang w:val="en-US" w:eastAsia="zh-CN"/>
        </w:rPr>
        <w:t>补贴资金</w:t>
      </w:r>
      <w:r>
        <w:rPr>
          <w:rFonts w:hint="eastAsia" w:ascii="仿宋" w:hAnsi="仿宋" w:eastAsia="仿宋" w:cs="仿宋"/>
          <w:sz w:val="30"/>
          <w:szCs w:val="30"/>
        </w:rPr>
        <w:t>拨付额的比例为</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补贴资金财务</w:t>
      </w:r>
      <w:r>
        <w:rPr>
          <w:rFonts w:hint="eastAsia" w:ascii="仿宋" w:hAnsi="仿宋" w:eastAsia="仿宋" w:cs="仿宋"/>
          <w:sz w:val="30"/>
          <w:szCs w:val="30"/>
          <w:highlight w:val="none"/>
        </w:rPr>
        <w:t>核算（</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财务</w:t>
      </w:r>
      <w:r>
        <w:rPr>
          <w:rFonts w:hint="eastAsia" w:ascii="仿宋" w:hAnsi="仿宋" w:eastAsia="仿宋" w:cs="仿宋"/>
          <w:sz w:val="30"/>
          <w:szCs w:val="30"/>
        </w:rPr>
        <w:t>核算是否严格遵守有关法规及制度规定，会计核算是否规范，</w:t>
      </w:r>
      <w:r>
        <w:rPr>
          <w:rFonts w:hint="eastAsia" w:ascii="仿宋" w:hAnsi="仿宋" w:eastAsia="仿宋" w:cs="仿宋"/>
          <w:sz w:val="30"/>
          <w:szCs w:val="30"/>
          <w:lang w:val="en-US" w:eastAsia="zh-CN"/>
        </w:rPr>
        <w:t>奖补</w:t>
      </w:r>
      <w:r>
        <w:rPr>
          <w:rFonts w:hint="eastAsia" w:ascii="仿宋" w:hAnsi="仿宋" w:eastAsia="仿宋" w:cs="仿宋"/>
          <w:sz w:val="30"/>
          <w:szCs w:val="30"/>
        </w:rPr>
        <w:t>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该项目绩效资金为</w:t>
      </w:r>
      <w:r>
        <w:rPr>
          <w:rFonts w:hint="eastAsia" w:ascii="仿宋" w:hAnsi="仿宋" w:eastAsia="仿宋" w:cs="仿宋"/>
          <w:sz w:val="30"/>
          <w:szCs w:val="30"/>
          <w:lang w:val="en-US" w:eastAsia="zh-CN"/>
        </w:rPr>
        <w:t>300</w:t>
      </w:r>
      <w:r>
        <w:rPr>
          <w:rFonts w:hint="eastAsia" w:ascii="仿宋" w:hAnsi="仿宋" w:eastAsia="仿宋" w:cs="仿宋"/>
          <w:sz w:val="30"/>
          <w:szCs w:val="30"/>
        </w:rPr>
        <w:t>.00万元，账面记载专项资金支出金额为</w:t>
      </w:r>
      <w:r>
        <w:rPr>
          <w:rFonts w:hint="eastAsia" w:ascii="仿宋" w:hAnsi="仿宋" w:eastAsia="仿宋" w:cs="仿宋"/>
          <w:sz w:val="30"/>
          <w:szCs w:val="30"/>
          <w:lang w:val="en-US" w:eastAsia="zh-CN"/>
        </w:rPr>
        <w:t>300.00</w:t>
      </w:r>
      <w:r>
        <w:rPr>
          <w:rFonts w:hint="eastAsia" w:ascii="仿宋" w:hAnsi="仿宋" w:eastAsia="仿宋" w:cs="仿宋"/>
          <w:sz w:val="30"/>
          <w:szCs w:val="30"/>
        </w:rPr>
        <w:t>万元。 经检查，会计核算严格遵守《政府会计制度》的相关规定，科目使用正确，核算规范；各项补贴资金的支付申报、审批流程完善，支付依据充分合法。</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val="en-US" w:eastAsia="zh-CN"/>
        </w:rPr>
        <w:t>补贴</w:t>
      </w:r>
      <w:r>
        <w:rPr>
          <w:rFonts w:hint="eastAsia" w:ascii="仿宋" w:hAnsi="仿宋" w:eastAsia="仿宋" w:cs="仿宋"/>
          <w:sz w:val="30"/>
          <w:szCs w:val="30"/>
        </w:rPr>
        <w:t>资金支出合规性（</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821"/>
        <w:jc w:val="left"/>
        <w:rPr>
          <w:rFonts w:hint="eastAsia" w:ascii="仿宋" w:hAnsi="仿宋" w:eastAsia="仿宋" w:cs="仿宋"/>
          <w:sz w:val="30"/>
          <w:szCs w:val="30"/>
        </w:rPr>
      </w:pPr>
      <w:r>
        <w:rPr>
          <w:rFonts w:hint="eastAsia" w:ascii="仿宋" w:hAnsi="仿宋" w:eastAsia="仿宋" w:cs="仿宋"/>
          <w:sz w:val="30"/>
          <w:szCs w:val="30"/>
        </w:rPr>
        <w:t>经检查，该项目资金严格按照《</w:t>
      </w:r>
      <w:r>
        <w:rPr>
          <w:rFonts w:hint="eastAsia" w:ascii="仿宋" w:hAnsi="仿宋" w:eastAsia="仿宋" w:cs="仿宋"/>
          <w:sz w:val="30"/>
          <w:szCs w:val="30"/>
          <w:lang w:val="en-US" w:eastAsia="zh-CN"/>
        </w:rPr>
        <w:t>财政财务管理制度</w:t>
      </w:r>
      <w:r>
        <w:rPr>
          <w:rFonts w:hint="eastAsia" w:ascii="仿宋" w:hAnsi="仿宋" w:eastAsia="仿宋" w:cs="仿宋"/>
          <w:sz w:val="30"/>
          <w:szCs w:val="30"/>
        </w:rPr>
        <w:t>》的规定支出，专款专用，不存在截留、挤占、挪用等违规行为。</w:t>
      </w:r>
    </w:p>
    <w:p>
      <w:pPr>
        <w:pageBreakBefore w:val="0"/>
        <w:kinsoku/>
        <w:wordWrap/>
        <w:overflowPunct/>
        <w:topLinePunct w:val="0"/>
        <w:autoSpaceDE/>
        <w:autoSpaceDN/>
        <w:bidi w:val="0"/>
        <w:adjustRightInd/>
        <w:snapToGrid/>
        <w:spacing w:line="560" w:lineRule="exact"/>
        <w:ind w:firstLine="900" w:firstLineChars="3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（4）</w:t>
      </w:r>
      <w:r>
        <w:rPr>
          <w:rFonts w:hint="eastAsia" w:ascii="仿宋" w:hAnsi="仿宋" w:eastAsia="仿宋" w:cs="仿宋"/>
          <w:sz w:val="30"/>
          <w:szCs w:val="30"/>
          <w:lang w:val="en-US" w:eastAsia="zh-CN"/>
        </w:rPr>
        <w:t>补贴</w:t>
      </w:r>
      <w:r>
        <w:rPr>
          <w:rFonts w:hint="eastAsia" w:ascii="仿宋" w:hAnsi="仿宋" w:eastAsia="仿宋" w:cs="仿宋"/>
          <w:sz w:val="30"/>
          <w:szCs w:val="30"/>
        </w:rPr>
        <w:t>资金发放及时性（</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该指标主要评价专项资金发放是否及时，准确。</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经检查，该专项资金均按照申请金额予以拨付，支付及时、金额准确。</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2.项目业务管理（</w:t>
      </w:r>
      <w:r>
        <w:rPr>
          <w:rFonts w:hint="eastAsia" w:ascii="仿宋" w:hAnsi="仿宋" w:eastAsia="仿宋" w:cs="仿宋"/>
          <w:sz w:val="30"/>
          <w:szCs w:val="30"/>
          <w:lang w:val="en-US" w:eastAsia="zh-CN"/>
        </w:rPr>
        <w:t>12</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（1）管理制度是否健全（</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lang w:eastAsia="zh-CN"/>
        </w:rPr>
      </w:pPr>
      <w:r>
        <w:rPr>
          <w:rFonts w:hint="eastAsia" w:ascii="仿宋" w:hAnsi="仿宋" w:eastAsia="仿宋" w:cs="仿宋"/>
          <w:sz w:val="30"/>
          <w:szCs w:val="30"/>
        </w:rPr>
        <w:t xml:space="preserve">    该指标主要评价项目制定的管理制度和措施是否全面、明确、合理。能否保障项目顺利实施</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经检查，单位制定了《</w:t>
      </w:r>
      <w:r>
        <w:rPr>
          <w:rFonts w:hint="eastAsia" w:ascii="仿宋" w:hAnsi="仿宋" w:eastAsia="仿宋" w:cs="仿宋"/>
          <w:sz w:val="30"/>
          <w:szCs w:val="30"/>
          <w:lang w:val="en-US" w:eastAsia="zh-CN"/>
        </w:rPr>
        <w:t>曲阳县交通运输局资金使用管理制度</w:t>
      </w:r>
      <w:r>
        <w:rPr>
          <w:rFonts w:hint="eastAsia" w:ascii="仿宋" w:hAnsi="仿宋" w:eastAsia="仿宋" w:cs="仿宋"/>
          <w:sz w:val="30"/>
          <w:szCs w:val="30"/>
        </w:rPr>
        <w:t>》等相关制度，</w:t>
      </w:r>
      <w:r>
        <w:rPr>
          <w:rFonts w:hint="eastAsia" w:ascii="仿宋" w:hAnsi="仿宋" w:eastAsia="仿宋" w:cs="仿宋"/>
          <w:sz w:val="30"/>
          <w:szCs w:val="30"/>
          <w:lang w:eastAsia="zh-CN"/>
        </w:rPr>
        <w:t>但未制定项目管理制度。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hint="eastAsia" w:ascii="仿宋" w:hAnsi="仿宋" w:eastAsia="仿宋" w:cs="仿宋"/>
          <w:sz w:val="30"/>
          <w:szCs w:val="30"/>
        </w:rPr>
        <w:t>）项目档案资料完整性（</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w:t>
      </w:r>
      <w:r>
        <w:rPr>
          <w:rFonts w:hint="eastAsia" w:ascii="仿宋" w:hAnsi="仿宋" w:eastAsia="仿宋" w:cs="仿宋"/>
          <w:sz w:val="30"/>
          <w:szCs w:val="30"/>
          <w:lang w:val="en-US" w:eastAsia="zh-CN"/>
        </w:rPr>
        <w:t>检查</w:t>
      </w:r>
      <w:r>
        <w:rPr>
          <w:rFonts w:hint="eastAsia" w:ascii="仿宋" w:hAnsi="仿宋" w:eastAsia="仿宋" w:cs="仿宋"/>
          <w:sz w:val="30"/>
          <w:szCs w:val="30"/>
        </w:rPr>
        <w:t>资料是否齐全、完备，保存是否完整。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w:t>
      </w:r>
      <w:r>
        <w:rPr>
          <w:rFonts w:hint="eastAsia" w:ascii="仿宋" w:hAnsi="仿宋" w:eastAsia="仿宋" w:cs="仿宋"/>
          <w:sz w:val="30"/>
          <w:szCs w:val="30"/>
          <w:lang w:val="en-US" w:eastAsia="zh-CN"/>
        </w:rPr>
        <w:t>确定补贴资金金额的文件及项目管理制度未提供，其他检查</w:t>
      </w:r>
      <w:r>
        <w:rPr>
          <w:rFonts w:hint="eastAsia" w:ascii="仿宋" w:hAnsi="仿宋" w:eastAsia="仿宋" w:cs="仿宋"/>
          <w:sz w:val="30"/>
          <w:szCs w:val="30"/>
        </w:rPr>
        <w:t>资料比较齐全、完备，保存完整。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4</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rPr>
      </w:pPr>
      <w:bookmarkStart w:id="52" w:name="_Toc6507"/>
      <w:bookmarkStart w:id="53" w:name="_Toc30993"/>
      <w:bookmarkStart w:id="54" w:name="_Toc21112"/>
      <w:bookmarkStart w:id="55" w:name="_Toc83631045"/>
      <w:bookmarkStart w:id="56" w:name="_Toc83630335"/>
      <w:r>
        <w:rPr>
          <w:rFonts w:hint="eastAsia" w:ascii="仿宋" w:hAnsi="仿宋" w:eastAsia="仿宋" w:cs="仿宋"/>
          <w:b w:val="0"/>
          <w:bCs w:val="0"/>
          <w:sz w:val="30"/>
          <w:szCs w:val="30"/>
        </w:rPr>
        <w:t>（三）项目产出（3</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sz w:val="30"/>
          <w:szCs w:val="30"/>
        </w:rPr>
        <w:t>该一级指标包含2个二级指标</w:t>
      </w:r>
      <w:r>
        <w:rPr>
          <w:rFonts w:hint="eastAsia" w:ascii="仿宋" w:hAnsi="仿宋" w:eastAsia="仿宋" w:cs="仿宋"/>
          <w:sz w:val="30"/>
          <w:szCs w:val="30"/>
          <w:lang w:val="en-US" w:eastAsia="zh-CN"/>
        </w:rPr>
        <w:t>3</w:t>
      </w:r>
      <w:r>
        <w:rPr>
          <w:rFonts w:hint="eastAsia" w:ascii="仿宋" w:hAnsi="仿宋" w:eastAsia="仿宋" w:cs="仿宋"/>
          <w:sz w:val="30"/>
          <w:szCs w:val="30"/>
        </w:rPr>
        <w:t>个三级指标，主要为</w:t>
      </w:r>
      <w:r>
        <w:rPr>
          <w:rFonts w:hint="eastAsia" w:ascii="仿宋" w:hAnsi="仿宋" w:eastAsia="仿宋" w:cs="仿宋"/>
          <w:sz w:val="30"/>
          <w:szCs w:val="30"/>
          <w:lang w:val="en-US" w:eastAsia="zh-CN"/>
        </w:rPr>
        <w:t>1</w:t>
      </w:r>
      <w:r>
        <w:rPr>
          <w:rFonts w:hint="eastAsia" w:ascii="仿宋" w:hAnsi="仿宋" w:eastAsia="仿宋" w:cs="仿宋"/>
          <w:sz w:val="30"/>
          <w:szCs w:val="30"/>
        </w:rPr>
        <w:t>个数量指标：享受</w:t>
      </w:r>
      <w:r>
        <w:rPr>
          <w:rFonts w:hint="eastAsia" w:ascii="仿宋" w:hAnsi="仿宋" w:eastAsia="仿宋" w:cs="仿宋"/>
          <w:sz w:val="30"/>
          <w:szCs w:val="30"/>
          <w:lang w:val="en-US" w:eastAsia="zh-CN"/>
        </w:rPr>
        <w:t>补贴资金的金额</w:t>
      </w: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hint="eastAsia" w:ascii="仿宋" w:hAnsi="仿宋" w:eastAsia="仿宋" w:cs="仿宋"/>
          <w:sz w:val="30"/>
          <w:szCs w:val="30"/>
        </w:rPr>
        <w:t>个质量指标：</w:t>
      </w:r>
      <w:r>
        <w:rPr>
          <w:rFonts w:hint="eastAsia" w:ascii="仿宋" w:hAnsi="仿宋" w:eastAsia="仿宋" w:cs="仿宋"/>
          <w:sz w:val="30"/>
          <w:szCs w:val="30"/>
          <w:lang w:val="en-US" w:eastAsia="zh-CN"/>
        </w:rPr>
        <w:t>补贴资金</w:t>
      </w:r>
      <w:r>
        <w:rPr>
          <w:rFonts w:hint="eastAsia" w:ascii="仿宋" w:hAnsi="仿宋" w:eastAsia="仿宋" w:cs="仿宋"/>
          <w:sz w:val="30"/>
          <w:szCs w:val="30"/>
        </w:rPr>
        <w:t>发放</w:t>
      </w:r>
      <w:r>
        <w:rPr>
          <w:rFonts w:hint="eastAsia" w:ascii="仿宋" w:hAnsi="仿宋" w:eastAsia="仿宋" w:cs="仿宋"/>
          <w:sz w:val="30"/>
          <w:szCs w:val="30"/>
          <w:lang w:val="en-US" w:eastAsia="zh-CN"/>
        </w:rPr>
        <w:t>及时</w:t>
      </w:r>
      <w:r>
        <w:rPr>
          <w:rFonts w:hint="eastAsia" w:ascii="仿宋" w:hAnsi="仿宋" w:eastAsia="仿宋" w:cs="仿宋"/>
          <w:sz w:val="30"/>
          <w:szCs w:val="30"/>
        </w:rPr>
        <w:t>率、</w:t>
      </w:r>
      <w:r>
        <w:rPr>
          <w:rFonts w:hint="eastAsia" w:ascii="仿宋" w:hAnsi="仿宋" w:eastAsia="仿宋" w:cs="仿宋"/>
          <w:sz w:val="30"/>
          <w:szCs w:val="30"/>
          <w:lang w:val="en-US" w:eastAsia="zh-CN"/>
        </w:rPr>
        <w:t>补贴资金</w:t>
      </w:r>
      <w:r>
        <w:rPr>
          <w:rFonts w:hint="eastAsia" w:ascii="仿宋" w:hAnsi="仿宋" w:eastAsia="仿宋" w:cs="仿宋"/>
          <w:sz w:val="30"/>
          <w:szCs w:val="30"/>
        </w:rPr>
        <w:t>发放准确率。</w:t>
      </w:r>
    </w:p>
    <w:tbl>
      <w:tblPr>
        <w:tblStyle w:val="16"/>
        <w:tblW w:w="4995" w:type="pct"/>
        <w:jc w:val="center"/>
        <w:tblLayout w:type="autofit"/>
        <w:tblCellMar>
          <w:top w:w="15" w:type="dxa"/>
          <w:left w:w="15" w:type="dxa"/>
          <w:bottom w:w="15" w:type="dxa"/>
          <w:right w:w="15" w:type="dxa"/>
        </w:tblCellMar>
      </w:tblPr>
      <w:tblGrid>
        <w:gridCol w:w="1670"/>
        <w:gridCol w:w="1449"/>
        <w:gridCol w:w="3990"/>
        <w:gridCol w:w="1463"/>
        <w:gridCol w:w="1086"/>
      </w:tblGrid>
      <w:tr>
        <w:tblPrEx>
          <w:tblCellMar>
            <w:top w:w="15" w:type="dxa"/>
            <w:left w:w="15" w:type="dxa"/>
            <w:bottom w:w="15" w:type="dxa"/>
            <w:right w:w="15" w:type="dxa"/>
          </w:tblCellMar>
        </w:tblPrEx>
        <w:trPr>
          <w:trHeight w:val="479" w:hRule="exact"/>
          <w:jc w:val="center"/>
        </w:trPr>
        <w:tc>
          <w:tcPr>
            <w:tcW w:w="86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7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206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99" w:hRule="exact"/>
          <w:jc w:val="center"/>
        </w:trPr>
        <w:tc>
          <w:tcPr>
            <w:tcW w:w="865" w:type="pct"/>
            <w:vMerge w:val="restart"/>
            <w:tcBorders>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项目产出</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分）</w:t>
            </w:r>
          </w:p>
        </w:tc>
        <w:tc>
          <w:tcPr>
            <w:tcW w:w="750"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数量指标</w:t>
            </w:r>
          </w:p>
        </w:tc>
        <w:tc>
          <w:tcPr>
            <w:tcW w:w="2065" w:type="pct"/>
            <w:tcBorders>
              <w:top w:val="single" w:color="000000" w:sz="4" w:space="0"/>
              <w:left w:val="single" w:color="000000" w:sz="4" w:space="0"/>
              <w:bottom w:val="single" w:color="000000" w:sz="4" w:space="0"/>
              <w:right w:val="single" w:color="000000" w:sz="4" w:space="0"/>
            </w:tcBorders>
          </w:tcPr>
          <w:p>
            <w:pPr>
              <w:pageBreakBefore w:val="0"/>
              <w:widowControl/>
              <w:kinsoku/>
              <w:wordWrap/>
              <w:overflowPunct/>
              <w:topLinePunct w:val="0"/>
              <w:autoSpaceDE/>
              <w:autoSpaceDN/>
              <w:bidi w:val="0"/>
              <w:adjustRightInd/>
              <w:snapToGrid/>
              <w:spacing w:line="560" w:lineRule="exac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享受</w:t>
            </w:r>
            <w:r>
              <w:rPr>
                <w:rFonts w:hint="eastAsia" w:ascii="仿宋" w:hAnsi="仿宋" w:eastAsia="仿宋" w:cs="仿宋"/>
                <w:color w:val="000000"/>
                <w:sz w:val="24"/>
                <w:szCs w:val="24"/>
                <w:lang w:val="en-US" w:eastAsia="zh-CN"/>
              </w:rPr>
              <w:t>补贴资金的金额</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r>
      <w:tr>
        <w:tblPrEx>
          <w:tblCellMar>
            <w:top w:w="15" w:type="dxa"/>
            <w:left w:w="15" w:type="dxa"/>
            <w:bottom w:w="15" w:type="dxa"/>
            <w:right w:w="15" w:type="dxa"/>
          </w:tblCellMar>
        </w:tblPrEx>
        <w:trPr>
          <w:trHeight w:val="625" w:hRule="exac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750" w:type="pct"/>
            <w:vMerge w:val="restart"/>
            <w:tcBorders>
              <w:top w:val="single" w:color="000000" w:sz="4" w:space="0"/>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质量指标</w:t>
            </w:r>
          </w:p>
        </w:tc>
        <w:tc>
          <w:tcPr>
            <w:tcW w:w="2065" w:type="pct"/>
            <w:tcBorders>
              <w:top w:val="single" w:color="000000" w:sz="4" w:space="0"/>
              <w:left w:val="single" w:color="000000" w:sz="4" w:space="0"/>
              <w:bottom w:val="single" w:color="000000" w:sz="4" w:space="0"/>
              <w:right w:val="single" w:color="000000" w:sz="4" w:space="0"/>
            </w:tcBorders>
          </w:tcPr>
          <w:p>
            <w:pPr>
              <w:pageBreakBefore w:val="0"/>
              <w:widowControl/>
              <w:kinsoku/>
              <w:wordWrap/>
              <w:overflowPunct/>
              <w:topLinePunct w:val="0"/>
              <w:autoSpaceDE/>
              <w:autoSpaceDN/>
              <w:bidi w:val="0"/>
              <w:adjustRightInd/>
              <w:snapToGrid/>
              <w:spacing w:line="560" w:lineRule="exac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补贴资金发放及时率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tblPrEx>
          <w:tblCellMar>
            <w:top w:w="15" w:type="dxa"/>
            <w:left w:w="15" w:type="dxa"/>
            <w:bottom w:w="15" w:type="dxa"/>
            <w:right w:w="15" w:type="dxa"/>
          </w:tblCellMar>
        </w:tblPrEx>
        <w:trPr>
          <w:trHeight w:val="563" w:hRule="exac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750"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2065" w:type="pct"/>
            <w:tcBorders>
              <w:top w:val="single" w:color="000000" w:sz="4" w:space="0"/>
              <w:left w:val="single" w:color="000000" w:sz="4" w:space="0"/>
              <w:bottom w:val="single" w:color="000000" w:sz="4" w:space="0"/>
              <w:right w:val="single" w:color="000000" w:sz="4" w:space="0"/>
            </w:tcBorders>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补贴资金</w:t>
            </w:r>
            <w:r>
              <w:rPr>
                <w:rFonts w:hint="eastAsia" w:ascii="仿宋" w:hAnsi="仿宋" w:eastAsia="仿宋" w:cs="仿宋"/>
                <w:color w:val="000000"/>
                <w:sz w:val="24"/>
                <w:szCs w:val="24"/>
              </w:rPr>
              <w:t>发放准确率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tblPrEx>
          <w:tblCellMar>
            <w:top w:w="15" w:type="dxa"/>
            <w:left w:w="15" w:type="dxa"/>
            <w:bottom w:w="15" w:type="dxa"/>
            <w:right w:w="15" w:type="dxa"/>
          </w:tblCellMar>
        </w:tblPrEx>
        <w:trPr>
          <w:trHeight w:val="454"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val="en-US" w:eastAsia="zh-CN"/>
              </w:rPr>
              <w:t>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28</w:t>
            </w:r>
          </w:p>
        </w:tc>
      </w:tr>
    </w:tbl>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kern w:val="2"/>
          <w:sz w:val="30"/>
          <w:szCs w:val="30"/>
        </w:rPr>
      </w:pPr>
      <w:r>
        <w:rPr>
          <w:rFonts w:hint="eastAsia" w:ascii="仿宋" w:hAnsi="仿宋" w:eastAsia="仿宋" w:cs="仿宋"/>
          <w:sz w:val="30"/>
          <w:szCs w:val="30"/>
        </w:rPr>
        <w:t>1、</w:t>
      </w:r>
      <w:r>
        <w:rPr>
          <w:rFonts w:hint="eastAsia" w:ascii="仿宋" w:hAnsi="仿宋" w:eastAsia="仿宋" w:cs="仿宋"/>
          <w:kern w:val="2"/>
          <w:sz w:val="30"/>
          <w:szCs w:val="30"/>
        </w:rPr>
        <w:t>享受</w:t>
      </w:r>
      <w:r>
        <w:rPr>
          <w:rFonts w:hint="eastAsia" w:ascii="仿宋" w:hAnsi="仿宋" w:eastAsia="仿宋" w:cs="仿宋"/>
          <w:kern w:val="2"/>
          <w:sz w:val="30"/>
          <w:szCs w:val="30"/>
          <w:lang w:val="en-US" w:eastAsia="zh-CN"/>
        </w:rPr>
        <w:t>补贴资金的金额</w:t>
      </w:r>
      <w:r>
        <w:rPr>
          <w:rFonts w:hint="eastAsia" w:ascii="仿宋" w:hAnsi="仿宋" w:eastAsia="仿宋" w:cs="仿宋"/>
          <w:kern w:val="2"/>
          <w:sz w:val="30"/>
          <w:szCs w:val="30"/>
        </w:rPr>
        <w:t>（</w:t>
      </w:r>
      <w:r>
        <w:rPr>
          <w:rFonts w:hint="eastAsia" w:ascii="仿宋" w:hAnsi="仿宋" w:eastAsia="仿宋" w:cs="仿宋"/>
          <w:kern w:val="2"/>
          <w:sz w:val="30"/>
          <w:szCs w:val="30"/>
          <w:lang w:val="en-US" w:eastAsia="zh-CN"/>
        </w:rPr>
        <w:t>10</w:t>
      </w:r>
      <w:r>
        <w:rPr>
          <w:rFonts w:hint="eastAsia" w:ascii="仿宋" w:hAnsi="仿宋" w:eastAsia="仿宋" w:cs="仿宋"/>
          <w:kern w:val="2"/>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享受补贴资金的金额</w:t>
      </w:r>
      <w:r>
        <w:rPr>
          <w:rFonts w:hint="eastAsia" w:ascii="仿宋" w:hAnsi="仿宋" w:eastAsia="仿宋" w:cs="仿宋"/>
          <w:sz w:val="30"/>
          <w:szCs w:val="30"/>
        </w:rPr>
        <w:t>是否按相关文件的标准予以补贴。</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经检查，支付给曲阳县公交运输有限公司的补贴资金300万元，</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河北省人民政府关于城市优先发展公共交通的实施意见》（冀政〔2013〕45号）规定每年要安排不低于1％的当年财政预算收入，作为城市公共交通发展专项资金，重点用于车辆设备购置，综合交通枢纽、场站、智能化建设，运营补偿补贴。由于补贴金额未达到文件条款要求，酌情扣减2分</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w:t>
      </w:r>
      <w:r>
        <w:rPr>
          <w:rFonts w:hint="eastAsia" w:ascii="仿宋" w:hAnsi="仿宋" w:eastAsia="仿宋" w:cs="仿宋"/>
          <w:sz w:val="30"/>
          <w:szCs w:val="30"/>
          <w:lang w:val="en-US" w:eastAsia="zh-CN"/>
        </w:rPr>
        <w:t>奖补资金发放及时率</w:t>
      </w:r>
      <w:r>
        <w:rPr>
          <w:rFonts w:hint="eastAsia" w:ascii="仿宋" w:hAnsi="仿宋" w:eastAsia="仿宋" w:cs="仿宋"/>
          <w:sz w:val="30"/>
          <w:szCs w:val="30"/>
        </w:rPr>
        <w:t>（</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补贴资金发放的及时率是否达到了100%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经检查，交通运输局发放补贴资金及时率达到了100%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w:t>
      </w:r>
      <w:r>
        <w:rPr>
          <w:rFonts w:hint="eastAsia" w:ascii="仿宋" w:hAnsi="仿宋" w:eastAsia="仿宋" w:cs="仿宋"/>
          <w:sz w:val="30"/>
          <w:szCs w:val="30"/>
          <w:lang w:val="en-US" w:eastAsia="zh-CN"/>
        </w:rPr>
        <w:t>奖补资金</w:t>
      </w:r>
      <w:r>
        <w:rPr>
          <w:rFonts w:hint="eastAsia" w:ascii="仿宋" w:hAnsi="仿宋" w:eastAsia="仿宋" w:cs="仿宋"/>
          <w:sz w:val="30"/>
          <w:szCs w:val="30"/>
        </w:rPr>
        <w:t>发放准确率（</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rPr>
          <w:rFonts w:hint="default" w:ascii="仿宋" w:hAnsi="仿宋" w:eastAsia="仿宋" w:cs="仿宋"/>
          <w:sz w:val="30"/>
          <w:szCs w:val="30"/>
          <w:lang w:val="en-US" w:eastAsia="zh-CN"/>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补贴资金发放是否按文件要求准确发放</w:t>
      </w:r>
    </w:p>
    <w:p>
      <w:pPr>
        <w:pageBreakBefore w:val="0"/>
        <w:kinsoku/>
        <w:wordWrap/>
        <w:overflowPunct/>
        <w:topLinePunct w:val="0"/>
        <w:autoSpaceDE/>
        <w:autoSpaceDN/>
        <w:bidi w:val="0"/>
        <w:adjustRightInd/>
        <w:snapToGrid/>
        <w:spacing w:line="560" w:lineRule="exact"/>
        <w:ind w:firstLine="560"/>
        <w:rPr>
          <w:rFonts w:hint="default" w:ascii="仿宋" w:hAnsi="仿宋" w:eastAsia="仿宋" w:cs="仿宋"/>
          <w:sz w:val="30"/>
          <w:szCs w:val="30"/>
          <w:lang w:val="en-US" w:eastAsia="zh-CN"/>
        </w:rPr>
      </w:pPr>
      <w:r>
        <w:rPr>
          <w:rFonts w:hint="eastAsia" w:ascii="仿宋" w:hAnsi="仿宋" w:eastAsia="仿宋" w:cs="仿宋"/>
          <w:sz w:val="30"/>
          <w:szCs w:val="30"/>
        </w:rPr>
        <w:t>经检查，</w:t>
      </w:r>
      <w:r>
        <w:rPr>
          <w:rFonts w:hint="eastAsia" w:ascii="仿宋" w:hAnsi="仿宋" w:eastAsia="仿宋" w:cs="仿宋"/>
          <w:sz w:val="30"/>
          <w:szCs w:val="30"/>
          <w:lang w:val="en-US" w:eastAsia="zh-CN"/>
        </w:rPr>
        <w:t>应发放给曲阳县公交运输有限公司的300.00万元已直接发放给本企业。</w:t>
      </w:r>
    </w:p>
    <w:p>
      <w:pPr>
        <w:pageBreakBefore w:val="0"/>
        <w:kinsoku/>
        <w:wordWrap/>
        <w:overflowPunct/>
        <w:topLinePunct w:val="0"/>
        <w:autoSpaceDE/>
        <w:autoSpaceDN/>
        <w:bidi w:val="0"/>
        <w:adjustRightInd/>
        <w:snapToGrid/>
        <w:spacing w:line="560" w:lineRule="exact"/>
        <w:ind w:firstLine="56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57" w:name="_Toc16415"/>
      <w:bookmarkStart w:id="58" w:name="_Toc1929"/>
      <w:bookmarkStart w:id="59" w:name="_Toc833"/>
      <w:bookmarkStart w:id="60" w:name="_Toc83630336"/>
      <w:bookmarkStart w:id="61" w:name="_Toc83631046"/>
      <w:r>
        <w:rPr>
          <w:rFonts w:hint="eastAsia" w:ascii="仿宋" w:hAnsi="仿宋" w:eastAsia="仿宋" w:cs="仿宋"/>
          <w:b w:val="0"/>
          <w:bCs w:val="0"/>
          <w:sz w:val="30"/>
          <w:szCs w:val="30"/>
        </w:rPr>
        <w:t>（四）项目效果（</w:t>
      </w:r>
      <w:r>
        <w:rPr>
          <w:rFonts w:hint="eastAsia" w:ascii="仿宋" w:hAnsi="仿宋" w:eastAsia="仿宋" w:cs="仿宋"/>
          <w:b w:val="0"/>
          <w:bCs w:val="0"/>
          <w:sz w:val="30"/>
          <w:szCs w:val="30"/>
          <w:lang w:val="en-US" w:eastAsia="zh-CN"/>
        </w:rPr>
        <w:t>17</w:t>
      </w:r>
      <w:r>
        <w:rPr>
          <w:rFonts w:hint="eastAsia" w:ascii="仿宋" w:hAnsi="仿宋" w:eastAsia="仿宋" w:cs="仿宋"/>
          <w:b w:val="0"/>
          <w:bCs w:val="0"/>
          <w:sz w:val="30"/>
          <w:szCs w:val="30"/>
        </w:rPr>
        <w:t>分）</w:t>
      </w:r>
      <w:bookmarkEnd w:id="57"/>
      <w:bookmarkEnd w:id="58"/>
      <w:bookmarkEnd w:id="59"/>
      <w:bookmarkEnd w:id="60"/>
      <w:bookmarkEnd w:id="6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62" w:name="_Toc14139"/>
      <w:bookmarkStart w:id="63" w:name="_Toc83631047"/>
      <w:bookmarkStart w:id="64" w:name="_Toc27277"/>
      <w:bookmarkStart w:id="65" w:name="_Toc83630433"/>
      <w:bookmarkStart w:id="66" w:name="_Toc83630337"/>
      <w:r>
        <w:rPr>
          <w:rFonts w:hint="eastAsia" w:ascii="仿宋" w:hAnsi="仿宋" w:eastAsia="仿宋" w:cs="仿宋"/>
          <w:sz w:val="30"/>
          <w:szCs w:val="30"/>
        </w:rPr>
        <w:t>该一级指标包含项目效益1个二级指标和通过政府的</w:t>
      </w:r>
      <w:r>
        <w:rPr>
          <w:rFonts w:hint="eastAsia" w:ascii="仿宋" w:hAnsi="仿宋" w:eastAsia="仿宋" w:cs="仿宋"/>
          <w:sz w:val="30"/>
          <w:szCs w:val="30"/>
          <w:lang w:val="en-US" w:eastAsia="zh-CN"/>
        </w:rPr>
        <w:t>补贴</w:t>
      </w:r>
      <w:r>
        <w:rPr>
          <w:rFonts w:hint="eastAsia" w:ascii="仿宋" w:hAnsi="仿宋" w:eastAsia="仿宋" w:cs="仿宋"/>
          <w:sz w:val="30"/>
          <w:szCs w:val="30"/>
        </w:rPr>
        <w:t>资金,加快了企业的发展规模</w:t>
      </w:r>
      <w:r>
        <w:rPr>
          <w:rFonts w:hint="eastAsia" w:ascii="仿宋" w:hAnsi="仿宋" w:eastAsia="仿宋" w:cs="仿宋"/>
          <w:sz w:val="30"/>
          <w:szCs w:val="30"/>
          <w:lang w:eastAsia="zh-CN"/>
        </w:rPr>
        <w:t>、通过政府的</w:t>
      </w:r>
      <w:r>
        <w:rPr>
          <w:rFonts w:hint="eastAsia" w:ascii="仿宋" w:hAnsi="仿宋" w:eastAsia="仿宋" w:cs="仿宋"/>
          <w:sz w:val="30"/>
          <w:szCs w:val="30"/>
          <w:lang w:val="en-US" w:eastAsia="zh-CN"/>
        </w:rPr>
        <w:t>补贴</w:t>
      </w:r>
      <w:r>
        <w:rPr>
          <w:rFonts w:hint="eastAsia" w:ascii="仿宋" w:hAnsi="仿宋" w:eastAsia="仿宋" w:cs="仿宋"/>
          <w:sz w:val="30"/>
          <w:szCs w:val="30"/>
        </w:rPr>
        <w:t>资金</w:t>
      </w:r>
      <w:r>
        <w:rPr>
          <w:rFonts w:hint="eastAsia" w:ascii="仿宋" w:hAnsi="仿宋" w:eastAsia="仿宋" w:cs="仿宋"/>
          <w:sz w:val="30"/>
          <w:szCs w:val="30"/>
          <w:lang w:eastAsia="zh-CN"/>
        </w:rPr>
        <w:t>,提高了企业的创新速度</w:t>
      </w:r>
      <w:r>
        <w:rPr>
          <w:rFonts w:hint="eastAsia" w:ascii="仿宋" w:hAnsi="仿宋" w:eastAsia="仿宋" w:cs="仿宋"/>
          <w:sz w:val="30"/>
          <w:szCs w:val="30"/>
          <w:lang w:val="en-US" w:eastAsia="zh-CN"/>
        </w:rPr>
        <w:t>和促进了地方经济的发展,对政府的招商引资起到了推动作用3</w:t>
      </w:r>
      <w:r>
        <w:rPr>
          <w:rFonts w:hint="eastAsia" w:ascii="仿宋" w:hAnsi="仿宋" w:eastAsia="仿宋" w:cs="仿宋"/>
          <w:sz w:val="30"/>
          <w:szCs w:val="30"/>
        </w:rPr>
        <w:t>个三级指标。主要评价项目实施后所产生的各种效益，包括</w:t>
      </w:r>
      <w:r>
        <w:rPr>
          <w:rFonts w:hint="eastAsia" w:ascii="仿宋" w:hAnsi="仿宋" w:eastAsia="仿宋" w:cs="仿宋"/>
          <w:sz w:val="30"/>
          <w:szCs w:val="30"/>
          <w:lang w:val="en-US" w:eastAsia="zh-CN"/>
        </w:rPr>
        <w:t>增强企业自主创新能力，提升管理水平，提高经济效益</w:t>
      </w:r>
      <w:r>
        <w:rPr>
          <w:rFonts w:hint="eastAsia" w:ascii="仿宋" w:hAnsi="仿宋" w:eastAsia="仿宋" w:cs="仿宋"/>
          <w:sz w:val="30"/>
          <w:szCs w:val="30"/>
        </w:rPr>
        <w:t>。</w:t>
      </w:r>
      <w:bookmarkEnd w:id="62"/>
      <w:bookmarkEnd w:id="63"/>
      <w:bookmarkEnd w:id="64"/>
      <w:bookmarkEnd w:id="65"/>
      <w:bookmarkEnd w:id="66"/>
    </w:p>
    <w:tbl>
      <w:tblPr>
        <w:tblStyle w:val="16"/>
        <w:tblW w:w="4995" w:type="pct"/>
        <w:jc w:val="center"/>
        <w:tblLayout w:type="autofit"/>
        <w:tblCellMar>
          <w:top w:w="15" w:type="dxa"/>
          <w:left w:w="15" w:type="dxa"/>
          <w:bottom w:w="15" w:type="dxa"/>
          <w:right w:w="15" w:type="dxa"/>
        </w:tblCellMar>
      </w:tblPr>
      <w:tblGrid>
        <w:gridCol w:w="2023"/>
        <w:gridCol w:w="1594"/>
        <w:gridCol w:w="2946"/>
        <w:gridCol w:w="1654"/>
        <w:gridCol w:w="1441"/>
      </w:tblGrid>
      <w:tr>
        <w:tblPrEx>
          <w:tblCellMar>
            <w:top w:w="15" w:type="dxa"/>
            <w:left w:w="15" w:type="dxa"/>
            <w:bottom w:w="15" w:type="dxa"/>
            <w:right w:w="15" w:type="dxa"/>
          </w:tblCellMar>
        </w:tblPrEx>
        <w:trPr>
          <w:trHeight w:val="454" w:hRule="exact"/>
          <w:jc w:val="center"/>
        </w:trPr>
        <w:tc>
          <w:tcPr>
            <w:tcW w:w="104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82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524"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85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679" w:hRule="exact"/>
          <w:jc w:val="center"/>
        </w:trPr>
        <w:tc>
          <w:tcPr>
            <w:tcW w:w="1047"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项目效果</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w:t>
            </w:r>
          </w:p>
        </w:tc>
        <w:tc>
          <w:tcPr>
            <w:tcW w:w="825"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项目效益</w:t>
            </w:r>
          </w:p>
        </w:tc>
        <w:tc>
          <w:tcPr>
            <w:tcW w:w="1524" w:type="pct"/>
            <w:tcBorders>
              <w:top w:val="single" w:color="000000" w:sz="4" w:space="0"/>
              <w:left w:val="single" w:color="000000" w:sz="4" w:space="0"/>
              <w:bottom w:val="single" w:color="000000" w:sz="4" w:space="0"/>
              <w:right w:val="single" w:color="000000" w:sz="4" w:space="0"/>
            </w:tcBorders>
            <w:vAlign w:val="top"/>
          </w:tcPr>
          <w:p>
            <w:pPr>
              <w:pageBreakBefore w:val="0"/>
              <w:widowControl/>
              <w:kinsoku/>
              <w:wordWrap/>
              <w:overflowPunct/>
              <w:topLinePunct w:val="0"/>
              <w:autoSpaceDE/>
              <w:autoSpaceDN/>
              <w:bidi w:val="0"/>
              <w:adjustRightInd/>
              <w:snapToGrid/>
              <w:spacing w:line="560" w:lineRule="exact"/>
              <w:jc w:val="both"/>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有效推动了企业的复工复产</w:t>
            </w:r>
          </w:p>
        </w:tc>
        <w:tc>
          <w:tcPr>
            <w:tcW w:w="1654"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1441"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CellMar>
            <w:top w:w="15" w:type="dxa"/>
            <w:left w:w="15" w:type="dxa"/>
            <w:bottom w:w="15" w:type="dxa"/>
            <w:right w:w="15" w:type="dxa"/>
          </w:tblCellMar>
        </w:tblPrEx>
        <w:trPr>
          <w:trHeight w:val="1065" w:hRule="exact"/>
          <w:jc w:val="center"/>
        </w:trPr>
        <w:tc>
          <w:tcPr>
            <w:tcW w:w="1047"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82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524" w:type="pct"/>
            <w:tcBorders>
              <w:top w:val="single" w:color="000000" w:sz="4" w:space="0"/>
              <w:left w:val="single" w:color="000000" w:sz="4" w:space="0"/>
              <w:bottom w:val="single" w:color="000000" w:sz="4" w:space="0"/>
              <w:right w:val="single" w:color="000000" w:sz="4" w:space="0"/>
            </w:tcBorders>
            <w:vAlign w:val="top"/>
          </w:tcPr>
          <w:p>
            <w:pPr>
              <w:pageBreakBefore w:val="0"/>
              <w:widowControl/>
              <w:kinsoku/>
              <w:wordWrap/>
              <w:overflowPunct/>
              <w:topLinePunct w:val="0"/>
              <w:autoSpaceDE/>
              <w:autoSpaceDN/>
              <w:bidi w:val="0"/>
              <w:adjustRightInd/>
              <w:snapToGrid/>
              <w:spacing w:line="560" w:lineRule="exact"/>
              <w:jc w:val="both"/>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促进</w:t>
            </w:r>
            <w:r>
              <w:rPr>
                <w:rFonts w:hint="eastAsia" w:ascii="仿宋" w:hAnsi="仿宋" w:eastAsia="仿宋" w:cs="仿宋"/>
                <w:color w:val="000000"/>
                <w:sz w:val="24"/>
                <w:szCs w:val="24"/>
              </w:rPr>
              <w:t>了企业的</w:t>
            </w:r>
            <w:r>
              <w:rPr>
                <w:rFonts w:hint="eastAsia" w:ascii="仿宋" w:hAnsi="仿宋" w:eastAsia="仿宋" w:cs="仿宋"/>
                <w:color w:val="000000"/>
                <w:sz w:val="24"/>
                <w:szCs w:val="24"/>
                <w:lang w:val="en-US" w:eastAsia="zh-CN"/>
              </w:rPr>
              <w:t>健康、有序、持续发展</w:t>
            </w:r>
          </w:p>
        </w:tc>
        <w:tc>
          <w:tcPr>
            <w:tcW w:w="85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CellMar>
            <w:top w:w="15" w:type="dxa"/>
            <w:left w:w="15" w:type="dxa"/>
            <w:bottom w:w="15" w:type="dxa"/>
            <w:right w:w="15" w:type="dxa"/>
          </w:tblCellMar>
        </w:tblPrEx>
        <w:trPr>
          <w:trHeight w:val="1549" w:hRule="exact"/>
          <w:jc w:val="center"/>
        </w:trPr>
        <w:tc>
          <w:tcPr>
            <w:tcW w:w="1047"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82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524" w:type="pct"/>
            <w:tcBorders>
              <w:top w:val="single" w:color="000000" w:sz="4" w:space="0"/>
              <w:left w:val="single" w:color="000000" w:sz="4" w:space="0"/>
              <w:bottom w:val="single" w:color="000000" w:sz="4" w:space="0"/>
              <w:right w:val="single" w:color="000000" w:sz="4" w:space="0"/>
            </w:tcBorders>
            <w:vAlign w:val="top"/>
          </w:tcPr>
          <w:p>
            <w:pPr>
              <w:pageBreakBefore w:val="0"/>
              <w:widowControl/>
              <w:kinsoku/>
              <w:wordWrap/>
              <w:overflowPunct/>
              <w:topLinePunct w:val="0"/>
              <w:autoSpaceDE/>
              <w:autoSpaceDN/>
              <w:bidi w:val="0"/>
              <w:adjustRightInd/>
              <w:snapToGrid/>
              <w:spacing w:line="560" w:lineRule="exact"/>
              <w:jc w:val="both"/>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满足群众生产生活需要</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对增强公共交通承载能力和运行效率有积极的社会影响</w:t>
            </w:r>
          </w:p>
        </w:tc>
        <w:tc>
          <w:tcPr>
            <w:tcW w:w="85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6</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rPr>
              <w:t>6</w:t>
            </w:r>
          </w:p>
        </w:tc>
      </w:tr>
      <w:tr>
        <w:tblPrEx>
          <w:tblCellMar>
            <w:top w:w="15" w:type="dxa"/>
            <w:left w:w="15" w:type="dxa"/>
            <w:bottom w:w="15" w:type="dxa"/>
            <w:right w:w="15" w:type="dxa"/>
          </w:tblCellMar>
        </w:tblPrEx>
        <w:trPr>
          <w:trHeight w:val="454" w:hRule="exact"/>
          <w:jc w:val="center"/>
        </w:trPr>
        <w:tc>
          <w:tcPr>
            <w:tcW w:w="3397"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85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20</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有效推动了企业的复工复产</w:t>
      </w:r>
      <w:r>
        <w:rPr>
          <w:rFonts w:hint="eastAsia" w:ascii="仿宋" w:hAnsi="仿宋" w:eastAsia="仿宋" w:cs="仿宋"/>
          <w:sz w:val="30"/>
          <w:szCs w:val="30"/>
        </w:rPr>
        <w:t>（</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该指标主要评价项目是否</w:t>
      </w:r>
      <w:r>
        <w:rPr>
          <w:rFonts w:hint="eastAsia" w:ascii="仿宋" w:hAnsi="仿宋" w:eastAsia="仿宋" w:cs="仿宋"/>
          <w:sz w:val="30"/>
          <w:szCs w:val="30"/>
          <w:lang w:val="en-US" w:eastAsia="zh-CN"/>
        </w:rPr>
        <w:t>有效推动了企业的复工复产</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疫情发生后，推动企业的复工复产作为恢复经济发展的重点。通过补贴资金的发放，有效推动了企业的复工复产，一定程度上减少了疫情对企业经营发展的影响。</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color w:val="FF0000"/>
          <w:sz w:val="30"/>
          <w:szCs w:val="30"/>
        </w:rPr>
      </w:pPr>
      <w:r>
        <w:rPr>
          <w:rFonts w:hint="eastAsia" w:ascii="仿宋" w:hAnsi="仿宋" w:eastAsia="仿宋" w:cs="仿宋"/>
          <w:sz w:val="30"/>
          <w:szCs w:val="30"/>
        </w:rPr>
        <w:t>2.</w:t>
      </w:r>
      <w:r>
        <w:rPr>
          <w:rFonts w:hint="eastAsia" w:ascii="仿宋" w:hAnsi="仿宋" w:eastAsia="仿宋" w:cs="仿宋"/>
          <w:sz w:val="30"/>
          <w:szCs w:val="30"/>
          <w:lang w:val="en-US" w:eastAsia="zh-CN"/>
        </w:rPr>
        <w:t>促进了企业的持续发展</w:t>
      </w:r>
      <w:r>
        <w:rPr>
          <w:rFonts w:hint="eastAsia" w:ascii="仿宋" w:hAnsi="仿宋" w:eastAsia="仿宋" w:cs="仿宋"/>
          <w:sz w:val="30"/>
          <w:szCs w:val="30"/>
        </w:rPr>
        <w:t>（</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rPr>
      </w:pPr>
      <w:r>
        <w:rPr>
          <w:rFonts w:hint="eastAsia" w:ascii="仿宋" w:hAnsi="仿宋" w:eastAsia="仿宋" w:cs="仿宋"/>
          <w:sz w:val="30"/>
          <w:szCs w:val="30"/>
        </w:rPr>
        <w:t>该指标主要评价项目是否</w:t>
      </w:r>
      <w:r>
        <w:rPr>
          <w:rFonts w:hint="eastAsia" w:ascii="仿宋" w:hAnsi="仿宋" w:eastAsia="仿宋" w:cs="仿宋"/>
          <w:sz w:val="30"/>
          <w:szCs w:val="30"/>
          <w:lang w:val="en-US" w:eastAsia="zh-CN"/>
        </w:rPr>
        <w:t>促进了企业健康、有序、持续发展</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企业是否健康、有序、持续发展，充足的资金流是最大保障，补贴资金一定程度上增加了企业的资金流，保证了企业的持续发展。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3、满足群众生产生活需要,对增强公共交通承载能力和运行效率有积极的社会影响（</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该指标主要评价项目是否满足群众生产生活需要,对增强公共交通承载能力和运行效率有积极的社会影响</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rPr>
      </w:pPr>
      <w:r>
        <w:rPr>
          <w:rFonts w:hint="eastAsia" w:ascii="仿宋" w:hAnsi="仿宋" w:eastAsia="仿宋" w:cs="仿宋"/>
          <w:sz w:val="30"/>
          <w:szCs w:val="30"/>
          <w:lang w:val="en-US" w:eastAsia="zh-CN"/>
        </w:rPr>
        <w:t>公共交通是广大人民群众基本生产生活的必需品，尤其在疫情期间，公交公司发挥了企业的社会责任，补贴资金项目是对公交公司运营的直接补贴。项目的实施，</w:t>
      </w:r>
      <w:r>
        <w:rPr>
          <w:rFonts w:hint="eastAsia" w:ascii="仿宋" w:hAnsi="仿宋" w:eastAsia="仿宋" w:cs="仿宋"/>
          <w:sz w:val="30"/>
          <w:szCs w:val="30"/>
        </w:rPr>
        <w:t>对增强公共交通承载能力和运行效率有积极的社会影响</w:t>
      </w:r>
      <w:r>
        <w:rPr>
          <w:rFonts w:hint="eastAsia" w:ascii="仿宋" w:hAnsi="仿宋" w:eastAsia="仿宋" w:cs="仿宋"/>
          <w:sz w:val="30"/>
          <w:szCs w:val="30"/>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43" w:firstLineChars="200"/>
        <w:jc w:val="left"/>
        <w:outlineLvl w:val="0"/>
        <w:rPr>
          <w:rFonts w:hint="eastAsia" w:ascii="仿宋" w:hAnsi="仿宋" w:eastAsia="仿宋" w:cs="仿宋"/>
          <w:b/>
          <w:bCs/>
          <w:sz w:val="32"/>
          <w:szCs w:val="32"/>
          <w:highlight w:val="none"/>
        </w:rPr>
      </w:pPr>
      <w:bookmarkStart w:id="67" w:name="_Toc10581"/>
      <w:bookmarkStart w:id="68" w:name="_Toc30943"/>
      <w:bookmarkStart w:id="69" w:name="_Toc501368363"/>
      <w:bookmarkStart w:id="70" w:name="_Toc6602"/>
      <w:bookmarkStart w:id="71" w:name="_Toc10985"/>
      <w:bookmarkStart w:id="72" w:name="_Toc83631048"/>
      <w:bookmarkStart w:id="73" w:name="_Toc83630434"/>
      <w:bookmarkStart w:id="74" w:name="_Toc12802"/>
      <w:r>
        <w:rPr>
          <w:rFonts w:hint="eastAsia" w:ascii="仿宋" w:hAnsi="仿宋" w:eastAsia="仿宋" w:cs="仿宋"/>
          <w:b/>
          <w:bCs/>
          <w:sz w:val="32"/>
          <w:szCs w:val="32"/>
          <w:highlight w:val="none"/>
          <w:lang w:val="en-US" w:eastAsia="zh-CN"/>
        </w:rPr>
        <w:t>五、</w:t>
      </w:r>
      <w:r>
        <w:rPr>
          <w:rFonts w:hint="eastAsia" w:ascii="仿宋" w:hAnsi="仿宋" w:eastAsia="仿宋" w:cs="仿宋"/>
          <w:b/>
          <w:bCs/>
          <w:sz w:val="32"/>
          <w:szCs w:val="32"/>
          <w:highlight w:val="none"/>
        </w:rPr>
        <w:t>绩效评价依据</w:t>
      </w:r>
      <w:bookmarkEnd w:id="67"/>
      <w:bookmarkEnd w:id="68"/>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（1）《中华人民共和国预算法》(主席令第21号)；</w:t>
      </w:r>
      <w:r>
        <w:rPr>
          <w:rFonts w:hint="eastAsia" w:ascii="仿宋" w:hAnsi="仿宋" w:eastAsia="仿宋" w:cs="仿宋"/>
          <w:sz w:val="30"/>
          <w:szCs w:val="30"/>
        </w:rPr>
        <w:br w:type="textWrapping"/>
      </w:r>
      <w:r>
        <w:rPr>
          <w:rFonts w:hint="eastAsia" w:ascii="仿宋" w:hAnsi="仿宋" w:eastAsia="仿宋" w:cs="仿宋"/>
          <w:sz w:val="30"/>
          <w:szCs w:val="30"/>
        </w:rPr>
        <w:t xml:space="preserve">    （2）《河北省财政支出绩效评价管理办法》（冀财预〔2011〕68号）；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（3）《关于印发〈财政支出绩效评价管理暂行办法〉的通知》（财预〔2011〕285号）；</w:t>
      </w:r>
      <w:r>
        <w:rPr>
          <w:rFonts w:hint="eastAsia" w:ascii="仿宋" w:hAnsi="仿宋" w:eastAsia="仿宋" w:cs="仿宋"/>
          <w:sz w:val="30"/>
          <w:szCs w:val="30"/>
        </w:rPr>
        <w:br w:type="textWrapping"/>
      </w:r>
      <w:r>
        <w:rPr>
          <w:rFonts w:hint="eastAsia" w:ascii="仿宋" w:hAnsi="仿宋" w:eastAsia="仿宋" w:cs="仿宋"/>
          <w:sz w:val="30"/>
          <w:szCs w:val="30"/>
        </w:rPr>
        <w:t xml:space="preserve">    （4）《关于印发&lt;预算绩效评价共性指标体系框架&gt;的通知》（财预〔2013〕53号）；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（5）《河北省项目支出绩效指标框架体系》（冀财预[2016]92号）；</w:t>
      </w:r>
    </w:p>
    <w:p>
      <w:pPr>
        <w:pageBreakBefore w:val="0"/>
        <w:kinsoku/>
        <w:wordWrap/>
        <w:overflowPunct/>
        <w:topLinePunct w:val="0"/>
        <w:autoSpaceDE/>
        <w:autoSpaceDN/>
        <w:bidi w:val="0"/>
        <w:adjustRightInd/>
        <w:snapToGrid/>
        <w:spacing w:line="560" w:lineRule="exact"/>
        <w:ind w:left="559" w:leftChars="266"/>
        <w:outlineLvl w:val="0"/>
        <w:rPr>
          <w:rFonts w:hint="eastAsia" w:ascii="仿宋" w:hAnsi="仿宋" w:eastAsia="仿宋" w:cs="仿宋"/>
          <w:sz w:val="30"/>
          <w:szCs w:val="30"/>
          <w:highlight w:val="yellow"/>
        </w:rPr>
      </w:pPr>
      <w:bookmarkStart w:id="75" w:name="_Toc83630326"/>
      <w:bookmarkStart w:id="76" w:name="_Toc14814"/>
      <w:bookmarkStart w:id="77" w:name="_Toc83631036"/>
      <w:bookmarkStart w:id="78" w:name="_Toc83630422"/>
      <w:bookmarkStart w:id="79" w:name="_Toc3143"/>
      <w:r>
        <w:rPr>
          <w:rFonts w:hint="eastAsia" w:ascii="仿宋" w:hAnsi="仿宋" w:eastAsia="仿宋" w:cs="仿宋"/>
          <w:sz w:val="30"/>
          <w:szCs w:val="30"/>
        </w:rPr>
        <w:t>（6）</w:t>
      </w:r>
      <w:bookmarkEnd w:id="75"/>
      <w:bookmarkEnd w:id="76"/>
      <w:bookmarkEnd w:id="77"/>
      <w:bookmarkEnd w:id="78"/>
      <w:bookmarkEnd w:id="79"/>
      <w:r>
        <w:rPr>
          <w:rFonts w:hint="eastAsia" w:ascii="仿宋" w:hAnsi="仿宋" w:eastAsia="仿宋" w:cs="仿宋"/>
          <w:sz w:val="30"/>
          <w:szCs w:val="30"/>
          <w:lang w:val="en-US" w:eastAsia="zh-CN"/>
        </w:rPr>
        <w:t>曲阳县人民政府常务会议纪要（2016）11号；</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rPr>
      </w:pPr>
      <w:r>
        <w:rPr>
          <w:rFonts w:hint="eastAsia" w:ascii="仿宋" w:hAnsi="仿宋" w:eastAsia="仿宋" w:cs="仿宋"/>
          <w:sz w:val="30"/>
          <w:szCs w:val="30"/>
        </w:rPr>
        <w:t>（7）</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河北省人民政府关于城市优先发展公共交通的实施意见》（冀政〔2013〕45号）</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（8）该项目其他相关资料。</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rPr>
      </w:pPr>
      <w:bookmarkStart w:id="80" w:name="_Toc2211"/>
      <w:bookmarkStart w:id="81" w:name="_Toc24878"/>
      <w:r>
        <w:rPr>
          <w:rFonts w:hint="eastAsia" w:ascii="仿宋" w:hAnsi="仿宋" w:eastAsia="仿宋" w:cs="仿宋"/>
          <w:sz w:val="32"/>
          <w:szCs w:val="32"/>
          <w:lang w:val="en-US" w:eastAsia="zh-CN"/>
        </w:rPr>
        <w:t>六</w:t>
      </w:r>
      <w:r>
        <w:rPr>
          <w:rFonts w:hint="eastAsia" w:ascii="仿宋" w:hAnsi="仿宋" w:eastAsia="仿宋" w:cs="仿宋"/>
          <w:sz w:val="32"/>
          <w:szCs w:val="32"/>
        </w:rPr>
        <w:t>、项目综合评价</w:t>
      </w:r>
      <w:bookmarkEnd w:id="69"/>
      <w:bookmarkEnd w:id="70"/>
      <w:r>
        <w:rPr>
          <w:rFonts w:hint="eastAsia" w:ascii="仿宋" w:hAnsi="仿宋" w:eastAsia="仿宋" w:cs="仿宋"/>
          <w:sz w:val="32"/>
          <w:szCs w:val="32"/>
        </w:rPr>
        <w:t>结论和评价等级</w:t>
      </w:r>
      <w:bookmarkEnd w:id="71"/>
      <w:bookmarkEnd w:id="72"/>
      <w:bookmarkEnd w:id="73"/>
      <w:bookmarkEnd w:id="74"/>
      <w:bookmarkEnd w:id="80"/>
      <w:bookmarkEnd w:id="8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val="en-US" w:eastAsia="zh-CN"/>
        </w:rPr>
      </w:pPr>
      <w:bookmarkStart w:id="82" w:name="_Toc501368364"/>
      <w:r>
        <w:rPr>
          <w:rFonts w:hint="eastAsia" w:ascii="仿宋" w:hAnsi="仿宋" w:eastAsia="仿宋" w:cs="仿宋"/>
          <w:sz w:val="30"/>
          <w:szCs w:val="30"/>
        </w:rPr>
        <w:t>1.</w:t>
      </w:r>
      <w:r>
        <w:rPr>
          <w:rFonts w:hint="eastAsia" w:ascii="仿宋" w:hAnsi="仿宋" w:eastAsia="仿宋" w:cs="仿宋"/>
          <w:sz w:val="30"/>
          <w:szCs w:val="30"/>
          <w:lang w:val="en-US" w:eastAsia="zh-CN"/>
        </w:rPr>
        <w:t>确定</w:t>
      </w:r>
      <w:r>
        <w:rPr>
          <w:rFonts w:hint="eastAsia" w:ascii="仿宋" w:hAnsi="仿宋" w:eastAsia="仿宋" w:cs="仿宋"/>
          <w:sz w:val="30"/>
          <w:szCs w:val="30"/>
        </w:rPr>
        <w:t>评</w:t>
      </w:r>
      <w:bookmarkEnd w:id="82"/>
      <w:r>
        <w:rPr>
          <w:rFonts w:hint="eastAsia" w:ascii="仿宋" w:hAnsi="仿宋" w:eastAsia="仿宋" w:cs="仿宋"/>
          <w:sz w:val="30"/>
          <w:szCs w:val="30"/>
          <w:lang w:val="en-US" w:eastAsia="zh-CN"/>
        </w:rPr>
        <w:t>价分值：95分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2.评价等级</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3.项目综合评价结论</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lang w:eastAsia="zh-CN"/>
        </w:rPr>
      </w:pPr>
      <w:bookmarkStart w:id="83" w:name="_Toc28969"/>
      <w:bookmarkStart w:id="84" w:name="_Toc83630435"/>
      <w:bookmarkStart w:id="85" w:name="_Toc83631049"/>
      <w:bookmarkStart w:id="86" w:name="_Toc25027"/>
      <w:r>
        <w:rPr>
          <w:rFonts w:hint="eastAsia" w:ascii="仿宋" w:hAnsi="仿宋" w:eastAsia="仿宋" w:cs="仿宋"/>
          <w:sz w:val="30"/>
          <w:szCs w:val="30"/>
        </w:rPr>
        <w:t>该项目严格资金使用管理，专款专用，项目受益对象明确</w:t>
      </w:r>
      <w:r>
        <w:rPr>
          <w:rFonts w:hint="eastAsia" w:ascii="仿宋" w:hAnsi="仿宋" w:eastAsia="仿宋" w:cs="仿宋"/>
          <w:sz w:val="30"/>
          <w:szCs w:val="30"/>
          <w:lang w:eastAsia="zh-CN"/>
        </w:rPr>
        <w:t>。</w:t>
      </w:r>
      <w:r>
        <w:rPr>
          <w:rFonts w:hint="eastAsia" w:ascii="仿宋" w:hAnsi="仿宋" w:eastAsia="仿宋" w:cs="仿宋"/>
          <w:sz w:val="30"/>
          <w:szCs w:val="30"/>
        </w:rPr>
        <w:t>通过该项目的实施</w:t>
      </w:r>
      <w:r>
        <w:rPr>
          <w:rFonts w:hint="eastAsia" w:ascii="仿宋" w:hAnsi="仿宋" w:eastAsia="仿宋" w:cs="仿宋"/>
          <w:sz w:val="30"/>
          <w:szCs w:val="30"/>
          <w:lang w:val="en-US" w:eastAsia="zh-CN"/>
        </w:rPr>
        <w:t>有效推动了企业的复工复产，促进了企业的持续发展，</w:t>
      </w:r>
      <w:bookmarkEnd w:id="83"/>
      <w:bookmarkEnd w:id="84"/>
      <w:bookmarkEnd w:id="85"/>
      <w:bookmarkEnd w:id="86"/>
      <w:r>
        <w:rPr>
          <w:rFonts w:hint="eastAsia" w:ascii="仿宋" w:hAnsi="仿宋" w:eastAsia="仿宋" w:cs="仿宋"/>
          <w:sz w:val="30"/>
          <w:szCs w:val="30"/>
        </w:rPr>
        <w:t>满足群众生产生活需要,对增强公共交通承载能力和运行效率有积极的社会影响</w:t>
      </w:r>
      <w:r>
        <w:rPr>
          <w:rFonts w:hint="eastAsia" w:ascii="仿宋" w:hAnsi="仿宋" w:eastAsia="仿宋" w:cs="仿宋"/>
          <w:sz w:val="30"/>
          <w:szCs w:val="30"/>
          <w:lang w:eastAsia="zh-CN"/>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rPr>
      </w:pPr>
      <w:bookmarkStart w:id="87" w:name="_Toc30518"/>
      <w:bookmarkStart w:id="88" w:name="_Toc83631050"/>
      <w:bookmarkStart w:id="89" w:name="_Toc7207"/>
      <w:bookmarkStart w:id="90" w:name="_Toc22941"/>
      <w:bookmarkStart w:id="91" w:name="_Toc83630436"/>
      <w:bookmarkStart w:id="92" w:name="_Toc27278"/>
      <w:r>
        <w:rPr>
          <w:rFonts w:hint="eastAsia" w:ascii="仿宋" w:hAnsi="仿宋" w:eastAsia="仿宋" w:cs="仿宋"/>
          <w:bCs/>
          <w:sz w:val="32"/>
          <w:szCs w:val="32"/>
          <w:lang w:val="en-US" w:eastAsia="zh-CN"/>
        </w:rPr>
        <w:t>七</w:t>
      </w:r>
      <w:r>
        <w:rPr>
          <w:rFonts w:hint="eastAsia" w:ascii="仿宋" w:hAnsi="仿宋" w:eastAsia="仿宋" w:cs="仿宋"/>
          <w:bCs/>
          <w:sz w:val="32"/>
          <w:szCs w:val="32"/>
        </w:rPr>
        <w:t>、存在的问题及改进措施</w:t>
      </w:r>
      <w:bookmarkEnd w:id="87"/>
      <w:bookmarkEnd w:id="88"/>
      <w:bookmarkEnd w:id="89"/>
      <w:bookmarkEnd w:id="90"/>
      <w:bookmarkEnd w:id="91"/>
      <w:bookmarkEnd w:id="92"/>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highlight w:val="none"/>
        </w:rPr>
      </w:pPr>
      <w:r>
        <w:rPr>
          <w:rFonts w:hint="eastAsia" w:ascii="仿宋" w:hAnsi="仿宋" w:eastAsia="仿宋" w:cs="仿宋"/>
          <w:sz w:val="30"/>
          <w:szCs w:val="30"/>
          <w:highlight w:val="none"/>
        </w:rPr>
        <w:t>（一）该项目取得的成绩是肯定的，但在实现绩效目标过程中也存在一些不足之处，具体归纳为：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补贴资金金额未严格按文件的相关标准进行补贴。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2、</w:t>
      </w:r>
      <w:r>
        <w:rPr>
          <w:rFonts w:hint="eastAsia" w:ascii="仿宋" w:hAnsi="仿宋" w:eastAsia="仿宋" w:cs="仿宋"/>
          <w:sz w:val="30"/>
          <w:szCs w:val="30"/>
          <w:lang w:val="en-US" w:eastAsia="zh-CN"/>
        </w:rPr>
        <w:t>档案资料不完整。补贴资金数额的文件依据未进行妥善保管。</w:t>
      </w:r>
    </w:p>
    <w:p>
      <w:pPr>
        <w:pageBreakBefore w:val="0"/>
        <w:kinsoku/>
        <w:wordWrap/>
        <w:overflowPunct/>
        <w:topLinePunct w:val="0"/>
        <w:autoSpaceDE/>
        <w:autoSpaceDN/>
        <w:bidi w:val="0"/>
        <w:adjustRightInd/>
        <w:snapToGrid/>
        <w:spacing w:line="560" w:lineRule="exact"/>
        <w:ind w:firstLine="600" w:firstLineChars="200"/>
        <w:jc w:val="left"/>
        <w:rPr>
          <w:rFonts w:hint="default"/>
          <w:lang w:val="en-US" w:eastAsia="zh-CN"/>
        </w:rPr>
      </w:pPr>
      <w:r>
        <w:rPr>
          <w:rFonts w:hint="eastAsia" w:ascii="仿宋" w:hAnsi="仿宋" w:eastAsia="仿宋" w:cs="仿宋"/>
          <w:sz w:val="30"/>
          <w:szCs w:val="30"/>
          <w:lang w:val="en-US" w:eastAsia="zh-CN"/>
        </w:rPr>
        <w:t>3、管理制度不健全。未建立项目管理制度，项目管理有待完善。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（二）意见和建议</w:t>
      </w:r>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rPr>
      </w:pPr>
      <w:r>
        <w:rPr>
          <w:rFonts w:hint="eastAsia" w:ascii="仿宋" w:hAnsi="仿宋" w:eastAsia="仿宋" w:cs="仿宋"/>
          <w:sz w:val="30"/>
          <w:szCs w:val="30"/>
        </w:rPr>
        <w:t>通过本次的绩效评价工作，找出了项目管理过程中的亮点和缺陷，总结出项目绩效管理经验，对于以后相似项目的管理工作起到很好的借鉴作用。同时，本次绩效评价工作对于安排以后的资金预算，考核项目管理效果也将起到示范作用。同时，使国家财政资金得到安全保障，更好的发挥效应。通过评价工作，我们逐一分析该项目存在的问题并提出相应的意见和建议。</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1、严格</w:t>
      </w:r>
      <w:r>
        <w:rPr>
          <w:rFonts w:hint="eastAsia" w:ascii="仿宋" w:hAnsi="仿宋" w:eastAsia="仿宋" w:cs="仿宋"/>
          <w:sz w:val="30"/>
          <w:szCs w:val="30"/>
          <w:lang w:val="en-US" w:eastAsia="zh-CN"/>
        </w:rPr>
        <w:t>按照文件的相关规定执行，对于实际情况中补贴资金未达到相关规定要求的，建议出具补充文件或相关会议纪要，以保证资金支出的合规性</w:t>
      </w:r>
      <w:r>
        <w:rPr>
          <w:rFonts w:hint="eastAsia" w:ascii="仿宋" w:hAnsi="仿宋" w:eastAsia="仿宋" w:cs="仿宋"/>
          <w:sz w:val="30"/>
          <w:szCs w:val="30"/>
        </w:rPr>
        <w:t xml:space="preserve">。 </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lang w:val="en-US"/>
        </w:rPr>
      </w:pPr>
      <w:r>
        <w:rPr>
          <w:rFonts w:hint="eastAsia" w:ascii="仿宋" w:hAnsi="仿宋" w:eastAsia="仿宋" w:cs="仿宋"/>
          <w:sz w:val="30"/>
          <w:szCs w:val="30"/>
        </w:rPr>
        <w:t>2、</w:t>
      </w:r>
      <w:r>
        <w:rPr>
          <w:rFonts w:hint="eastAsia" w:ascii="仿宋" w:hAnsi="仿宋" w:eastAsia="仿宋" w:cs="仿宋"/>
          <w:sz w:val="30"/>
          <w:szCs w:val="30"/>
          <w:lang w:val="en-US" w:eastAsia="zh-CN"/>
        </w:rPr>
        <w:t>加强档案资料的保管，确保资料的完整性。</w:t>
      </w:r>
    </w:p>
    <w:p>
      <w:pPr>
        <w:pStyle w:val="3"/>
        <w:pageBreakBefore w:val="0"/>
        <w:kinsoku/>
        <w:wordWrap/>
        <w:overflowPunct/>
        <w:topLinePunct w:val="0"/>
        <w:autoSpaceDE/>
        <w:autoSpaceDN/>
        <w:bidi w:val="0"/>
        <w:adjustRightInd/>
        <w:snapToGrid/>
        <w:spacing w:beforeAutospacing="0" w:afterAutospacing="0" w:line="560" w:lineRule="exact"/>
        <w:ind w:firstLine="600" w:firstLineChars="200"/>
        <w:rPr>
          <w:rFonts w:hint="eastAsia" w:ascii="仿宋" w:hAnsi="仿宋" w:eastAsia="仿宋" w:cs="仿宋"/>
          <w:b w:val="0"/>
          <w:bCs w:val="0"/>
          <w:sz w:val="30"/>
          <w:szCs w:val="30"/>
          <w:highlight w:val="none"/>
          <w:lang w:val="en-US" w:eastAsia="zh-CN"/>
        </w:rPr>
      </w:pPr>
      <w:bookmarkStart w:id="93" w:name="_Toc6530"/>
      <w:bookmarkStart w:id="94" w:name="_Toc83630437"/>
      <w:bookmarkStart w:id="95" w:name="_Toc83631051"/>
      <w:bookmarkStart w:id="96" w:name="_Toc23781"/>
      <w:r>
        <w:rPr>
          <w:rFonts w:hint="eastAsia" w:ascii="仿宋" w:hAnsi="仿宋" w:eastAsia="仿宋" w:cs="仿宋"/>
          <w:b w:val="0"/>
          <w:kern w:val="2"/>
          <w:sz w:val="30"/>
          <w:szCs w:val="30"/>
          <w:lang w:val="en-US" w:eastAsia="zh-CN"/>
        </w:rPr>
        <w:t>3、</w:t>
      </w:r>
      <w:r>
        <w:rPr>
          <w:rFonts w:hint="eastAsia" w:ascii="仿宋" w:hAnsi="仿宋" w:eastAsia="仿宋" w:cs="仿宋"/>
          <w:b w:val="0"/>
          <w:bCs w:val="0"/>
          <w:sz w:val="30"/>
          <w:szCs w:val="30"/>
          <w:highlight w:val="none"/>
          <w:lang w:val="en-US" w:eastAsia="zh-CN"/>
        </w:rPr>
        <w:t>建议项目实施单位规范项目管理，完善过程监控制度建设。</w:t>
      </w:r>
    </w:p>
    <w:p>
      <w:pPr>
        <w:rPr>
          <w:rFonts w:hint="eastAsia"/>
        </w:rPr>
      </w:pPr>
    </w:p>
    <w:p>
      <w:pPr>
        <w:pStyle w:val="3"/>
        <w:pageBreakBefore w:val="0"/>
        <w:kinsoku/>
        <w:wordWrap/>
        <w:overflowPunct/>
        <w:topLinePunct w:val="0"/>
        <w:autoSpaceDE/>
        <w:autoSpaceDN/>
        <w:bidi w:val="0"/>
        <w:adjustRightInd/>
        <w:snapToGrid/>
        <w:spacing w:beforeAutospacing="0" w:afterAutospacing="0" w:line="560" w:lineRule="exact"/>
        <w:ind w:firstLine="600" w:firstLineChars="200"/>
        <w:rPr>
          <w:rFonts w:hint="eastAsia" w:ascii="仿宋" w:hAnsi="仿宋" w:eastAsia="仿宋" w:cs="仿宋"/>
          <w:b w:val="0"/>
          <w:kern w:val="2"/>
          <w:sz w:val="30"/>
          <w:szCs w:val="30"/>
        </w:rPr>
      </w:pPr>
      <w:r>
        <w:rPr>
          <w:rFonts w:hint="eastAsia" w:ascii="仿宋" w:hAnsi="仿宋" w:eastAsia="仿宋" w:cs="仿宋"/>
          <w:b w:val="0"/>
          <w:kern w:val="2"/>
          <w:sz w:val="30"/>
          <w:szCs w:val="30"/>
        </w:rPr>
        <w:t>附件：绩效评价指标体系及评分情况表</w:t>
      </w:r>
      <w:bookmarkEnd w:id="93"/>
      <w:bookmarkEnd w:id="94"/>
      <w:bookmarkEnd w:id="95"/>
      <w:bookmarkEnd w:id="96"/>
    </w:p>
    <w:p>
      <w:pPr>
        <w:rPr>
          <w:rFonts w:hint="eastAsia" w:ascii="仿宋" w:hAnsi="仿宋" w:eastAsia="仿宋" w:cs="仿宋"/>
          <w:b w:val="0"/>
          <w:kern w:val="2"/>
          <w:sz w:val="30"/>
          <w:szCs w:val="30"/>
        </w:rPr>
      </w:pPr>
    </w:p>
    <w:p>
      <w:pPr>
        <w:pStyle w:val="2"/>
        <w:rPr>
          <w:rFonts w:hint="eastAsia"/>
        </w:rPr>
      </w:pPr>
    </w:p>
    <w:p>
      <w:pPr>
        <w:rPr>
          <w:rFonts w:hint="eastAsia"/>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rPr>
      </w:pP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22</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30</w:t>
      </w:r>
      <w:bookmarkStart w:id="97" w:name="_GoBack"/>
      <w:bookmarkEnd w:id="97"/>
      <w:r>
        <w:rPr>
          <w:rFonts w:hint="eastAsia" w:ascii="仿宋" w:hAnsi="仿宋" w:eastAsia="仿宋" w:cs="仿宋"/>
          <w:sz w:val="30"/>
          <w:szCs w:val="30"/>
          <w:highlight w:val="none"/>
        </w:rPr>
        <w:t>日</w:t>
      </w:r>
    </w:p>
    <w:sectPr>
      <w:footerReference r:id="rId9" w:type="default"/>
      <w:pgSz w:w="11906" w:h="16838"/>
      <w:pgMar w:top="964" w:right="1134" w:bottom="964" w:left="1134" w:header="1134" w:footer="680"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w:pict>
        <v:shape id="_x0000_s4108" o:spid="_x0000_s4108"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r>
      <w:rPr>
        <w:rFonts w:hint="eastAsia" w:ascii="宋体" w:hAnsi="宋体"/>
      </w:rPr>
      <w:t xml:space="preserve">----------------------------------------------------------------------------------------------------               </w:t>
    </w:r>
  </w:p>
  <w:p>
    <w:pPr>
      <w:pStyle w:val="11"/>
      <w:ind w:right="720"/>
      <w:jc w:val="center"/>
    </w:pPr>
    <w:r>
      <w:rPr>
        <w:rFonts w:hint="eastAsia" w:ascii="Cambria" w:hAnsi="Cambria"/>
      </w:rPr>
      <w:t xml:space="preserve">   保定市乐凯北大街3088号电谷科技中心4号楼518室            电话：0312-3328961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rPr>
        <w:sz w:val="18"/>
      </w:rPr>
      <w:pict>
        <v:shape id="_x0000_s4109" o:spid="_x0000_s4109"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p>
            </w:txbxContent>
          </v:textbox>
        </v:shape>
      </w:pict>
    </w:r>
  </w:p>
  <w:p>
    <w:pPr>
      <w:pStyle w:val="11"/>
      <w:widowControl w:val="0"/>
      <w:pBdr>
        <w:top w:val="none" w:color="622423" w:sz="0" w:space="1"/>
        <w:left w:val="none" w:color="auto" w:sz="0" w:space="4"/>
        <w:bottom w:val="none" w:color="auto" w:sz="0" w:space="1"/>
        <w:right w:val="none" w:color="auto" w:sz="0" w:space="4"/>
        <w:between w:val="none" w:color="auto" w:sz="0" w:space="0"/>
      </w:pBdr>
      <w:tabs>
        <w:tab w:val="center" w:pos="4649"/>
        <w:tab w:val="clear" w:pos="4153"/>
        <w:tab w:val="clear" w:pos="8306"/>
      </w:tabs>
      <w:snapToGrid w:val="0"/>
      <w:jc w:val="left"/>
      <w:rPr>
        <w:rFonts w:ascii="Cambria" w:hAnsi="Cambria"/>
      </w:rPr>
    </w:pPr>
    <w:r>
      <w:rPr>
        <w:rFonts w:hint="eastAsia" w:ascii="Cambria" w:hAnsi="Cambria"/>
      </w:rPr>
      <w:t xml:space="preserve">    </w:t>
    </w:r>
    <w:r>
      <w:rPr>
        <w:rFonts w:ascii="Cambria" w:hAnsi="Cambria"/>
        <w:lang w:val="zh-CN"/>
      </w:rPr>
      <w:t xml:space="preserve"> </w:t>
    </w:r>
    <w:r>
      <w:rPr>
        <w:rFonts w:hint="eastAsia" w:ascii="Cambria" w:hAnsi="Cambria"/>
        <w:lang w:val="zh-CN"/>
      </w:rPr>
      <w:tab/>
    </w:r>
  </w:p>
  <w:p>
    <w:pPr>
      <w:pStyle w:val="11"/>
      <w:tabs>
        <w:tab w:val="left" w:pos="3585"/>
        <w:tab w:val="clear" w:pos="4153"/>
        <w:tab w:val="clear" w:pos="8306"/>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none" w:color="auto" w:sz="0" w:space="1"/>
        <w:left w:val="none" w:color="auto" w:sz="0" w:space="4"/>
        <w:bottom w:val="none" w:color="auto" w:sz="0" w:space="1"/>
        <w:right w:val="none" w:color="auto" w:sz="0" w:space="4"/>
        <w:between w:val="none" w:color="auto" w:sz="0" w:space="0"/>
      </w:pBdr>
      <w:snapToGrid w:val="0"/>
      <w:ind w:right="720" w:rightChars="0"/>
      <w:jc w:val="center"/>
    </w:pPr>
    <w:r>
      <w:rPr>
        <w:sz w:val="18"/>
      </w:rPr>
      <w:pict>
        <v:shape id="_x0000_s4110" o:spid="_x0000_s4110" o:spt="202" type="#_x0000_t202" style="position:absolute;left:0pt;margin-top:0pt;height:144pt;width:144pt;mso-position-horizontal:righ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1"/>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pict>
        <v:shape id="_x0000_s4106" o:spid="_x0000_s410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p>
    <w:pPr>
      <w:pStyle w:val="11"/>
      <w:pBdr>
        <w:top w:val="thinThickSmallGap" w:color="622423" w:sz="24" w:space="1"/>
      </w:pBdr>
      <w:tabs>
        <w:tab w:val="right" w:pos="9070"/>
        <w:tab w:val="clear" w:pos="4153"/>
        <w:tab w:val="clear" w:pos="8306"/>
      </w:tabs>
      <w:rPr>
        <w:rFonts w:ascii="Cambria" w:hAnsi="Cambria"/>
      </w:rPr>
    </w:pPr>
    <w:r>
      <w:rPr>
        <w:rFonts w:hint="eastAsia" w:ascii="Cambria" w:hAnsi="Cambria"/>
      </w:rPr>
      <w:t xml:space="preserve">       保定市乐凯北大街3088号电谷科技中心4号楼518室                电话：0312-3328961</w:t>
    </w:r>
    <w:r>
      <w:rPr>
        <w:rFonts w:ascii="Cambria" w:hAnsi="Cambria"/>
        <w:vanish/>
      </w:rPr>
      <w:t>&lt;&gt;</w:t>
    </w:r>
    <w:r>
      <w:rPr>
        <w:rFonts w:ascii="Cambria" w:hAnsi="Cambria"/>
        <w:lang w:val="zh-CN"/>
      </w:rPr>
      <w:tab/>
    </w:r>
    <w:r>
      <w:rPr>
        <w:rFonts w:ascii="Cambria" w:hAnsi="Cambria"/>
        <w:lang w:val="zh-CN"/>
      </w:rPr>
      <w:t xml:space="preserve"> </w:t>
    </w:r>
  </w:p>
  <w:p>
    <w:pPr>
      <w:pStyle w:val="11"/>
      <w:tabs>
        <w:tab w:val="left" w:pos="3585"/>
        <w:tab w:val="clear" w:pos="4153"/>
        <w:tab w:val="clear" w:pos="8306"/>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rPr>
        <w:sz w:val="18"/>
      </w:rPr>
      <w:pict>
        <v:shape id="_x0000_s4111" o:spid="_x0000_s4111" o:spt="202" type="#_x0000_t202" style="position:absolute;left:0pt;margin-top:0pt;height:144pt;width:144pt;mso-position-horizontal:right;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i/>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rFonts w:ascii="隶书" w:hAnsi="隶书" w:eastAsia="隶书" w:cs="隶书"/>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5"/>
  <w:drawingGridHorizontalSpacing w:val="105"/>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RlYjBmZjM5NTcwMzdlM2FkMTA1ODk5YmM1NzYzYTA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164"/>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802581E"/>
    <w:rsid w:val="0ADA152D"/>
    <w:rsid w:val="0D9E1C0C"/>
    <w:rsid w:val="0E4B143D"/>
    <w:rsid w:val="0EF02E72"/>
    <w:rsid w:val="10814158"/>
    <w:rsid w:val="12844DC1"/>
    <w:rsid w:val="1823357E"/>
    <w:rsid w:val="187036B2"/>
    <w:rsid w:val="1A7A0FC2"/>
    <w:rsid w:val="1AD74514"/>
    <w:rsid w:val="1B1A3889"/>
    <w:rsid w:val="1F94354A"/>
    <w:rsid w:val="21460153"/>
    <w:rsid w:val="21DA3F9D"/>
    <w:rsid w:val="223D0F22"/>
    <w:rsid w:val="24743B37"/>
    <w:rsid w:val="25470B20"/>
    <w:rsid w:val="29483C47"/>
    <w:rsid w:val="2A8F3BCE"/>
    <w:rsid w:val="2CAF4831"/>
    <w:rsid w:val="2F1D0509"/>
    <w:rsid w:val="301F3692"/>
    <w:rsid w:val="30F60251"/>
    <w:rsid w:val="31AA78D1"/>
    <w:rsid w:val="38767F97"/>
    <w:rsid w:val="3B5C4236"/>
    <w:rsid w:val="3E792B8A"/>
    <w:rsid w:val="3F9007E6"/>
    <w:rsid w:val="436D3360"/>
    <w:rsid w:val="45361007"/>
    <w:rsid w:val="494A68AB"/>
    <w:rsid w:val="4C19151D"/>
    <w:rsid w:val="4E2540DD"/>
    <w:rsid w:val="4F0928DF"/>
    <w:rsid w:val="53387659"/>
    <w:rsid w:val="55104550"/>
    <w:rsid w:val="5654276B"/>
    <w:rsid w:val="57F3068C"/>
    <w:rsid w:val="58D20590"/>
    <w:rsid w:val="59B9364B"/>
    <w:rsid w:val="5D410D65"/>
    <w:rsid w:val="5E660CC1"/>
    <w:rsid w:val="627E1AC1"/>
    <w:rsid w:val="661D5A78"/>
    <w:rsid w:val="663B1AE6"/>
    <w:rsid w:val="6B300AA0"/>
    <w:rsid w:val="6E3D39F9"/>
    <w:rsid w:val="6F315255"/>
    <w:rsid w:val="6FA81A09"/>
    <w:rsid w:val="70350492"/>
    <w:rsid w:val="71D44901"/>
    <w:rsid w:val="720924FA"/>
    <w:rsid w:val="73007C27"/>
    <w:rsid w:val="74B13A97"/>
    <w:rsid w:val="74DE6D70"/>
    <w:rsid w:val="75435570"/>
    <w:rsid w:val="76171091"/>
    <w:rsid w:val="76C6189C"/>
    <w:rsid w:val="7AFE135D"/>
    <w:rsid w:val="7CEF1D89"/>
    <w:rsid w:val="7D0A1FEC"/>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unhideWhenUsed/>
    <w:qFormat/>
    <w:uiPriority w:val="1"/>
    <w:pPr>
      <w:spacing w:before="41"/>
      <w:ind w:left="121"/>
      <w:jc w:val="left"/>
    </w:pPr>
    <w:rPr>
      <w:rFonts w:ascii="仿宋" w:hAnsi="仿宋" w:eastAsia="仿宋"/>
      <w:kern w:val="0"/>
      <w:sz w:val="28"/>
      <w:szCs w:val="28"/>
      <w:lang w:eastAsia="en-US"/>
    </w:rPr>
  </w:style>
  <w:style w:type="paragraph" w:styleId="6">
    <w:name w:val="Body Text Indent"/>
    <w:basedOn w:val="1"/>
    <w:qFormat/>
    <w:uiPriority w:val="0"/>
    <w:pPr>
      <w:spacing w:line="380" w:lineRule="exact"/>
      <w:ind w:firstLine="480" w:firstLineChars="200"/>
    </w:pPr>
    <w:rPr>
      <w:rFonts w:ascii="宋体" w:hAnsi="宋体"/>
      <w:sz w:val="24"/>
    </w:rPr>
  </w:style>
  <w:style w:type="paragraph" w:styleId="7">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rPr>
      <w:rFonts w:ascii="宋体" w:hAnsi="宋体"/>
      <w:sz w:val="24"/>
    </w:rPr>
  </w:style>
  <w:style w:type="paragraph" w:styleId="10">
    <w:name w:val="Balloon Text"/>
    <w:basedOn w:val="1"/>
    <w:link w:val="25"/>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szCs w:val="18"/>
    </w:rPr>
  </w:style>
  <w:style w:type="paragraph" w:styleId="12">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footnote text"/>
    <w:basedOn w:val="1"/>
    <w:link w:val="27"/>
    <w:qFormat/>
    <w:uiPriority w:val="0"/>
    <w:pPr>
      <w:snapToGrid w:val="0"/>
      <w:jc w:val="left"/>
    </w:pPr>
    <w:rPr>
      <w:sz w:val="18"/>
      <w:szCs w:val="18"/>
    </w:rPr>
  </w:style>
  <w:style w:type="paragraph" w:styleId="15">
    <w:name w:val="Normal (Web)"/>
    <w:basedOn w:val="1"/>
    <w:qFormat/>
    <w:uiPriority w:val="0"/>
    <w:pPr>
      <w:spacing w:beforeAutospacing="1"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themeColor="hyperlink"/>
      <w:u w:val="single"/>
    </w:rPr>
  </w:style>
  <w:style w:type="character" w:styleId="21">
    <w:name w:val="footnote reference"/>
    <w:basedOn w:val="18"/>
    <w:qFormat/>
    <w:uiPriority w:val="0"/>
    <w:rPr>
      <w:vertAlign w:val="superscript"/>
    </w:rPr>
  </w:style>
  <w:style w:type="character" w:customStyle="1" w:styleId="22">
    <w:name w:val="无间隔 Char"/>
    <w:basedOn w:val="18"/>
    <w:link w:val="23"/>
    <w:qFormat/>
    <w:uiPriority w:val="1"/>
    <w:rPr>
      <w:rFonts w:ascii="Calibri" w:hAnsi="Calibri"/>
      <w:sz w:val="22"/>
      <w:szCs w:val="22"/>
      <w:lang w:val="en-US" w:eastAsia="zh-CN" w:bidi="ar-SA"/>
    </w:rPr>
  </w:style>
  <w:style w:type="paragraph" w:styleId="23">
    <w:name w:val="No Spacing"/>
    <w:link w:val="22"/>
    <w:qFormat/>
    <w:uiPriority w:val="1"/>
    <w:rPr>
      <w:rFonts w:ascii="Calibri" w:hAnsi="Calibri" w:eastAsia="宋体" w:cs="Times New Roman"/>
      <w:sz w:val="22"/>
      <w:szCs w:val="22"/>
      <w:lang w:val="en-US" w:eastAsia="zh-CN" w:bidi="ar-SA"/>
    </w:rPr>
  </w:style>
  <w:style w:type="character" w:customStyle="1" w:styleId="24">
    <w:name w:val="页脚 Char"/>
    <w:basedOn w:val="18"/>
    <w:link w:val="11"/>
    <w:qFormat/>
    <w:uiPriority w:val="99"/>
    <w:rPr>
      <w:kern w:val="2"/>
      <w:sz w:val="18"/>
      <w:szCs w:val="18"/>
    </w:rPr>
  </w:style>
  <w:style w:type="character" w:customStyle="1" w:styleId="25">
    <w:name w:val="批注框文本 Char"/>
    <w:basedOn w:val="18"/>
    <w:link w:val="10"/>
    <w:qFormat/>
    <w:uiPriority w:val="0"/>
    <w:rPr>
      <w:kern w:val="2"/>
      <w:sz w:val="18"/>
      <w:szCs w:val="18"/>
    </w:rPr>
  </w:style>
  <w:style w:type="character" w:customStyle="1" w:styleId="26">
    <w:name w:val="页眉 Char"/>
    <w:basedOn w:val="18"/>
    <w:link w:val="12"/>
    <w:qFormat/>
    <w:uiPriority w:val="99"/>
    <w:rPr>
      <w:kern w:val="2"/>
      <w:sz w:val="18"/>
      <w:szCs w:val="18"/>
    </w:rPr>
  </w:style>
  <w:style w:type="character" w:customStyle="1" w:styleId="27">
    <w:name w:val="脚注文本 Char"/>
    <w:basedOn w:val="18"/>
    <w:link w:val="14"/>
    <w:qFormat/>
    <w:uiPriority w:val="0"/>
    <w:rPr>
      <w:kern w:val="2"/>
      <w:sz w:val="18"/>
      <w:szCs w:val="18"/>
    </w:rPr>
  </w:style>
  <w:style w:type="paragraph" w:customStyle="1" w:styleId="28">
    <w:name w:val="Other|2"/>
    <w:basedOn w:val="1"/>
    <w:qFormat/>
    <w:uiPriority w:val="0"/>
    <w:pPr>
      <w:jc w:val="center"/>
    </w:pPr>
    <w:rPr>
      <w:rFonts w:ascii="宋体" w:hAnsi="宋体" w:cs="宋体"/>
      <w:sz w:val="20"/>
      <w:lang w:val="zh-TW" w:eastAsia="zh-TW" w:bidi="zh-TW"/>
    </w:rPr>
  </w:style>
  <w:style w:type="paragraph" w:customStyle="1" w:styleId="29">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0">
    <w:name w:val="Header or footer|2"/>
    <w:basedOn w:val="1"/>
    <w:qFormat/>
    <w:uiPriority w:val="0"/>
    <w:rPr>
      <w:sz w:val="20"/>
      <w:lang w:val="zh-TW" w:eastAsia="zh-TW" w:bidi="zh-TW"/>
    </w:rPr>
  </w:style>
  <w:style w:type="paragraph" w:customStyle="1" w:styleId="31">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66091" w:themeColor="accent1" w:themeShade="BF"/>
      <w:kern w:val="0"/>
      <w:sz w:val="28"/>
      <w:szCs w:val="28"/>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8" textRotate="1"/>
    <customShpInfo spid="_x0000_s4109" textRotate="1"/>
    <customShpInfo spid="_x0000_s4110" textRotate="1"/>
    <customShpInfo spid="_x0000_s4106"/>
    <customShpInfo spid="_x0000_s4111"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13</Pages>
  <Words>5022</Words>
  <Characters>5223</Characters>
  <Lines>90</Lines>
  <Paragraphs>25</Paragraphs>
  <TotalTime>4</TotalTime>
  <ScaleCrop>false</ScaleCrop>
  <LinksUpToDate>false</LinksUpToDate>
  <CharactersWithSpaces>5401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2022-11-07T03:16:27Z</cp:lastPrinted>
  <dcterms:modified xsi:type="dcterms:W3CDTF">2022-11-07T03:16:54Z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4A2DA667480C4F48BEB562C0F7E0314E</vt:lpwstr>
  </property>
</Properties>
</file>