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宋体" w:hAnsi="宋体"/>
          <w:sz w:val="24"/>
          <w:szCs w:val="24"/>
          <w:highlight w:val="none"/>
        </w:rPr>
      </w:pPr>
    </w:p>
    <w:p>
      <w:pPr>
        <w:jc w:val="center"/>
        <w:rPr>
          <w:rFonts w:ascii="宋体" w:hAnsi="宋体"/>
          <w:sz w:val="24"/>
          <w:szCs w:val="24"/>
          <w:highlight w:val="none"/>
        </w:rPr>
      </w:pPr>
    </w:p>
    <w:p>
      <w:pPr>
        <w:jc w:val="center"/>
        <w:rPr>
          <w:rFonts w:ascii="宋体" w:hAnsi="宋体"/>
          <w:sz w:val="24"/>
          <w:szCs w:val="24"/>
          <w:highlight w:val="none"/>
        </w:rPr>
      </w:pPr>
    </w:p>
    <w:p>
      <w:pPr>
        <w:jc w:val="center"/>
        <w:rPr>
          <w:rFonts w:ascii="宋体" w:hAnsi="宋体"/>
          <w:sz w:val="24"/>
          <w:szCs w:val="24"/>
          <w:highlight w:val="none"/>
        </w:rPr>
      </w:pPr>
    </w:p>
    <w:p>
      <w:pPr>
        <w:rPr>
          <w:rFonts w:ascii="宋体" w:hAnsi="宋体"/>
          <w:sz w:val="36"/>
          <w:szCs w:val="36"/>
          <w:highlight w:val="none"/>
        </w:rPr>
      </w:pPr>
    </w:p>
    <w:p>
      <w:pPr>
        <w:jc w:val="center"/>
        <w:rPr>
          <w:rFonts w:ascii="宋体" w:hAnsi="宋体"/>
          <w:szCs w:val="21"/>
          <w:highlight w:val="none"/>
        </w:rPr>
      </w:pPr>
    </w:p>
    <w:p>
      <w:pPr>
        <w:spacing w:line="900" w:lineRule="exact"/>
        <w:jc w:val="center"/>
        <w:rPr>
          <w:rFonts w:hint="eastAsia" w:ascii="仿宋" w:hAnsi="仿宋" w:eastAsia="仿宋" w:cs="仿宋"/>
          <w:b/>
          <w:bCs/>
          <w:sz w:val="52"/>
          <w:szCs w:val="52"/>
          <w:highlight w:val="none"/>
        </w:rPr>
      </w:pPr>
      <w:r>
        <w:rPr>
          <w:rFonts w:hint="eastAsia" w:ascii="仿宋" w:hAnsi="仿宋" w:eastAsia="仿宋" w:cs="仿宋"/>
          <w:b/>
          <w:bCs/>
          <w:sz w:val="52"/>
          <w:szCs w:val="52"/>
          <w:highlight w:val="none"/>
        </w:rPr>
        <w:t>特岗教师工资待遇资金（中央直达）</w:t>
      </w:r>
    </w:p>
    <w:p>
      <w:pPr>
        <w:spacing w:line="900" w:lineRule="exact"/>
        <w:jc w:val="center"/>
        <w:rPr>
          <w:rFonts w:ascii="仿宋" w:hAnsi="仿宋" w:eastAsia="仿宋" w:cs="仿宋"/>
          <w:b/>
          <w:bCs/>
          <w:sz w:val="52"/>
          <w:szCs w:val="52"/>
          <w:highlight w:val="none"/>
        </w:rPr>
      </w:pPr>
      <w:r>
        <w:rPr>
          <w:rFonts w:hint="eastAsia" w:ascii="仿宋" w:hAnsi="仿宋" w:eastAsia="仿宋" w:cs="仿宋"/>
          <w:b/>
          <w:bCs/>
          <w:sz w:val="52"/>
          <w:szCs w:val="52"/>
          <w:highlight w:val="none"/>
        </w:rPr>
        <w:t>项目</w:t>
      </w:r>
      <w:r>
        <w:rPr>
          <w:rFonts w:hint="eastAsia" w:ascii="仿宋" w:hAnsi="仿宋" w:eastAsia="仿宋" w:cs="仿宋"/>
          <w:b/>
          <w:bCs/>
          <w:sz w:val="52"/>
          <w:szCs w:val="52"/>
          <w:highlight w:val="none"/>
          <w:lang w:eastAsia="zh-CN"/>
        </w:rPr>
        <w:t>重点</w:t>
      </w:r>
      <w:r>
        <w:rPr>
          <w:rFonts w:hint="eastAsia" w:ascii="仿宋" w:hAnsi="仿宋" w:eastAsia="仿宋" w:cs="仿宋"/>
          <w:b/>
          <w:bCs/>
          <w:sz w:val="52"/>
          <w:szCs w:val="52"/>
          <w:highlight w:val="none"/>
        </w:rPr>
        <w:t>绩效评价报告</w:t>
      </w:r>
    </w:p>
    <w:p>
      <w:pPr>
        <w:spacing w:line="900" w:lineRule="exact"/>
        <w:jc w:val="center"/>
        <w:rPr>
          <w:rFonts w:ascii="方正小标宋_GBK" w:eastAsia="方正小标宋_GBK"/>
          <w:sz w:val="52"/>
          <w:szCs w:val="52"/>
          <w:highlight w:val="none"/>
        </w:rPr>
      </w:pPr>
    </w:p>
    <w:p>
      <w:pPr>
        <w:jc w:val="center"/>
        <w:rPr>
          <w:rFonts w:ascii="仿宋" w:hAnsi="仿宋" w:eastAsia="仿宋" w:cs="仿宋"/>
          <w:sz w:val="32"/>
          <w:szCs w:val="32"/>
          <w:highlight w:val="none"/>
        </w:rPr>
      </w:pPr>
    </w:p>
    <w:p>
      <w:pPr>
        <w:spacing w:line="900" w:lineRule="exact"/>
        <w:rPr>
          <w:rFonts w:ascii="宋体" w:hAnsi="宋体"/>
          <w:sz w:val="30"/>
          <w:szCs w:val="30"/>
          <w:highlight w:val="none"/>
        </w:rPr>
      </w:pPr>
    </w:p>
    <w:p>
      <w:pPr>
        <w:pStyle w:val="11"/>
        <w:rPr>
          <w:highlight w:val="none"/>
        </w:rPr>
      </w:pPr>
    </w:p>
    <w:p>
      <w:pPr>
        <w:spacing w:line="900" w:lineRule="exact"/>
        <w:ind w:firstLine="1120" w:firstLineChars="350"/>
        <w:jc w:val="left"/>
        <w:rPr>
          <w:rFonts w:hint="eastAsia" w:ascii="仿宋" w:hAnsi="仿宋" w:eastAsia="仿宋" w:cs="仿宋"/>
          <w:sz w:val="32"/>
          <w:szCs w:val="32"/>
          <w:highlight w:val="none"/>
        </w:rPr>
      </w:pPr>
    </w:p>
    <w:p>
      <w:pPr>
        <w:spacing w:line="900" w:lineRule="exact"/>
        <w:ind w:firstLine="1120" w:firstLineChars="350"/>
        <w:jc w:val="left"/>
        <w:rPr>
          <w:rFonts w:hint="eastAsia" w:ascii="仿宋" w:hAnsi="仿宋" w:eastAsia="仿宋" w:cs="仿宋"/>
          <w:sz w:val="32"/>
          <w:szCs w:val="32"/>
          <w:highlight w:val="none"/>
        </w:rPr>
      </w:pPr>
    </w:p>
    <w:p>
      <w:pPr>
        <w:spacing w:line="900" w:lineRule="exact"/>
        <w:ind w:firstLine="1120" w:firstLineChars="350"/>
        <w:jc w:val="left"/>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rPr>
        <w:t>评价</w:t>
      </w:r>
      <w:r>
        <w:rPr>
          <w:rFonts w:hint="eastAsia" w:ascii="仿宋" w:hAnsi="仿宋" w:eastAsia="仿宋" w:cs="仿宋"/>
          <w:sz w:val="32"/>
          <w:szCs w:val="32"/>
          <w:highlight w:val="none"/>
          <w:lang w:eastAsia="zh-CN"/>
        </w:rPr>
        <w:t>单位</w:t>
      </w:r>
      <w:r>
        <w:rPr>
          <w:rFonts w:hint="eastAsia" w:ascii="仿宋" w:hAnsi="仿宋" w:eastAsia="仿宋" w:cs="仿宋"/>
          <w:sz w:val="32"/>
          <w:szCs w:val="32"/>
          <w:highlight w:val="none"/>
        </w:rPr>
        <w:t>：曲阳县财政局</w:t>
      </w:r>
      <w:r>
        <w:rPr>
          <w:rFonts w:hint="eastAsia" w:ascii="仿宋" w:hAnsi="仿宋" w:eastAsia="仿宋" w:cs="仿宋"/>
          <w:sz w:val="32"/>
          <w:szCs w:val="32"/>
          <w:highlight w:val="none"/>
          <w:lang w:val="en-US" w:eastAsia="zh-CN"/>
        </w:rPr>
        <w:t xml:space="preserve"> </w:t>
      </w:r>
    </w:p>
    <w:p>
      <w:pPr>
        <w:spacing w:line="900" w:lineRule="exact"/>
        <w:ind w:firstLine="1120" w:firstLineChars="350"/>
        <w:jc w:val="left"/>
        <w:rPr>
          <w:rFonts w:hint="eastAsia" w:ascii="仿宋" w:hAnsi="仿宋" w:eastAsia="仿宋" w:cs="仿宋"/>
          <w:sz w:val="32"/>
          <w:szCs w:val="32"/>
          <w:highlight w:val="none"/>
        </w:rPr>
      </w:pPr>
      <w:r>
        <w:rPr>
          <w:rFonts w:hint="eastAsia" w:ascii="仿宋" w:hAnsi="仿宋" w:eastAsia="仿宋" w:cs="仿宋"/>
          <w:sz w:val="32"/>
          <w:szCs w:val="32"/>
          <w:highlight w:val="none"/>
        </w:rPr>
        <w:t>项目名称：特岗教师工资待遇资金（中央直达）项目</w:t>
      </w:r>
    </w:p>
    <w:p>
      <w:pPr>
        <w:spacing w:line="900" w:lineRule="exact"/>
        <w:ind w:firstLine="1120" w:firstLineChars="350"/>
        <w:jc w:val="left"/>
        <w:rPr>
          <w:rFonts w:hint="eastAsia" w:ascii="仿宋" w:hAnsi="仿宋" w:eastAsia="仿宋" w:cs="仿宋"/>
          <w:sz w:val="32"/>
          <w:szCs w:val="32"/>
          <w:highlight w:val="none"/>
        </w:rPr>
      </w:pPr>
      <w:r>
        <w:rPr>
          <w:rFonts w:hint="eastAsia" w:ascii="仿宋" w:hAnsi="仿宋" w:eastAsia="仿宋" w:cs="仿宋"/>
          <w:sz w:val="32"/>
          <w:szCs w:val="32"/>
          <w:highlight w:val="none"/>
        </w:rPr>
        <w:t>项目承担单位：曲阳县教育和体育局</w:t>
      </w:r>
    </w:p>
    <w:p>
      <w:pPr>
        <w:spacing w:line="900" w:lineRule="exact"/>
        <w:ind w:firstLine="1120" w:firstLineChars="350"/>
        <w:jc w:val="left"/>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评 估 日 期：</w:t>
      </w:r>
      <w:r>
        <w:rPr>
          <w:rFonts w:hint="eastAsia" w:ascii="仿宋" w:hAnsi="仿宋" w:eastAsia="仿宋" w:cs="仿宋"/>
          <w:sz w:val="32"/>
          <w:szCs w:val="32"/>
          <w:highlight w:val="none"/>
          <w:lang w:eastAsia="zh-CN"/>
        </w:rPr>
        <w:t>2023年8月</w:t>
      </w:r>
      <w:r>
        <w:rPr>
          <w:rFonts w:hint="eastAsia" w:ascii="仿宋" w:hAnsi="仿宋" w:eastAsia="仿宋" w:cs="仿宋"/>
          <w:sz w:val="32"/>
          <w:szCs w:val="32"/>
          <w:highlight w:val="none"/>
          <w:lang w:val="en-US" w:eastAsia="zh-CN"/>
        </w:rPr>
        <w:t>10</w:t>
      </w:r>
      <w:r>
        <w:rPr>
          <w:rFonts w:hint="eastAsia" w:ascii="仿宋" w:hAnsi="仿宋" w:eastAsia="仿宋" w:cs="仿宋"/>
          <w:sz w:val="32"/>
          <w:szCs w:val="32"/>
          <w:highlight w:val="none"/>
          <w:lang w:eastAsia="zh-CN"/>
        </w:rPr>
        <w:t>日</w:t>
      </w:r>
    </w:p>
    <w:p>
      <w:pPr>
        <w:spacing w:line="900" w:lineRule="exact"/>
        <w:ind w:firstLine="1120" w:firstLineChars="350"/>
        <w:jc w:val="left"/>
        <w:rPr>
          <w:rFonts w:hint="eastAsia" w:ascii="仿宋" w:hAnsi="仿宋" w:eastAsia="仿宋" w:cs="仿宋"/>
          <w:sz w:val="32"/>
          <w:szCs w:val="32"/>
          <w:highlight w:val="none"/>
          <w:lang w:eastAsia="zh-CN"/>
        </w:rPr>
      </w:pPr>
      <w:r>
        <w:rPr>
          <w:rFonts w:hint="eastAsia" w:ascii="仿宋" w:hAnsi="仿宋" w:eastAsia="仿宋" w:cs="仿宋"/>
          <w:sz w:val="32"/>
          <w:szCs w:val="32"/>
          <w:highlight w:val="none"/>
          <w:lang w:eastAsia="zh-CN"/>
        </w:rPr>
        <w:t>报 告 日 期：2023年</w:t>
      </w:r>
      <w:r>
        <w:rPr>
          <w:rFonts w:hint="eastAsia" w:ascii="仿宋" w:hAnsi="仿宋" w:eastAsia="仿宋" w:cs="仿宋"/>
          <w:sz w:val="32"/>
          <w:szCs w:val="32"/>
          <w:highlight w:val="none"/>
          <w:lang w:val="en-US" w:eastAsia="zh-CN"/>
        </w:rPr>
        <w:t>9</w:t>
      </w:r>
      <w:r>
        <w:rPr>
          <w:rFonts w:hint="eastAsia" w:ascii="仿宋" w:hAnsi="仿宋" w:eastAsia="仿宋" w:cs="仿宋"/>
          <w:sz w:val="32"/>
          <w:szCs w:val="32"/>
          <w:highlight w:val="none"/>
          <w:lang w:eastAsia="zh-CN"/>
        </w:rPr>
        <w:t>月</w:t>
      </w:r>
      <w:r>
        <w:rPr>
          <w:rFonts w:hint="eastAsia" w:ascii="仿宋" w:hAnsi="仿宋" w:eastAsia="仿宋" w:cs="仿宋"/>
          <w:sz w:val="32"/>
          <w:szCs w:val="32"/>
          <w:highlight w:val="none"/>
          <w:lang w:val="en-US" w:eastAsia="zh-CN"/>
        </w:rPr>
        <w:t>25</w:t>
      </w:r>
      <w:r>
        <w:rPr>
          <w:rFonts w:hint="eastAsia" w:ascii="仿宋" w:hAnsi="仿宋" w:eastAsia="仿宋" w:cs="仿宋"/>
          <w:sz w:val="32"/>
          <w:szCs w:val="32"/>
          <w:highlight w:val="none"/>
          <w:lang w:eastAsia="zh-CN"/>
        </w:rPr>
        <w:t>日</w:t>
      </w:r>
    </w:p>
    <w:p>
      <w:pPr>
        <w:pStyle w:val="11"/>
        <w:rPr>
          <w:highlight w:val="none"/>
        </w:rPr>
      </w:pPr>
    </w:p>
    <w:p>
      <w:pPr>
        <w:pStyle w:val="11"/>
        <w:rPr>
          <w:highlight w:val="none"/>
        </w:rPr>
      </w:pPr>
    </w:p>
    <w:p>
      <w:pPr>
        <w:spacing w:line="560" w:lineRule="exact"/>
        <w:jc w:val="center"/>
        <w:outlineLvl w:val="0"/>
        <w:rPr>
          <w:rFonts w:hint="eastAsia" w:ascii="仿宋" w:hAnsi="仿宋" w:eastAsia="仿宋" w:cs="仿宋"/>
          <w:b/>
          <w:sz w:val="36"/>
          <w:szCs w:val="36"/>
          <w:highlight w:val="none"/>
        </w:rPr>
      </w:pPr>
    </w:p>
    <w:p>
      <w:pPr>
        <w:spacing w:line="560" w:lineRule="exact"/>
        <w:jc w:val="center"/>
        <w:outlineLvl w:val="0"/>
        <w:rPr>
          <w:rFonts w:ascii="仿宋" w:hAnsi="仿宋" w:eastAsia="仿宋" w:cs="仿宋"/>
          <w:b/>
          <w:sz w:val="36"/>
          <w:szCs w:val="36"/>
          <w:highlight w:val="none"/>
        </w:rPr>
      </w:pPr>
      <w:r>
        <w:rPr>
          <w:rFonts w:hint="eastAsia" w:ascii="仿宋" w:hAnsi="仿宋" w:eastAsia="仿宋" w:cs="仿宋"/>
          <w:b/>
          <w:sz w:val="36"/>
          <w:szCs w:val="36"/>
          <w:highlight w:val="none"/>
        </w:rPr>
        <w:t>特岗教师工资待遇资金（中央直达）项目</w:t>
      </w:r>
    </w:p>
    <w:p>
      <w:pPr>
        <w:spacing w:after="156" w:line="560" w:lineRule="exact"/>
        <w:ind w:left="-359" w:leftChars="-171"/>
        <w:jc w:val="center"/>
        <w:outlineLvl w:val="0"/>
        <w:rPr>
          <w:rFonts w:ascii="仿宋" w:hAnsi="仿宋" w:eastAsia="仿宋" w:cs="仿宋"/>
          <w:b/>
          <w:sz w:val="36"/>
          <w:szCs w:val="36"/>
          <w:highlight w:val="none"/>
        </w:rPr>
      </w:pPr>
      <w:bookmarkStart w:id="0" w:name="_Toc2651"/>
      <w:bookmarkStart w:id="1" w:name="_Toc12514"/>
      <w:r>
        <w:rPr>
          <w:rFonts w:hint="eastAsia" w:ascii="仿宋" w:hAnsi="仿宋" w:eastAsia="仿宋" w:cs="仿宋"/>
          <w:b/>
          <w:sz w:val="36"/>
          <w:szCs w:val="36"/>
          <w:highlight w:val="none"/>
          <w:lang w:eastAsia="zh-CN"/>
        </w:rPr>
        <w:t>重点</w:t>
      </w:r>
      <w:r>
        <w:rPr>
          <w:rFonts w:hint="eastAsia" w:ascii="仿宋" w:hAnsi="仿宋" w:eastAsia="仿宋" w:cs="仿宋"/>
          <w:b/>
          <w:sz w:val="36"/>
          <w:szCs w:val="36"/>
          <w:highlight w:val="none"/>
        </w:rPr>
        <w:t>绩效评价报告</w:t>
      </w:r>
      <w:bookmarkEnd w:id="0"/>
      <w:bookmarkEnd w:id="1"/>
    </w:p>
    <w:p>
      <w:pPr>
        <w:spacing w:line="560" w:lineRule="exact"/>
        <w:outlineLvl w:val="0"/>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 xml:space="preserve"> </w:t>
      </w:r>
    </w:p>
    <w:p>
      <w:pPr>
        <w:spacing w:line="560" w:lineRule="exact"/>
        <w:ind w:firstLine="640" w:firstLineChars="200"/>
        <w:rPr>
          <w:rFonts w:ascii="仿宋" w:hAnsi="仿宋" w:eastAsia="仿宋" w:cs="仿宋"/>
          <w:sz w:val="30"/>
          <w:szCs w:val="30"/>
          <w:highlight w:val="none"/>
        </w:rPr>
      </w:pPr>
      <w:r>
        <w:rPr>
          <w:rFonts w:hint="eastAsia" w:ascii="仿宋_GB2312" w:eastAsia="仿宋_GB2312" w:cs="仿宋_GB2312"/>
          <w:sz w:val="32"/>
          <w:szCs w:val="32"/>
          <w:lang w:eastAsia="zh-CN"/>
        </w:rPr>
        <w:t>按照</w:t>
      </w:r>
      <w:r>
        <w:rPr>
          <w:rFonts w:hint="eastAsia" w:ascii="仿宋_GB2312" w:eastAsia="仿宋_GB2312" w:cs="仿宋_GB2312"/>
          <w:sz w:val="32"/>
          <w:szCs w:val="32"/>
        </w:rPr>
        <w:t>《曲阳县财政局关于印发202</w:t>
      </w:r>
      <w:r>
        <w:rPr>
          <w:rFonts w:hint="eastAsia" w:ascii="仿宋_GB2312" w:eastAsia="仿宋_GB2312" w:cs="仿宋_GB2312"/>
          <w:sz w:val="32"/>
          <w:szCs w:val="32"/>
          <w:lang w:val="en-US" w:eastAsia="zh-CN"/>
        </w:rPr>
        <w:t>3</w:t>
      </w:r>
      <w:r>
        <w:rPr>
          <w:rFonts w:hint="eastAsia" w:ascii="仿宋_GB2312" w:eastAsia="仿宋_GB2312" w:cs="仿宋_GB2312"/>
          <w:sz w:val="32"/>
          <w:szCs w:val="32"/>
        </w:rPr>
        <w:t>年县级财政重点绩效评价计划的通知》的</w:t>
      </w:r>
      <w:r>
        <w:rPr>
          <w:rFonts w:ascii="仿宋_GB2312" w:eastAsia="仿宋_GB2312" w:cs="仿宋_GB2312"/>
          <w:sz w:val="32"/>
          <w:szCs w:val="32"/>
        </w:rPr>
        <w:t>要求</w:t>
      </w:r>
      <w:r>
        <w:rPr>
          <w:rFonts w:hint="eastAsia" w:ascii="仿宋_GB2312" w:eastAsia="仿宋_GB2312" w:cs="仿宋_GB2312"/>
          <w:sz w:val="32"/>
          <w:szCs w:val="32"/>
          <w:lang w:eastAsia="zh-CN"/>
        </w:rPr>
        <w:t>，由财政局监督评价会计股牵头第三方协助，</w:t>
      </w:r>
      <w:r>
        <w:rPr>
          <w:rFonts w:hint="eastAsia" w:ascii="仿宋" w:hAnsi="仿宋" w:eastAsia="仿宋" w:cs="仿宋"/>
          <w:sz w:val="30"/>
          <w:szCs w:val="30"/>
          <w:highlight w:val="none"/>
        </w:rPr>
        <w:t>对曲阳县教育和体育局承担的特岗教师工资待遇资金（中央直达）项目（以下简称“该项目”）的具体实施情况进行了绩效评价。曲阳县教育和体育局和相关单位提供与绩效评价有关的项目资料，并对其真实性、完整性、合法性负责，根据项目相关资料，对该项目的项目投入、项目过程管理、项目产出、项目效益四个方面和执行国家法律、法规的情况发表评价意见。</w:t>
      </w:r>
    </w:p>
    <w:p>
      <w:pPr>
        <w:spacing w:line="560" w:lineRule="exact"/>
        <w:ind w:firstLine="643" w:firstLineChars="200"/>
        <w:outlineLvl w:val="0"/>
        <w:rPr>
          <w:rFonts w:ascii="仿宋" w:hAnsi="仿宋" w:eastAsia="仿宋" w:cs="仿宋"/>
          <w:b/>
          <w:bCs/>
          <w:sz w:val="32"/>
          <w:szCs w:val="32"/>
          <w:highlight w:val="none"/>
        </w:rPr>
      </w:pPr>
      <w:bookmarkStart w:id="2" w:name="_Toc30480"/>
      <w:bookmarkStart w:id="3" w:name="_Toc83631027"/>
      <w:bookmarkStart w:id="4" w:name="_Toc83630317"/>
      <w:r>
        <w:rPr>
          <w:rFonts w:hint="eastAsia" w:ascii="仿宋" w:hAnsi="仿宋" w:eastAsia="仿宋" w:cs="仿宋"/>
          <w:b/>
          <w:bCs/>
          <w:sz w:val="32"/>
          <w:szCs w:val="32"/>
          <w:highlight w:val="none"/>
        </w:rPr>
        <w:t>一、项目概况</w:t>
      </w:r>
      <w:bookmarkEnd w:id="2"/>
      <w:bookmarkEnd w:id="3"/>
      <w:bookmarkEnd w:id="4"/>
    </w:p>
    <w:p>
      <w:pPr>
        <w:spacing w:line="560" w:lineRule="exact"/>
        <w:ind w:firstLine="600" w:firstLineChars="200"/>
        <w:rPr>
          <w:rFonts w:ascii="仿宋" w:hAnsi="仿宋" w:eastAsia="仿宋" w:cs="仿宋"/>
          <w:sz w:val="30"/>
          <w:szCs w:val="30"/>
          <w:highlight w:val="none"/>
        </w:rPr>
      </w:pPr>
      <w:r>
        <w:rPr>
          <w:rFonts w:hint="eastAsia" w:ascii="仿宋" w:hAnsi="仿宋" w:eastAsia="仿宋" w:cs="仿宋"/>
          <w:sz w:val="30"/>
          <w:szCs w:val="30"/>
          <w:highlight w:val="none"/>
        </w:rPr>
        <w:t>为贯彻落实全国教育大会精神和《中共中央</w:t>
      </w:r>
      <w:r>
        <w:rPr>
          <w:rFonts w:hint="eastAsia" w:ascii="仿宋" w:hAnsi="仿宋" w:eastAsia="仿宋" w:cs="仿宋"/>
          <w:sz w:val="30"/>
          <w:szCs w:val="30"/>
          <w:highlight w:val="none"/>
          <w:lang w:val="en-US" w:eastAsia="zh-CN"/>
        </w:rPr>
        <w:t xml:space="preserve"> </w:t>
      </w:r>
      <w:r>
        <w:rPr>
          <w:rFonts w:hint="eastAsia" w:ascii="仿宋" w:hAnsi="仿宋" w:eastAsia="仿宋" w:cs="仿宋"/>
          <w:sz w:val="30"/>
          <w:szCs w:val="30"/>
          <w:highlight w:val="none"/>
        </w:rPr>
        <w:t>国务院关于全面深化新时代教师队伍建设改革的意见》，吸引优秀大学毕业生到农村学校任教，更好地服务乡村振兴战略和巩固拓展脱贫攻坚成果，河北省教育厅 河北省财政厅特发《关于做好河北省2022年农村义务教育阶段学校教师特设岗位计划实施工作的通知》（冀教师[2022]12号）和《关于提前下达2022年城乡义务教育中央补助经费预算（直达资金）的通知》（冀财教[2021]130号）。</w:t>
      </w:r>
    </w:p>
    <w:p>
      <w:pPr>
        <w:spacing w:line="560" w:lineRule="exact"/>
        <w:ind w:firstLine="643" w:firstLineChars="200"/>
        <w:outlineLvl w:val="0"/>
        <w:rPr>
          <w:rFonts w:ascii="仿宋" w:hAnsi="仿宋" w:eastAsia="仿宋" w:cs="仿宋"/>
          <w:b/>
          <w:bCs/>
          <w:sz w:val="32"/>
          <w:szCs w:val="32"/>
          <w:highlight w:val="none"/>
        </w:rPr>
      </w:pPr>
      <w:bookmarkStart w:id="5" w:name="_Toc83630318"/>
      <w:bookmarkStart w:id="6" w:name="_Toc22022"/>
      <w:bookmarkStart w:id="7" w:name="_Toc22961"/>
      <w:bookmarkStart w:id="8" w:name="_Toc25381"/>
      <w:bookmarkStart w:id="9" w:name="_Toc83631028"/>
      <w:r>
        <w:rPr>
          <w:rFonts w:hint="eastAsia" w:ascii="仿宋" w:hAnsi="仿宋" w:eastAsia="仿宋" w:cs="仿宋"/>
          <w:b/>
          <w:bCs/>
          <w:sz w:val="32"/>
          <w:szCs w:val="32"/>
          <w:highlight w:val="none"/>
        </w:rPr>
        <w:t>二、项目实施内容和范围</w:t>
      </w:r>
      <w:bookmarkEnd w:id="5"/>
      <w:bookmarkEnd w:id="6"/>
      <w:bookmarkEnd w:id="7"/>
      <w:bookmarkEnd w:id="8"/>
      <w:bookmarkEnd w:id="9"/>
    </w:p>
    <w:p>
      <w:pPr>
        <w:spacing w:line="560" w:lineRule="exact"/>
        <w:ind w:firstLine="600" w:firstLineChars="200"/>
        <w:rPr>
          <w:rFonts w:ascii="仿宋" w:hAnsi="仿宋" w:eastAsia="仿宋" w:cs="仿宋"/>
          <w:sz w:val="30"/>
          <w:szCs w:val="30"/>
          <w:highlight w:val="none"/>
        </w:rPr>
      </w:pPr>
      <w:bookmarkStart w:id="10" w:name="_Toc30654"/>
      <w:bookmarkStart w:id="11" w:name="_Toc16200"/>
      <w:r>
        <w:rPr>
          <w:rFonts w:hint="eastAsia" w:ascii="仿宋" w:hAnsi="仿宋" w:eastAsia="仿宋" w:cs="仿宋"/>
          <w:sz w:val="30"/>
          <w:szCs w:val="30"/>
          <w:highlight w:val="none"/>
        </w:rPr>
        <w:t>根据河北省教育厅 河北省财政厅特发《关于做好河北省2022年农村义务教育阶段学校教师特设岗位计划实施工作的通知》（冀教师[2022]12号）的目标任务为：面向全国招聘高校毕业生到我省脱贫地区(原集中连片特殊困难地区、中西部国家扶贫开发工作重点县和省级扶贫开发工作重点县)农村学校任教，完善我省农村教师补充新机制，逐步解决我省农村学校师资总量不足和结构性矛盾等问题，提高农村教师队伍整体素质和农村教育教学质量，缩小城乡教育差距，大力促进教育公平和城乡教育资源均衡配置。</w:t>
      </w:r>
    </w:p>
    <w:p>
      <w:pPr>
        <w:spacing w:line="560" w:lineRule="exact"/>
        <w:ind w:firstLine="600" w:firstLineChars="200"/>
        <w:rPr>
          <w:rFonts w:ascii="仿宋" w:hAnsi="仿宋" w:eastAsia="仿宋" w:cs="仿宋"/>
          <w:sz w:val="30"/>
          <w:szCs w:val="30"/>
          <w:highlight w:val="none"/>
        </w:rPr>
      </w:pPr>
      <w:r>
        <w:rPr>
          <w:rFonts w:hint="eastAsia" w:ascii="仿宋" w:hAnsi="仿宋" w:eastAsia="仿宋" w:cs="仿宋"/>
          <w:sz w:val="30"/>
          <w:szCs w:val="30"/>
          <w:highlight w:val="none"/>
        </w:rPr>
        <w:t>“特岗计划”所需资金由中央财政与地方政府共同承担，以中央财政为主。特岗教师服务期间，执行国家统一的工资制度和标准。其他津贴补贴由各地根据当地同等条件办公教师年收入水平和中央补助水平综合确定。特岗教师工资性收入高于中央补助经费标准的，其高出部分由设岗县人民政府承担。设岗县要统筹安排特岗教师的工资、地方性补贴、必要的交通补助、体检费和按规定纳入当地社会保障体系、享受相应的社会保障待遇（不含商业保险）应缴纳的相关费用等，确保特岗教师工资按时足额发放，按规定参加社会保险等。设岗县应切实保障特岗教师与当地公办学校教师同等待遇，落实好特岗教师的周转宿舍安排等相关保障工作。</w:t>
      </w:r>
    </w:p>
    <w:bookmarkEnd w:id="10"/>
    <w:bookmarkEnd w:id="11"/>
    <w:p>
      <w:pPr>
        <w:spacing w:line="560" w:lineRule="exact"/>
        <w:ind w:firstLine="643" w:firstLineChars="200"/>
        <w:outlineLvl w:val="0"/>
        <w:rPr>
          <w:rFonts w:ascii="仿宋" w:hAnsi="仿宋" w:eastAsia="仿宋" w:cs="仿宋"/>
          <w:b/>
          <w:bCs/>
          <w:sz w:val="32"/>
          <w:szCs w:val="32"/>
          <w:highlight w:val="none"/>
        </w:rPr>
      </w:pPr>
      <w:bookmarkStart w:id="12" w:name="_Toc83630319"/>
      <w:bookmarkStart w:id="13" w:name="_Toc8527"/>
      <w:bookmarkStart w:id="14" w:name="_Toc24391"/>
      <w:bookmarkStart w:id="15" w:name="_Toc83631029"/>
      <w:bookmarkStart w:id="16" w:name="_Toc17013"/>
      <w:r>
        <w:rPr>
          <w:rFonts w:hint="eastAsia" w:ascii="仿宋" w:hAnsi="仿宋" w:eastAsia="仿宋" w:cs="仿宋"/>
          <w:b/>
          <w:bCs/>
          <w:sz w:val="32"/>
          <w:szCs w:val="32"/>
          <w:highlight w:val="none"/>
        </w:rPr>
        <w:t>三、项目资金使用情况</w:t>
      </w:r>
      <w:bookmarkEnd w:id="12"/>
      <w:bookmarkEnd w:id="13"/>
      <w:bookmarkEnd w:id="14"/>
      <w:bookmarkEnd w:id="15"/>
      <w:bookmarkEnd w:id="16"/>
    </w:p>
    <w:p>
      <w:pPr>
        <w:spacing w:line="560" w:lineRule="exact"/>
        <w:ind w:firstLine="600" w:firstLineChars="200"/>
        <w:rPr>
          <w:rFonts w:ascii="仿宋" w:hAnsi="仿宋" w:eastAsia="仿宋" w:cs="仿宋"/>
          <w:sz w:val="30"/>
          <w:szCs w:val="30"/>
          <w:highlight w:val="none"/>
        </w:rPr>
      </w:pPr>
      <w:r>
        <w:rPr>
          <w:rFonts w:hint="eastAsia" w:ascii="仿宋" w:hAnsi="仿宋" w:eastAsia="仿宋" w:cs="仿宋"/>
          <w:sz w:val="30"/>
          <w:szCs w:val="30"/>
          <w:highlight w:val="none"/>
        </w:rPr>
        <w:t>2022年</w:t>
      </w:r>
      <w:r>
        <w:rPr>
          <w:rFonts w:hint="eastAsia" w:ascii="仿宋" w:hAnsi="仿宋" w:eastAsia="仿宋" w:cs="仿宋"/>
          <w:sz w:val="30"/>
          <w:szCs w:val="30"/>
          <w:highlight w:val="none"/>
          <w:lang w:val="en-US" w:eastAsia="zh-CN"/>
        </w:rPr>
        <w:t>该项目</w:t>
      </w:r>
      <w:r>
        <w:rPr>
          <w:rFonts w:hint="eastAsia" w:ascii="仿宋" w:hAnsi="仿宋" w:eastAsia="仿宋" w:cs="仿宋"/>
          <w:sz w:val="30"/>
          <w:szCs w:val="30"/>
          <w:highlight w:val="none"/>
        </w:rPr>
        <w:t>中央直达资金预算安排1,728</w:t>
      </w:r>
      <w:r>
        <w:rPr>
          <w:rFonts w:hint="eastAsia" w:ascii="仿宋" w:hAnsi="仿宋" w:eastAsia="仿宋" w:cs="仿宋"/>
          <w:sz w:val="30"/>
          <w:szCs w:val="30"/>
          <w:highlight w:val="none"/>
          <w:lang w:val="en-US" w:eastAsia="zh-CN"/>
        </w:rPr>
        <w:t>.00</w:t>
      </w:r>
      <w:r>
        <w:rPr>
          <w:rFonts w:hint="eastAsia" w:ascii="仿宋" w:hAnsi="仿宋" w:eastAsia="仿宋" w:cs="仿宋"/>
          <w:sz w:val="30"/>
          <w:szCs w:val="30"/>
          <w:highlight w:val="none"/>
        </w:rPr>
        <w:t>万元，2022年预算执行1,728</w:t>
      </w:r>
      <w:r>
        <w:rPr>
          <w:rFonts w:hint="eastAsia" w:ascii="仿宋" w:hAnsi="仿宋" w:eastAsia="仿宋" w:cs="仿宋"/>
          <w:sz w:val="30"/>
          <w:szCs w:val="30"/>
          <w:highlight w:val="none"/>
          <w:lang w:val="en-US" w:eastAsia="zh-CN"/>
        </w:rPr>
        <w:t>.00</w:t>
      </w:r>
      <w:r>
        <w:rPr>
          <w:rFonts w:hint="eastAsia" w:ascii="仿宋" w:hAnsi="仿宋" w:eastAsia="仿宋" w:cs="仿宋"/>
          <w:sz w:val="30"/>
          <w:szCs w:val="30"/>
          <w:highlight w:val="none"/>
        </w:rPr>
        <w:t>万元，无资金结余。明细如下：</w:t>
      </w:r>
    </w:p>
    <w:p>
      <w:pPr>
        <w:pStyle w:val="11"/>
        <w:jc w:val="right"/>
        <w:rPr>
          <w:rFonts w:ascii="仿宋" w:hAnsi="仿宋" w:eastAsia="仿宋" w:cs="仿宋"/>
          <w:sz w:val="30"/>
          <w:szCs w:val="30"/>
          <w:highlight w:val="none"/>
        </w:rPr>
      </w:pPr>
      <w:r>
        <w:rPr>
          <w:rFonts w:hint="eastAsia" w:ascii="仿宋" w:hAnsi="仿宋" w:eastAsia="仿宋" w:cs="仿宋"/>
          <w:sz w:val="30"/>
          <w:szCs w:val="30"/>
          <w:highlight w:val="none"/>
        </w:rPr>
        <w:t>单位：万元</w:t>
      </w:r>
    </w:p>
    <w:tbl>
      <w:tblPr>
        <w:tblStyle w:val="12"/>
        <w:tblW w:w="4271" w:type="pct"/>
        <w:jc w:val="center"/>
        <w:tblLayout w:type="autofit"/>
        <w:tblCellMar>
          <w:top w:w="0" w:type="dxa"/>
          <w:left w:w="108" w:type="dxa"/>
          <w:bottom w:w="0" w:type="dxa"/>
          <w:right w:w="108" w:type="dxa"/>
        </w:tblCellMar>
      </w:tblPr>
      <w:tblGrid>
        <w:gridCol w:w="4982"/>
        <w:gridCol w:w="3435"/>
      </w:tblGrid>
      <w:tr>
        <w:tblPrEx>
          <w:tblCellMar>
            <w:top w:w="0" w:type="dxa"/>
            <w:left w:w="108" w:type="dxa"/>
            <w:bottom w:w="0" w:type="dxa"/>
            <w:right w:w="108" w:type="dxa"/>
          </w:tblCellMar>
        </w:tblPrEx>
        <w:trPr>
          <w:trHeight w:val="499" w:hRule="atLeast"/>
          <w:tblHeader/>
          <w:jc w:val="center"/>
        </w:trPr>
        <w:tc>
          <w:tcPr>
            <w:tcW w:w="29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top"/>
              <w:rPr>
                <w:rFonts w:ascii="宋体" w:hAnsi="宋体" w:cs="宋体"/>
                <w:b/>
                <w:bCs/>
                <w:color w:val="000000"/>
                <w:sz w:val="22"/>
                <w:szCs w:val="22"/>
                <w:highlight w:val="none"/>
              </w:rPr>
            </w:pPr>
            <w:r>
              <w:rPr>
                <w:rFonts w:hint="eastAsia" w:ascii="宋体" w:hAnsi="宋体" w:cs="宋体"/>
                <w:b/>
                <w:bCs/>
                <w:color w:val="000000"/>
                <w:kern w:val="0"/>
                <w:sz w:val="22"/>
                <w:szCs w:val="22"/>
                <w:highlight w:val="none"/>
              </w:rPr>
              <w:t>资金支出内容</w:t>
            </w:r>
          </w:p>
        </w:tc>
        <w:tc>
          <w:tcPr>
            <w:tcW w:w="204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top"/>
              <w:rPr>
                <w:rFonts w:ascii="宋体" w:hAnsi="宋体" w:cs="宋体"/>
                <w:b/>
                <w:bCs/>
                <w:color w:val="000000"/>
                <w:sz w:val="22"/>
                <w:szCs w:val="22"/>
                <w:highlight w:val="none"/>
              </w:rPr>
            </w:pPr>
            <w:r>
              <w:rPr>
                <w:rFonts w:hint="eastAsia" w:ascii="宋体" w:hAnsi="宋体" w:cs="宋体"/>
                <w:b/>
                <w:bCs/>
                <w:color w:val="000000"/>
                <w:kern w:val="0"/>
                <w:sz w:val="22"/>
                <w:szCs w:val="22"/>
                <w:highlight w:val="none"/>
              </w:rPr>
              <w:t>金额</w:t>
            </w:r>
          </w:p>
        </w:tc>
      </w:tr>
      <w:tr>
        <w:tblPrEx>
          <w:tblCellMar>
            <w:top w:w="0" w:type="dxa"/>
            <w:left w:w="108" w:type="dxa"/>
            <w:bottom w:w="0" w:type="dxa"/>
            <w:right w:w="108" w:type="dxa"/>
          </w:tblCellMar>
        </w:tblPrEx>
        <w:trPr>
          <w:trHeight w:val="379" w:hRule="atLeast"/>
          <w:jc w:val="center"/>
        </w:trPr>
        <w:tc>
          <w:tcPr>
            <w:tcW w:w="29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top"/>
              <w:rPr>
                <w:rFonts w:ascii="宋体" w:hAnsi="宋体" w:cs="宋体"/>
                <w:bCs/>
                <w:color w:val="000000"/>
                <w:kern w:val="0"/>
                <w:sz w:val="22"/>
                <w:szCs w:val="22"/>
                <w:highlight w:val="none"/>
              </w:rPr>
            </w:pPr>
            <w:r>
              <w:rPr>
                <w:rFonts w:hint="eastAsia" w:ascii="宋体" w:hAnsi="宋体" w:cs="宋体"/>
                <w:bCs/>
                <w:color w:val="000000"/>
                <w:kern w:val="0"/>
                <w:sz w:val="22"/>
                <w:szCs w:val="22"/>
                <w:highlight w:val="none"/>
              </w:rPr>
              <w:t>工资</w:t>
            </w:r>
          </w:p>
        </w:tc>
        <w:tc>
          <w:tcPr>
            <w:tcW w:w="204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top"/>
              <w:rPr>
                <w:rFonts w:ascii="宋体" w:hAnsi="宋体" w:cs="宋体"/>
                <w:bCs/>
                <w:color w:val="000000"/>
                <w:kern w:val="0"/>
                <w:sz w:val="22"/>
                <w:szCs w:val="22"/>
                <w:highlight w:val="none"/>
              </w:rPr>
            </w:pPr>
            <w:r>
              <w:rPr>
                <w:rFonts w:hint="eastAsia" w:ascii="宋体" w:hAnsi="宋体" w:cs="宋体"/>
                <w:bCs/>
                <w:color w:val="000000"/>
                <w:kern w:val="0"/>
                <w:sz w:val="22"/>
                <w:szCs w:val="22"/>
                <w:highlight w:val="none"/>
              </w:rPr>
              <w:t>970.00</w:t>
            </w:r>
          </w:p>
        </w:tc>
      </w:tr>
      <w:tr>
        <w:tblPrEx>
          <w:tblCellMar>
            <w:top w:w="0" w:type="dxa"/>
            <w:left w:w="108" w:type="dxa"/>
            <w:bottom w:w="0" w:type="dxa"/>
            <w:right w:w="108" w:type="dxa"/>
          </w:tblCellMar>
        </w:tblPrEx>
        <w:trPr>
          <w:trHeight w:val="378" w:hRule="atLeast"/>
          <w:jc w:val="center"/>
        </w:trPr>
        <w:tc>
          <w:tcPr>
            <w:tcW w:w="29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top"/>
              <w:rPr>
                <w:rFonts w:ascii="宋体" w:hAnsi="宋体" w:cs="宋体"/>
                <w:bCs/>
                <w:color w:val="000000"/>
                <w:kern w:val="0"/>
                <w:sz w:val="22"/>
                <w:szCs w:val="22"/>
                <w:highlight w:val="none"/>
              </w:rPr>
            </w:pPr>
            <w:r>
              <w:rPr>
                <w:rFonts w:hint="eastAsia" w:ascii="宋体" w:hAnsi="宋体" w:cs="宋体"/>
                <w:bCs/>
                <w:color w:val="000000"/>
                <w:kern w:val="0"/>
                <w:sz w:val="22"/>
                <w:szCs w:val="22"/>
                <w:highlight w:val="none"/>
              </w:rPr>
              <w:t>绩效工资</w:t>
            </w:r>
          </w:p>
        </w:tc>
        <w:tc>
          <w:tcPr>
            <w:tcW w:w="204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top"/>
              <w:rPr>
                <w:rFonts w:ascii="宋体" w:hAnsi="宋体" w:cs="宋体"/>
                <w:bCs/>
                <w:color w:val="000000"/>
                <w:kern w:val="0"/>
                <w:sz w:val="22"/>
                <w:szCs w:val="22"/>
                <w:highlight w:val="none"/>
              </w:rPr>
            </w:pPr>
            <w:r>
              <w:rPr>
                <w:rFonts w:hint="eastAsia" w:ascii="宋体" w:hAnsi="宋体" w:cs="宋体"/>
                <w:bCs/>
                <w:color w:val="000000"/>
                <w:kern w:val="0"/>
                <w:sz w:val="22"/>
                <w:szCs w:val="22"/>
                <w:highlight w:val="none"/>
              </w:rPr>
              <w:t>200.65</w:t>
            </w:r>
          </w:p>
        </w:tc>
      </w:tr>
      <w:tr>
        <w:tblPrEx>
          <w:tblCellMar>
            <w:top w:w="0" w:type="dxa"/>
            <w:left w:w="108" w:type="dxa"/>
            <w:bottom w:w="0" w:type="dxa"/>
            <w:right w:w="108" w:type="dxa"/>
          </w:tblCellMar>
        </w:tblPrEx>
        <w:trPr>
          <w:trHeight w:val="355" w:hRule="atLeast"/>
          <w:jc w:val="center"/>
        </w:trPr>
        <w:tc>
          <w:tcPr>
            <w:tcW w:w="29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top"/>
              <w:rPr>
                <w:rFonts w:ascii="宋体" w:hAnsi="宋体" w:cs="宋体"/>
                <w:bCs/>
                <w:color w:val="000000"/>
                <w:kern w:val="0"/>
                <w:sz w:val="22"/>
                <w:szCs w:val="22"/>
                <w:highlight w:val="none"/>
              </w:rPr>
            </w:pPr>
            <w:r>
              <w:rPr>
                <w:rFonts w:hint="eastAsia" w:ascii="宋体" w:hAnsi="宋体" w:cs="宋体"/>
                <w:bCs/>
                <w:color w:val="000000"/>
                <w:kern w:val="0"/>
                <w:sz w:val="22"/>
                <w:szCs w:val="22"/>
                <w:highlight w:val="none"/>
              </w:rPr>
              <w:t>调标</w:t>
            </w:r>
          </w:p>
        </w:tc>
        <w:tc>
          <w:tcPr>
            <w:tcW w:w="204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top"/>
              <w:rPr>
                <w:rFonts w:ascii="宋体" w:hAnsi="宋体" w:cs="宋体"/>
                <w:bCs/>
                <w:color w:val="000000"/>
                <w:kern w:val="0"/>
                <w:sz w:val="22"/>
                <w:szCs w:val="22"/>
                <w:highlight w:val="none"/>
              </w:rPr>
            </w:pPr>
            <w:r>
              <w:rPr>
                <w:rFonts w:hint="eastAsia" w:ascii="宋体" w:hAnsi="宋体" w:cs="宋体"/>
                <w:bCs/>
                <w:color w:val="000000"/>
                <w:kern w:val="0"/>
                <w:sz w:val="22"/>
                <w:szCs w:val="22"/>
                <w:highlight w:val="none"/>
              </w:rPr>
              <w:t>85.53</w:t>
            </w:r>
          </w:p>
        </w:tc>
      </w:tr>
      <w:tr>
        <w:tblPrEx>
          <w:tblCellMar>
            <w:top w:w="0" w:type="dxa"/>
            <w:left w:w="108" w:type="dxa"/>
            <w:bottom w:w="0" w:type="dxa"/>
            <w:right w:w="108" w:type="dxa"/>
          </w:tblCellMar>
        </w:tblPrEx>
        <w:trPr>
          <w:trHeight w:val="367" w:hRule="atLeast"/>
          <w:jc w:val="center"/>
        </w:trPr>
        <w:tc>
          <w:tcPr>
            <w:tcW w:w="29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top"/>
              <w:rPr>
                <w:rFonts w:ascii="宋体" w:hAnsi="宋体" w:cs="宋体"/>
                <w:bCs/>
                <w:color w:val="000000"/>
                <w:kern w:val="0"/>
                <w:sz w:val="22"/>
                <w:szCs w:val="22"/>
                <w:highlight w:val="none"/>
              </w:rPr>
            </w:pPr>
            <w:r>
              <w:rPr>
                <w:rFonts w:hint="eastAsia" w:ascii="宋体" w:hAnsi="宋体" w:cs="宋体"/>
                <w:bCs/>
                <w:color w:val="000000"/>
                <w:kern w:val="0"/>
                <w:sz w:val="22"/>
                <w:szCs w:val="22"/>
                <w:highlight w:val="none"/>
                <w:lang w:val="en-US" w:eastAsia="zh-CN"/>
              </w:rPr>
              <w:t>2021年度</w:t>
            </w:r>
            <w:r>
              <w:rPr>
                <w:rFonts w:hint="eastAsia" w:ascii="宋体" w:hAnsi="宋体" w:cs="宋体"/>
                <w:bCs/>
                <w:color w:val="000000"/>
                <w:kern w:val="0"/>
                <w:sz w:val="22"/>
                <w:szCs w:val="22"/>
                <w:highlight w:val="none"/>
              </w:rPr>
              <w:t>奖励绩效</w:t>
            </w:r>
          </w:p>
        </w:tc>
        <w:tc>
          <w:tcPr>
            <w:tcW w:w="204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top"/>
              <w:rPr>
                <w:rFonts w:ascii="宋体" w:hAnsi="宋体" w:cs="宋体"/>
                <w:bCs/>
                <w:color w:val="000000"/>
                <w:kern w:val="0"/>
                <w:sz w:val="22"/>
                <w:szCs w:val="22"/>
                <w:highlight w:val="none"/>
              </w:rPr>
            </w:pPr>
            <w:r>
              <w:rPr>
                <w:rFonts w:hint="eastAsia" w:ascii="宋体" w:hAnsi="宋体" w:cs="宋体"/>
                <w:bCs/>
                <w:color w:val="000000"/>
                <w:kern w:val="0"/>
                <w:sz w:val="22"/>
                <w:szCs w:val="22"/>
                <w:highlight w:val="none"/>
              </w:rPr>
              <w:t>471.82</w:t>
            </w:r>
          </w:p>
        </w:tc>
      </w:tr>
      <w:tr>
        <w:tblPrEx>
          <w:tblCellMar>
            <w:top w:w="0" w:type="dxa"/>
            <w:left w:w="108" w:type="dxa"/>
            <w:bottom w:w="0" w:type="dxa"/>
            <w:right w:w="108" w:type="dxa"/>
          </w:tblCellMar>
        </w:tblPrEx>
        <w:trPr>
          <w:trHeight w:val="432" w:hRule="atLeast"/>
          <w:jc w:val="center"/>
        </w:trPr>
        <w:tc>
          <w:tcPr>
            <w:tcW w:w="29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top"/>
              <w:rPr>
                <w:rFonts w:hint="eastAsia" w:ascii="宋体" w:hAnsi="宋体" w:eastAsia="宋体" w:cs="宋体"/>
                <w:b/>
                <w:bCs w:val="0"/>
                <w:color w:val="000000"/>
                <w:kern w:val="0"/>
                <w:sz w:val="22"/>
                <w:szCs w:val="22"/>
                <w:highlight w:val="none"/>
                <w:lang w:val="en-US" w:eastAsia="zh-CN"/>
              </w:rPr>
            </w:pPr>
            <w:r>
              <w:rPr>
                <w:rFonts w:hint="eastAsia" w:ascii="宋体" w:hAnsi="宋体" w:cs="宋体"/>
                <w:b/>
                <w:bCs w:val="0"/>
                <w:color w:val="000000"/>
                <w:kern w:val="0"/>
                <w:sz w:val="22"/>
                <w:szCs w:val="22"/>
                <w:highlight w:val="none"/>
              </w:rPr>
              <w:t>合计</w:t>
            </w:r>
            <w:r>
              <w:rPr>
                <w:rFonts w:hint="eastAsia" w:ascii="宋体" w:hAnsi="宋体" w:cs="宋体"/>
                <w:b/>
                <w:bCs w:val="0"/>
                <w:color w:val="000000"/>
                <w:kern w:val="0"/>
                <w:sz w:val="22"/>
                <w:szCs w:val="22"/>
                <w:highlight w:val="none"/>
                <w:lang w:val="en-US" w:eastAsia="zh-CN"/>
              </w:rPr>
              <w:t>金额</w:t>
            </w:r>
          </w:p>
        </w:tc>
        <w:tc>
          <w:tcPr>
            <w:tcW w:w="204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top"/>
              <w:rPr>
                <w:rFonts w:ascii="宋体" w:hAnsi="宋体" w:cs="宋体"/>
                <w:b/>
                <w:bCs w:val="0"/>
                <w:color w:val="000000"/>
                <w:kern w:val="0"/>
                <w:sz w:val="22"/>
                <w:szCs w:val="22"/>
                <w:highlight w:val="none"/>
              </w:rPr>
            </w:pPr>
            <w:r>
              <w:rPr>
                <w:rFonts w:hint="eastAsia" w:ascii="宋体" w:hAnsi="宋体" w:cs="宋体"/>
                <w:b/>
                <w:bCs w:val="0"/>
                <w:color w:val="000000"/>
                <w:kern w:val="0"/>
                <w:sz w:val="22"/>
                <w:szCs w:val="22"/>
                <w:highlight w:val="none"/>
              </w:rPr>
              <w:t>1,728.00</w:t>
            </w:r>
          </w:p>
        </w:tc>
      </w:tr>
    </w:tbl>
    <w:p>
      <w:pPr>
        <w:rPr>
          <w:highlight w:val="none"/>
        </w:rPr>
      </w:pPr>
    </w:p>
    <w:p>
      <w:pPr>
        <w:spacing w:line="560" w:lineRule="exact"/>
        <w:ind w:firstLine="951" w:firstLineChars="296"/>
        <w:outlineLvl w:val="0"/>
        <w:rPr>
          <w:rFonts w:ascii="仿宋" w:hAnsi="仿宋" w:eastAsia="仿宋" w:cs="仿宋"/>
          <w:b/>
          <w:bCs/>
          <w:sz w:val="32"/>
          <w:szCs w:val="32"/>
          <w:highlight w:val="none"/>
        </w:rPr>
      </w:pPr>
      <w:bookmarkStart w:id="17" w:name="_Toc83631030"/>
      <w:bookmarkStart w:id="18" w:name="_Toc83630320"/>
      <w:bookmarkStart w:id="19" w:name="_Toc21403"/>
      <w:bookmarkStart w:id="20" w:name="_Toc14351"/>
      <w:bookmarkStart w:id="21" w:name="_Toc18734"/>
      <w:r>
        <w:rPr>
          <w:rFonts w:hint="eastAsia" w:ascii="仿宋" w:hAnsi="仿宋" w:eastAsia="仿宋" w:cs="仿宋"/>
          <w:b/>
          <w:bCs/>
          <w:sz w:val="32"/>
          <w:szCs w:val="32"/>
          <w:highlight w:val="none"/>
        </w:rPr>
        <w:t>四、项目管理绩效</w:t>
      </w:r>
      <w:bookmarkEnd w:id="17"/>
      <w:bookmarkEnd w:id="18"/>
      <w:bookmarkEnd w:id="19"/>
      <w:bookmarkEnd w:id="20"/>
      <w:r>
        <w:rPr>
          <w:rFonts w:hint="eastAsia" w:ascii="仿宋" w:hAnsi="仿宋" w:eastAsia="仿宋" w:cs="仿宋"/>
          <w:b/>
          <w:bCs/>
          <w:sz w:val="32"/>
          <w:szCs w:val="32"/>
          <w:highlight w:val="none"/>
        </w:rPr>
        <w:t>情况</w:t>
      </w:r>
      <w:bookmarkEnd w:id="21"/>
    </w:p>
    <w:p>
      <w:pPr>
        <w:pStyle w:val="4"/>
        <w:spacing w:before="0" w:after="0" w:line="560" w:lineRule="exact"/>
        <w:ind w:firstLine="600" w:firstLineChars="200"/>
        <w:rPr>
          <w:rFonts w:ascii="仿宋" w:hAnsi="仿宋" w:eastAsia="仿宋" w:cs="仿宋"/>
          <w:b w:val="0"/>
          <w:bCs w:val="0"/>
          <w:sz w:val="30"/>
          <w:szCs w:val="30"/>
          <w:highlight w:val="none"/>
        </w:rPr>
      </w:pPr>
      <w:bookmarkStart w:id="22" w:name="_Toc83630330"/>
      <w:bookmarkStart w:id="23" w:name="_Toc32445"/>
      <w:bookmarkStart w:id="24" w:name="_Toc12058"/>
      <w:bookmarkStart w:id="25" w:name="_Toc12908"/>
      <w:bookmarkStart w:id="26" w:name="_Toc501368359"/>
      <w:bookmarkStart w:id="27" w:name="_Toc83631040"/>
      <w:r>
        <w:rPr>
          <w:rFonts w:hint="eastAsia" w:ascii="仿宋" w:hAnsi="仿宋" w:eastAsia="仿宋" w:cs="仿宋"/>
          <w:b w:val="0"/>
          <w:bCs w:val="0"/>
          <w:sz w:val="30"/>
          <w:szCs w:val="30"/>
          <w:highlight w:val="none"/>
        </w:rPr>
        <w:t>（一）项目立项（1</w:t>
      </w:r>
      <w:r>
        <w:rPr>
          <w:rFonts w:hint="eastAsia" w:ascii="仿宋" w:hAnsi="仿宋" w:eastAsia="仿宋" w:cs="仿宋"/>
          <w:b w:val="0"/>
          <w:bCs w:val="0"/>
          <w:sz w:val="30"/>
          <w:szCs w:val="30"/>
          <w:highlight w:val="none"/>
          <w:lang w:val="en-US" w:eastAsia="zh-CN"/>
        </w:rPr>
        <w:t>5</w:t>
      </w:r>
      <w:r>
        <w:rPr>
          <w:rFonts w:hint="eastAsia" w:ascii="仿宋" w:hAnsi="仿宋" w:eastAsia="仿宋" w:cs="仿宋"/>
          <w:b w:val="0"/>
          <w:bCs w:val="0"/>
          <w:sz w:val="30"/>
          <w:szCs w:val="30"/>
          <w:highlight w:val="none"/>
        </w:rPr>
        <w:t>分）</w:t>
      </w:r>
      <w:bookmarkEnd w:id="22"/>
      <w:bookmarkEnd w:id="23"/>
      <w:bookmarkEnd w:id="24"/>
      <w:bookmarkEnd w:id="25"/>
      <w:bookmarkEnd w:id="26"/>
      <w:bookmarkEnd w:id="27"/>
    </w:p>
    <w:p>
      <w:pPr>
        <w:spacing w:line="560" w:lineRule="exact"/>
        <w:ind w:firstLine="600" w:firstLineChars="200"/>
        <w:jc w:val="left"/>
        <w:rPr>
          <w:rFonts w:ascii="仿宋" w:hAnsi="仿宋" w:eastAsia="仿宋" w:cs="仿宋"/>
          <w:sz w:val="30"/>
          <w:szCs w:val="30"/>
          <w:highlight w:val="none"/>
        </w:rPr>
      </w:pPr>
      <w:r>
        <w:rPr>
          <w:rFonts w:hint="eastAsia" w:ascii="仿宋" w:hAnsi="仿宋" w:eastAsia="仿宋" w:cs="仿宋"/>
          <w:sz w:val="30"/>
          <w:szCs w:val="30"/>
          <w:highlight w:val="none"/>
        </w:rPr>
        <w:t>该一级指标主要反映项目立项是否符合国家法规、政策规定，符合社会经济发展战略规划，项目决策是否满足政府职能，用于调节经济、市场监管、提供公共产品和服务，绩效目标的制定是否合理，绩效指标的制定是否清晰、细化、量化、可衡量。</w:t>
      </w:r>
    </w:p>
    <w:tbl>
      <w:tblPr>
        <w:tblStyle w:val="12"/>
        <w:tblW w:w="4996" w:type="pct"/>
        <w:jc w:val="center"/>
        <w:tblLayout w:type="autofit"/>
        <w:tblCellMar>
          <w:top w:w="15" w:type="dxa"/>
          <w:left w:w="15" w:type="dxa"/>
          <w:bottom w:w="15" w:type="dxa"/>
          <w:right w:w="15" w:type="dxa"/>
        </w:tblCellMar>
      </w:tblPr>
      <w:tblGrid>
        <w:gridCol w:w="2203"/>
        <w:gridCol w:w="2223"/>
        <w:gridCol w:w="2393"/>
        <w:gridCol w:w="1506"/>
        <w:gridCol w:w="1335"/>
      </w:tblGrid>
      <w:tr>
        <w:tblPrEx>
          <w:tblCellMar>
            <w:top w:w="15" w:type="dxa"/>
            <w:left w:w="15" w:type="dxa"/>
            <w:bottom w:w="15" w:type="dxa"/>
            <w:right w:w="15" w:type="dxa"/>
          </w:tblCellMar>
        </w:tblPrEx>
        <w:trPr>
          <w:trHeight w:val="482" w:hRule="exact"/>
          <w:jc w:val="center"/>
        </w:trPr>
        <w:tc>
          <w:tcPr>
            <w:tcW w:w="2203" w:type="dxa"/>
            <w:tcBorders>
              <w:top w:val="single" w:color="000000" w:sz="4" w:space="0"/>
              <w:left w:val="single" w:color="000000" w:sz="4" w:space="0"/>
              <w:bottom w:val="single" w:color="000000" w:sz="4" w:space="0"/>
              <w:right w:val="single" w:color="000000"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rPr>
              <w:t>一级指标</w:t>
            </w:r>
          </w:p>
        </w:tc>
        <w:tc>
          <w:tcPr>
            <w:tcW w:w="2223" w:type="dxa"/>
            <w:tcBorders>
              <w:top w:val="single" w:color="000000" w:sz="4" w:space="0"/>
              <w:left w:val="single" w:color="000000" w:sz="4" w:space="0"/>
              <w:bottom w:val="single" w:color="000000" w:sz="4" w:space="0"/>
              <w:right w:val="single" w:color="000000"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rPr>
              <w:t>二级指标</w:t>
            </w:r>
          </w:p>
        </w:tc>
        <w:tc>
          <w:tcPr>
            <w:tcW w:w="2393" w:type="dxa"/>
            <w:tcBorders>
              <w:top w:val="single" w:color="000000" w:sz="4" w:space="0"/>
              <w:left w:val="single" w:color="000000" w:sz="4" w:space="0"/>
              <w:bottom w:val="single" w:color="000000" w:sz="4" w:space="0"/>
              <w:right w:val="single" w:color="000000"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rPr>
              <w:t>三级指标</w:t>
            </w:r>
          </w:p>
        </w:tc>
        <w:tc>
          <w:tcPr>
            <w:tcW w:w="1506" w:type="dxa"/>
            <w:tcBorders>
              <w:top w:val="single" w:color="000000" w:sz="4" w:space="0"/>
              <w:left w:val="single" w:color="000000" w:sz="4" w:space="0"/>
              <w:bottom w:val="single" w:color="000000" w:sz="4" w:space="0"/>
              <w:right w:val="single" w:color="000000"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rPr>
              <w:t>分数权重</w:t>
            </w:r>
          </w:p>
        </w:tc>
        <w:tc>
          <w:tcPr>
            <w:tcW w:w="1335" w:type="dxa"/>
            <w:tcBorders>
              <w:top w:val="single" w:color="000000" w:sz="4" w:space="0"/>
              <w:left w:val="single" w:color="000000" w:sz="4" w:space="0"/>
              <w:bottom w:val="single" w:color="000000" w:sz="4" w:space="0"/>
              <w:right w:val="single" w:color="000000"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rPr>
              <w:t>得分</w:t>
            </w:r>
          </w:p>
        </w:tc>
      </w:tr>
      <w:tr>
        <w:tblPrEx>
          <w:tblCellMar>
            <w:top w:w="15" w:type="dxa"/>
            <w:left w:w="15" w:type="dxa"/>
            <w:bottom w:w="15" w:type="dxa"/>
            <w:right w:w="15" w:type="dxa"/>
          </w:tblCellMar>
        </w:tblPrEx>
        <w:trPr>
          <w:trHeight w:val="529" w:hRule="exact"/>
          <w:jc w:val="center"/>
        </w:trPr>
        <w:tc>
          <w:tcPr>
            <w:tcW w:w="2203" w:type="dxa"/>
            <w:vMerge w:val="restart"/>
            <w:tcBorders>
              <w:top w:val="single" w:color="000000" w:sz="4" w:space="0"/>
              <w:left w:val="single" w:color="000000" w:sz="4" w:space="0"/>
              <w:bottom w:val="single" w:color="000000" w:sz="4" w:space="0"/>
              <w:right w:val="single" w:color="000000"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项目立项</w:t>
            </w:r>
          </w:p>
          <w:p>
            <w:pPr>
              <w:pageBreakBefore w:val="0"/>
              <w:widowControl/>
              <w:kinsoku/>
              <w:wordWrap/>
              <w:overflowPunct/>
              <w:topLinePunct w:val="0"/>
              <w:autoSpaceDE/>
              <w:autoSpaceDN/>
              <w:bidi w:val="0"/>
              <w:adjustRightInd/>
              <w:snapToGrid/>
              <w:spacing w:line="560" w:lineRule="exact"/>
              <w:jc w:val="center"/>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rPr>
              <w:t>(1</w:t>
            </w:r>
            <w:r>
              <w:rPr>
                <w:rFonts w:hint="eastAsia" w:ascii="仿宋" w:hAnsi="仿宋" w:eastAsia="仿宋" w:cs="仿宋"/>
                <w:color w:val="000000"/>
                <w:kern w:val="0"/>
                <w:sz w:val="24"/>
                <w:szCs w:val="24"/>
                <w:highlight w:val="none"/>
                <w:lang w:val="en-US" w:eastAsia="zh-CN"/>
              </w:rPr>
              <w:t>5</w:t>
            </w:r>
            <w:r>
              <w:rPr>
                <w:rFonts w:hint="eastAsia" w:ascii="仿宋" w:hAnsi="仿宋" w:eastAsia="仿宋" w:cs="仿宋"/>
                <w:color w:val="000000"/>
                <w:kern w:val="0"/>
                <w:sz w:val="24"/>
                <w:szCs w:val="24"/>
                <w:highlight w:val="none"/>
              </w:rPr>
              <w:t>分)</w:t>
            </w:r>
          </w:p>
        </w:tc>
        <w:tc>
          <w:tcPr>
            <w:tcW w:w="2223" w:type="dxa"/>
            <w:vMerge w:val="restart"/>
            <w:tcBorders>
              <w:top w:val="single" w:color="000000" w:sz="4" w:space="0"/>
              <w:left w:val="single" w:color="000000" w:sz="4" w:space="0"/>
              <w:bottom w:val="single" w:color="000000" w:sz="4" w:space="0"/>
              <w:right w:val="single" w:color="000000"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rPr>
              <w:t>决策机制（</w:t>
            </w:r>
            <w:r>
              <w:rPr>
                <w:rFonts w:hint="eastAsia" w:ascii="仿宋" w:hAnsi="仿宋" w:eastAsia="仿宋" w:cs="仿宋"/>
                <w:color w:val="000000"/>
                <w:kern w:val="0"/>
                <w:sz w:val="24"/>
                <w:szCs w:val="24"/>
                <w:highlight w:val="none"/>
                <w:lang w:val="en-US" w:eastAsia="zh-CN"/>
              </w:rPr>
              <w:t>7</w:t>
            </w:r>
            <w:r>
              <w:rPr>
                <w:rFonts w:hint="eastAsia" w:ascii="仿宋" w:hAnsi="仿宋" w:eastAsia="仿宋" w:cs="仿宋"/>
                <w:color w:val="000000"/>
                <w:kern w:val="0"/>
                <w:sz w:val="24"/>
                <w:szCs w:val="24"/>
                <w:highlight w:val="none"/>
              </w:rPr>
              <w:t>分）</w:t>
            </w:r>
          </w:p>
        </w:tc>
        <w:tc>
          <w:tcPr>
            <w:tcW w:w="2393" w:type="dxa"/>
            <w:tcBorders>
              <w:top w:val="single" w:color="000000" w:sz="4" w:space="0"/>
              <w:left w:val="single" w:color="000000" w:sz="4" w:space="0"/>
              <w:bottom w:val="single" w:color="000000" w:sz="4" w:space="0"/>
              <w:right w:val="single" w:color="000000"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rPr>
              <w:t>项目设立的依据</w:t>
            </w:r>
          </w:p>
        </w:tc>
        <w:tc>
          <w:tcPr>
            <w:tcW w:w="1506" w:type="dxa"/>
            <w:tcBorders>
              <w:top w:val="single" w:color="000000" w:sz="4" w:space="0"/>
              <w:left w:val="single" w:color="000000" w:sz="4" w:space="0"/>
              <w:bottom w:val="single" w:color="000000" w:sz="4" w:space="0"/>
              <w:right w:val="single" w:color="000000"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val="en-US" w:eastAsia="zh-CN"/>
              </w:rPr>
              <w:t>4</w:t>
            </w:r>
          </w:p>
        </w:tc>
        <w:tc>
          <w:tcPr>
            <w:tcW w:w="1335" w:type="dxa"/>
            <w:tcBorders>
              <w:top w:val="single" w:color="000000" w:sz="4" w:space="0"/>
              <w:left w:val="single" w:color="000000" w:sz="4" w:space="0"/>
              <w:bottom w:val="single" w:color="000000" w:sz="4" w:space="0"/>
              <w:right w:val="single" w:color="000000"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val="en-US" w:eastAsia="zh-CN"/>
              </w:rPr>
              <w:t>4</w:t>
            </w:r>
          </w:p>
        </w:tc>
      </w:tr>
      <w:tr>
        <w:tblPrEx>
          <w:tblCellMar>
            <w:top w:w="15" w:type="dxa"/>
            <w:left w:w="15" w:type="dxa"/>
            <w:bottom w:w="15" w:type="dxa"/>
            <w:right w:w="15" w:type="dxa"/>
          </w:tblCellMar>
        </w:tblPrEx>
        <w:trPr>
          <w:trHeight w:val="691" w:hRule="exact"/>
          <w:jc w:val="center"/>
        </w:trPr>
        <w:tc>
          <w:tcPr>
            <w:tcW w:w="2203" w:type="dxa"/>
            <w:vMerge w:val="continue"/>
            <w:tcBorders>
              <w:top w:val="single" w:color="000000" w:sz="4" w:space="0"/>
              <w:left w:val="single" w:color="000000" w:sz="4" w:space="0"/>
              <w:bottom w:val="single" w:color="000000" w:sz="4" w:space="0"/>
              <w:right w:val="single" w:color="000000" w:sz="4" w:space="0"/>
            </w:tcBorders>
            <w:vAlign w:val="center"/>
          </w:tcPr>
          <w:p>
            <w:pPr>
              <w:pageBreakBefore w:val="0"/>
              <w:kinsoku/>
              <w:wordWrap/>
              <w:overflowPunct/>
              <w:topLinePunct w:val="0"/>
              <w:autoSpaceDE/>
              <w:autoSpaceDN/>
              <w:bidi w:val="0"/>
              <w:adjustRightInd/>
              <w:snapToGrid/>
              <w:spacing w:line="560" w:lineRule="exact"/>
              <w:jc w:val="center"/>
              <w:rPr>
                <w:rFonts w:ascii="仿宋" w:hAnsi="仿宋" w:eastAsia="仿宋" w:cs="仿宋"/>
                <w:color w:val="000000"/>
                <w:sz w:val="24"/>
                <w:szCs w:val="24"/>
                <w:highlight w:val="none"/>
              </w:rPr>
            </w:pPr>
          </w:p>
        </w:tc>
        <w:tc>
          <w:tcPr>
            <w:tcW w:w="2223" w:type="dxa"/>
            <w:vMerge w:val="continue"/>
            <w:tcBorders>
              <w:top w:val="single" w:color="000000" w:sz="4" w:space="0"/>
              <w:left w:val="single" w:color="000000" w:sz="4" w:space="0"/>
              <w:bottom w:val="single" w:color="000000" w:sz="4" w:space="0"/>
              <w:right w:val="single" w:color="000000" w:sz="4" w:space="0"/>
            </w:tcBorders>
            <w:vAlign w:val="center"/>
          </w:tcPr>
          <w:p>
            <w:pPr>
              <w:pageBreakBefore w:val="0"/>
              <w:kinsoku/>
              <w:wordWrap/>
              <w:overflowPunct/>
              <w:topLinePunct w:val="0"/>
              <w:autoSpaceDE/>
              <w:autoSpaceDN/>
              <w:bidi w:val="0"/>
              <w:adjustRightInd/>
              <w:snapToGrid/>
              <w:spacing w:line="560" w:lineRule="exact"/>
              <w:jc w:val="center"/>
              <w:rPr>
                <w:rFonts w:ascii="仿宋" w:hAnsi="仿宋" w:eastAsia="仿宋" w:cs="仿宋"/>
                <w:color w:val="000000"/>
                <w:sz w:val="24"/>
                <w:szCs w:val="24"/>
                <w:highlight w:val="none"/>
              </w:rPr>
            </w:pPr>
          </w:p>
        </w:tc>
        <w:tc>
          <w:tcPr>
            <w:tcW w:w="2393" w:type="dxa"/>
            <w:tcBorders>
              <w:top w:val="single" w:color="000000" w:sz="4" w:space="0"/>
              <w:left w:val="single" w:color="000000" w:sz="4" w:space="0"/>
              <w:bottom w:val="single" w:color="000000" w:sz="4" w:space="0"/>
              <w:right w:val="single" w:color="000000"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rPr>
              <w:t>项目决策必要性</w:t>
            </w:r>
          </w:p>
        </w:tc>
        <w:tc>
          <w:tcPr>
            <w:tcW w:w="1506" w:type="dxa"/>
            <w:tcBorders>
              <w:top w:val="single" w:color="000000" w:sz="4" w:space="0"/>
              <w:left w:val="single" w:color="000000" w:sz="4" w:space="0"/>
              <w:bottom w:val="single" w:color="000000" w:sz="4" w:space="0"/>
              <w:right w:val="single" w:color="000000"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val="en-US" w:eastAsia="zh-CN"/>
              </w:rPr>
              <w:t>3</w:t>
            </w:r>
          </w:p>
        </w:tc>
        <w:tc>
          <w:tcPr>
            <w:tcW w:w="1335" w:type="dxa"/>
            <w:tcBorders>
              <w:top w:val="single" w:color="000000" w:sz="4" w:space="0"/>
              <w:left w:val="single" w:color="000000" w:sz="4" w:space="0"/>
              <w:bottom w:val="single" w:color="000000" w:sz="4" w:space="0"/>
              <w:right w:val="single" w:color="000000"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val="en-US" w:eastAsia="zh-CN"/>
              </w:rPr>
              <w:t>3</w:t>
            </w:r>
          </w:p>
        </w:tc>
      </w:tr>
      <w:tr>
        <w:tblPrEx>
          <w:tblCellMar>
            <w:top w:w="15" w:type="dxa"/>
            <w:left w:w="15" w:type="dxa"/>
            <w:bottom w:w="15" w:type="dxa"/>
            <w:right w:w="15" w:type="dxa"/>
          </w:tblCellMar>
        </w:tblPrEx>
        <w:trPr>
          <w:trHeight w:val="561" w:hRule="exact"/>
          <w:jc w:val="center"/>
        </w:trPr>
        <w:tc>
          <w:tcPr>
            <w:tcW w:w="2203" w:type="dxa"/>
            <w:vMerge w:val="continue"/>
            <w:tcBorders>
              <w:top w:val="single" w:color="000000" w:sz="4" w:space="0"/>
              <w:left w:val="single" w:color="000000" w:sz="4" w:space="0"/>
              <w:bottom w:val="single" w:color="000000" w:sz="4" w:space="0"/>
              <w:right w:val="single" w:color="000000" w:sz="4" w:space="0"/>
            </w:tcBorders>
            <w:vAlign w:val="center"/>
          </w:tcPr>
          <w:p>
            <w:pPr>
              <w:pageBreakBefore w:val="0"/>
              <w:kinsoku/>
              <w:wordWrap/>
              <w:overflowPunct/>
              <w:topLinePunct w:val="0"/>
              <w:autoSpaceDE/>
              <w:autoSpaceDN/>
              <w:bidi w:val="0"/>
              <w:adjustRightInd/>
              <w:snapToGrid/>
              <w:spacing w:line="560" w:lineRule="exact"/>
              <w:jc w:val="center"/>
              <w:rPr>
                <w:rFonts w:ascii="仿宋" w:hAnsi="仿宋" w:eastAsia="仿宋" w:cs="仿宋"/>
                <w:color w:val="000000"/>
                <w:sz w:val="24"/>
                <w:szCs w:val="24"/>
                <w:highlight w:val="none"/>
              </w:rPr>
            </w:pPr>
          </w:p>
        </w:tc>
        <w:tc>
          <w:tcPr>
            <w:tcW w:w="2223" w:type="dxa"/>
            <w:vMerge w:val="restart"/>
            <w:tcBorders>
              <w:top w:val="single" w:color="000000" w:sz="4" w:space="0"/>
              <w:left w:val="single" w:color="000000" w:sz="4" w:space="0"/>
              <w:bottom w:val="single" w:color="000000" w:sz="4" w:space="0"/>
              <w:right w:val="single" w:color="000000"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rPr>
              <w:t>绩效目标（</w:t>
            </w:r>
            <w:r>
              <w:rPr>
                <w:rFonts w:hint="eastAsia" w:ascii="仿宋" w:hAnsi="仿宋" w:eastAsia="仿宋" w:cs="仿宋"/>
                <w:color w:val="000000"/>
                <w:kern w:val="0"/>
                <w:sz w:val="24"/>
                <w:szCs w:val="24"/>
                <w:highlight w:val="none"/>
                <w:lang w:val="en-US" w:eastAsia="zh-CN"/>
              </w:rPr>
              <w:t>8</w:t>
            </w:r>
            <w:r>
              <w:rPr>
                <w:rFonts w:hint="eastAsia" w:ascii="仿宋" w:hAnsi="仿宋" w:eastAsia="仿宋" w:cs="仿宋"/>
                <w:color w:val="000000"/>
                <w:kern w:val="0"/>
                <w:sz w:val="24"/>
                <w:szCs w:val="24"/>
                <w:highlight w:val="none"/>
              </w:rPr>
              <w:t>分）</w:t>
            </w:r>
          </w:p>
        </w:tc>
        <w:tc>
          <w:tcPr>
            <w:tcW w:w="2393" w:type="dxa"/>
            <w:tcBorders>
              <w:top w:val="single" w:color="000000" w:sz="4" w:space="0"/>
              <w:left w:val="single" w:color="000000" w:sz="4" w:space="0"/>
              <w:bottom w:val="single" w:color="000000" w:sz="4" w:space="0"/>
              <w:right w:val="single" w:color="000000"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rPr>
              <w:t>合理性</w:t>
            </w:r>
          </w:p>
        </w:tc>
        <w:tc>
          <w:tcPr>
            <w:tcW w:w="1506" w:type="dxa"/>
            <w:tcBorders>
              <w:top w:val="single" w:color="000000" w:sz="4" w:space="0"/>
              <w:left w:val="single" w:color="000000" w:sz="4" w:space="0"/>
              <w:bottom w:val="single" w:color="000000" w:sz="4" w:space="0"/>
              <w:right w:val="single" w:color="000000"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val="en-US" w:eastAsia="zh-CN"/>
              </w:rPr>
              <w:t>4</w:t>
            </w:r>
          </w:p>
        </w:tc>
        <w:tc>
          <w:tcPr>
            <w:tcW w:w="1335" w:type="dxa"/>
            <w:tcBorders>
              <w:top w:val="single" w:color="000000" w:sz="4" w:space="0"/>
              <w:left w:val="single" w:color="000000" w:sz="4" w:space="0"/>
              <w:bottom w:val="single" w:color="000000" w:sz="4" w:space="0"/>
              <w:right w:val="single" w:color="000000"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val="en-US" w:eastAsia="zh-CN"/>
              </w:rPr>
              <w:t>4</w:t>
            </w:r>
          </w:p>
        </w:tc>
      </w:tr>
      <w:tr>
        <w:tblPrEx>
          <w:tblCellMar>
            <w:top w:w="15" w:type="dxa"/>
            <w:left w:w="15" w:type="dxa"/>
            <w:bottom w:w="15" w:type="dxa"/>
            <w:right w:w="15" w:type="dxa"/>
          </w:tblCellMar>
        </w:tblPrEx>
        <w:trPr>
          <w:trHeight w:val="572" w:hRule="exact"/>
          <w:jc w:val="center"/>
        </w:trPr>
        <w:tc>
          <w:tcPr>
            <w:tcW w:w="2203" w:type="dxa"/>
            <w:vMerge w:val="continue"/>
            <w:tcBorders>
              <w:top w:val="single" w:color="000000" w:sz="4" w:space="0"/>
              <w:left w:val="single" w:color="000000" w:sz="4" w:space="0"/>
              <w:bottom w:val="single" w:color="000000" w:sz="4" w:space="0"/>
              <w:right w:val="single" w:color="000000" w:sz="4" w:space="0"/>
            </w:tcBorders>
            <w:vAlign w:val="center"/>
          </w:tcPr>
          <w:p>
            <w:pPr>
              <w:pageBreakBefore w:val="0"/>
              <w:kinsoku/>
              <w:wordWrap/>
              <w:overflowPunct/>
              <w:topLinePunct w:val="0"/>
              <w:autoSpaceDE/>
              <w:autoSpaceDN/>
              <w:bidi w:val="0"/>
              <w:adjustRightInd/>
              <w:snapToGrid/>
              <w:spacing w:line="560" w:lineRule="exact"/>
              <w:jc w:val="center"/>
              <w:rPr>
                <w:rFonts w:ascii="仿宋" w:hAnsi="仿宋" w:eastAsia="仿宋" w:cs="仿宋"/>
                <w:color w:val="000000"/>
                <w:sz w:val="24"/>
                <w:szCs w:val="24"/>
                <w:highlight w:val="none"/>
              </w:rPr>
            </w:pPr>
          </w:p>
        </w:tc>
        <w:tc>
          <w:tcPr>
            <w:tcW w:w="2223" w:type="dxa"/>
            <w:vMerge w:val="continue"/>
            <w:tcBorders>
              <w:top w:val="single" w:color="000000" w:sz="4" w:space="0"/>
              <w:left w:val="single" w:color="000000" w:sz="4" w:space="0"/>
              <w:bottom w:val="single" w:color="000000" w:sz="4" w:space="0"/>
              <w:right w:val="single" w:color="000000" w:sz="4" w:space="0"/>
            </w:tcBorders>
            <w:vAlign w:val="center"/>
          </w:tcPr>
          <w:p>
            <w:pPr>
              <w:pageBreakBefore w:val="0"/>
              <w:kinsoku/>
              <w:wordWrap/>
              <w:overflowPunct/>
              <w:topLinePunct w:val="0"/>
              <w:autoSpaceDE/>
              <w:autoSpaceDN/>
              <w:bidi w:val="0"/>
              <w:adjustRightInd/>
              <w:snapToGrid/>
              <w:spacing w:line="560" w:lineRule="exact"/>
              <w:jc w:val="center"/>
              <w:rPr>
                <w:rFonts w:ascii="仿宋" w:hAnsi="仿宋" w:eastAsia="仿宋" w:cs="仿宋"/>
                <w:color w:val="000000"/>
                <w:sz w:val="24"/>
                <w:szCs w:val="24"/>
                <w:highlight w:val="none"/>
              </w:rPr>
            </w:pPr>
          </w:p>
        </w:tc>
        <w:tc>
          <w:tcPr>
            <w:tcW w:w="2393" w:type="dxa"/>
            <w:tcBorders>
              <w:top w:val="single" w:color="000000" w:sz="4" w:space="0"/>
              <w:left w:val="single" w:color="000000" w:sz="4" w:space="0"/>
              <w:bottom w:val="single" w:color="000000" w:sz="4" w:space="0"/>
              <w:right w:val="single" w:color="000000"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rPr>
              <w:t>明确性</w:t>
            </w:r>
          </w:p>
        </w:tc>
        <w:tc>
          <w:tcPr>
            <w:tcW w:w="1506" w:type="dxa"/>
            <w:tcBorders>
              <w:top w:val="single" w:color="000000" w:sz="4" w:space="0"/>
              <w:left w:val="single" w:color="000000" w:sz="4" w:space="0"/>
              <w:bottom w:val="single" w:color="000000" w:sz="4" w:space="0"/>
              <w:right w:val="single" w:color="000000"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val="en-US" w:eastAsia="zh-CN"/>
              </w:rPr>
              <w:t>4</w:t>
            </w:r>
          </w:p>
        </w:tc>
        <w:tc>
          <w:tcPr>
            <w:tcW w:w="1335" w:type="dxa"/>
            <w:tcBorders>
              <w:top w:val="single" w:color="000000" w:sz="4" w:space="0"/>
              <w:left w:val="single" w:color="000000" w:sz="4" w:space="0"/>
              <w:bottom w:val="single" w:color="000000" w:sz="4" w:space="0"/>
              <w:right w:val="single" w:color="000000"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val="en-US" w:eastAsia="zh-CN"/>
              </w:rPr>
              <w:t>4</w:t>
            </w:r>
          </w:p>
        </w:tc>
      </w:tr>
      <w:tr>
        <w:tblPrEx>
          <w:tblCellMar>
            <w:top w:w="15" w:type="dxa"/>
            <w:left w:w="15" w:type="dxa"/>
            <w:bottom w:w="15" w:type="dxa"/>
            <w:right w:w="15" w:type="dxa"/>
          </w:tblCellMar>
        </w:tblPrEx>
        <w:trPr>
          <w:trHeight w:val="492" w:hRule="exact"/>
          <w:jc w:val="center"/>
        </w:trPr>
        <w:tc>
          <w:tcPr>
            <w:tcW w:w="6819" w:type="dxa"/>
            <w:gridSpan w:val="3"/>
            <w:tcBorders>
              <w:top w:val="single" w:color="000000" w:sz="4" w:space="0"/>
              <w:left w:val="single" w:color="000000" w:sz="4" w:space="0"/>
              <w:bottom w:val="single" w:color="000000" w:sz="4" w:space="0"/>
              <w:right w:val="single" w:color="000000"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合  计</w:t>
            </w:r>
          </w:p>
        </w:tc>
        <w:tc>
          <w:tcPr>
            <w:tcW w:w="1506" w:type="dxa"/>
            <w:tcBorders>
              <w:top w:val="single" w:color="000000" w:sz="4" w:space="0"/>
              <w:left w:val="single" w:color="000000" w:sz="4" w:space="0"/>
              <w:bottom w:val="single" w:color="000000" w:sz="4" w:space="0"/>
              <w:right w:val="single" w:color="000000"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lang w:val="en-US" w:eastAsia="zh-CN"/>
              </w:rPr>
              <w:t>15</w:t>
            </w:r>
          </w:p>
        </w:tc>
        <w:tc>
          <w:tcPr>
            <w:tcW w:w="1335" w:type="dxa"/>
            <w:tcBorders>
              <w:top w:val="single" w:color="000000" w:sz="4" w:space="0"/>
              <w:left w:val="single" w:color="000000" w:sz="4" w:space="0"/>
              <w:bottom w:val="single" w:color="000000" w:sz="4" w:space="0"/>
              <w:right w:val="single" w:color="000000"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lang w:val="en-US" w:eastAsia="zh-CN"/>
              </w:rPr>
              <w:t>15</w:t>
            </w:r>
          </w:p>
        </w:tc>
      </w:tr>
    </w:tbl>
    <w:p>
      <w:pPr>
        <w:spacing w:line="560" w:lineRule="exact"/>
        <w:ind w:firstLine="600" w:firstLineChars="200"/>
        <w:jc w:val="left"/>
        <w:rPr>
          <w:rFonts w:ascii="仿宋" w:hAnsi="仿宋" w:eastAsia="仿宋" w:cs="仿宋"/>
          <w:sz w:val="30"/>
          <w:szCs w:val="30"/>
          <w:highlight w:val="none"/>
        </w:rPr>
      </w:pPr>
      <w:r>
        <w:rPr>
          <w:rFonts w:hint="eastAsia" w:ascii="仿宋" w:hAnsi="仿宋" w:eastAsia="仿宋" w:cs="仿宋"/>
          <w:sz w:val="30"/>
          <w:szCs w:val="30"/>
          <w:highlight w:val="none"/>
        </w:rPr>
        <w:t>1.决策机制（</w:t>
      </w:r>
      <w:r>
        <w:rPr>
          <w:rFonts w:hint="eastAsia" w:ascii="仿宋" w:hAnsi="仿宋" w:eastAsia="仿宋" w:cs="仿宋"/>
          <w:sz w:val="30"/>
          <w:szCs w:val="30"/>
          <w:highlight w:val="none"/>
          <w:lang w:val="en-US" w:eastAsia="zh-CN"/>
        </w:rPr>
        <w:t>7</w:t>
      </w:r>
      <w:r>
        <w:rPr>
          <w:rFonts w:hint="eastAsia" w:ascii="仿宋" w:hAnsi="仿宋" w:eastAsia="仿宋" w:cs="仿宋"/>
          <w:sz w:val="30"/>
          <w:szCs w:val="30"/>
          <w:highlight w:val="none"/>
        </w:rPr>
        <w:t>分）</w:t>
      </w:r>
    </w:p>
    <w:p>
      <w:pPr>
        <w:spacing w:line="560" w:lineRule="exact"/>
        <w:ind w:firstLine="600" w:firstLineChars="200"/>
        <w:jc w:val="left"/>
        <w:rPr>
          <w:rFonts w:ascii="仿宋" w:hAnsi="仿宋" w:eastAsia="仿宋" w:cs="仿宋"/>
          <w:sz w:val="30"/>
          <w:szCs w:val="30"/>
          <w:highlight w:val="none"/>
        </w:rPr>
      </w:pPr>
      <w:r>
        <w:rPr>
          <w:rFonts w:hint="eastAsia" w:ascii="仿宋" w:hAnsi="仿宋" w:eastAsia="仿宋" w:cs="仿宋"/>
          <w:sz w:val="30"/>
          <w:szCs w:val="30"/>
          <w:highlight w:val="none"/>
        </w:rPr>
        <w:t>该指标包含2个三级指标，主要评价项目立项是否符合国家法规、政策规定，符合社会经济发展战略规划；项目决策是否满足政府职能，用于调节经济、市场监管、提供公共产品和服务</w:t>
      </w:r>
    </w:p>
    <w:p>
      <w:pPr>
        <w:numPr>
          <w:ilvl w:val="0"/>
          <w:numId w:val="1"/>
        </w:numPr>
        <w:spacing w:line="560" w:lineRule="exact"/>
        <w:ind w:firstLine="300" w:firstLineChars="100"/>
        <w:jc w:val="left"/>
        <w:rPr>
          <w:rFonts w:ascii="仿宋" w:hAnsi="仿宋" w:eastAsia="仿宋" w:cs="仿宋"/>
          <w:sz w:val="30"/>
          <w:szCs w:val="30"/>
          <w:highlight w:val="none"/>
        </w:rPr>
      </w:pPr>
      <w:r>
        <w:rPr>
          <w:rFonts w:hint="eastAsia" w:ascii="仿宋" w:hAnsi="仿宋" w:eastAsia="仿宋" w:cs="仿宋"/>
          <w:sz w:val="30"/>
          <w:szCs w:val="30"/>
          <w:highlight w:val="none"/>
        </w:rPr>
        <w:t>项目设立的依据（</w:t>
      </w:r>
      <w:r>
        <w:rPr>
          <w:rFonts w:hint="eastAsia" w:ascii="仿宋" w:hAnsi="仿宋" w:eastAsia="仿宋" w:cs="仿宋"/>
          <w:sz w:val="30"/>
          <w:szCs w:val="30"/>
          <w:highlight w:val="none"/>
          <w:lang w:val="en-US" w:eastAsia="zh-CN"/>
        </w:rPr>
        <w:t>4</w:t>
      </w:r>
      <w:r>
        <w:rPr>
          <w:rFonts w:hint="eastAsia" w:ascii="仿宋" w:hAnsi="仿宋" w:eastAsia="仿宋" w:cs="仿宋"/>
          <w:sz w:val="30"/>
          <w:szCs w:val="30"/>
          <w:highlight w:val="none"/>
        </w:rPr>
        <w:t>分）</w:t>
      </w:r>
    </w:p>
    <w:p>
      <w:pPr>
        <w:spacing w:line="560" w:lineRule="exact"/>
        <w:jc w:val="left"/>
        <w:rPr>
          <w:rFonts w:ascii="仿宋" w:hAnsi="仿宋" w:eastAsia="仿宋" w:cs="仿宋"/>
          <w:sz w:val="30"/>
          <w:szCs w:val="30"/>
          <w:highlight w:val="none"/>
        </w:rPr>
      </w:pPr>
      <w:r>
        <w:rPr>
          <w:rFonts w:hint="eastAsia" w:ascii="仿宋" w:hAnsi="仿宋" w:eastAsia="仿宋" w:cs="仿宋"/>
          <w:sz w:val="30"/>
          <w:szCs w:val="30"/>
          <w:highlight w:val="none"/>
        </w:rPr>
        <w:t xml:space="preserve">   该指标主要评价该项目立项是否符合国家法规、政策规定，符合社会经济发展战略规划。</w:t>
      </w:r>
    </w:p>
    <w:p>
      <w:pPr>
        <w:spacing w:line="560" w:lineRule="exact"/>
        <w:ind w:firstLine="600" w:firstLineChars="200"/>
        <w:outlineLvl w:val="0"/>
        <w:rPr>
          <w:rFonts w:ascii="仿宋" w:hAnsi="仿宋" w:eastAsia="仿宋" w:cs="仿宋"/>
          <w:sz w:val="30"/>
          <w:szCs w:val="30"/>
          <w:highlight w:val="none"/>
        </w:rPr>
      </w:pPr>
      <w:bookmarkStart w:id="28" w:name="_Toc83630427"/>
      <w:bookmarkStart w:id="29" w:name="_Toc83631041"/>
      <w:bookmarkStart w:id="30" w:name="_Toc25534"/>
      <w:bookmarkStart w:id="31" w:name="_Toc83630331"/>
      <w:bookmarkStart w:id="32" w:name="_Toc21059"/>
      <w:r>
        <w:rPr>
          <w:rFonts w:hint="eastAsia" w:ascii="仿宋" w:hAnsi="仿宋" w:eastAsia="仿宋" w:cs="仿宋"/>
          <w:sz w:val="30"/>
          <w:szCs w:val="30"/>
          <w:highlight w:val="none"/>
        </w:rPr>
        <w:t>经检查，该项目设立的主要依据为</w:t>
      </w:r>
      <w:bookmarkEnd w:id="28"/>
      <w:bookmarkEnd w:id="29"/>
      <w:bookmarkEnd w:id="30"/>
      <w:bookmarkEnd w:id="31"/>
      <w:bookmarkEnd w:id="32"/>
      <w:r>
        <w:rPr>
          <w:rFonts w:hint="eastAsia" w:ascii="仿宋" w:hAnsi="仿宋" w:eastAsia="仿宋" w:cs="仿宋"/>
          <w:sz w:val="30"/>
          <w:szCs w:val="30"/>
          <w:highlight w:val="none"/>
        </w:rPr>
        <w:t>河北省教育厅 河北省财政厅特发《关于做好河北省2022年农村义务教育阶段学校教师特设岗位计划实施工作的通知》（冀教师[2022]12号）和《关于提前下达2022年城乡义务教育中央补助经费预算（直达资金）的通知》（冀财教[2021]130号）等。</w:t>
      </w:r>
    </w:p>
    <w:p>
      <w:pPr>
        <w:spacing w:line="560" w:lineRule="exact"/>
        <w:ind w:firstLine="600" w:firstLineChars="200"/>
        <w:jc w:val="left"/>
        <w:rPr>
          <w:rFonts w:ascii="仿宋" w:hAnsi="仿宋" w:eastAsia="仿宋" w:cs="仿宋"/>
          <w:sz w:val="30"/>
          <w:szCs w:val="30"/>
          <w:highlight w:val="none"/>
        </w:rPr>
      </w:pPr>
      <w:r>
        <w:rPr>
          <w:rFonts w:hint="eastAsia" w:ascii="仿宋" w:hAnsi="仿宋" w:eastAsia="仿宋" w:cs="仿宋"/>
          <w:sz w:val="30"/>
          <w:szCs w:val="30"/>
          <w:highlight w:val="none"/>
        </w:rPr>
        <w:t>我们认为该项目设定依据充分，目标设定明确、合理、科学、可行，符合国家法规、政策规定，符合社会经济发展战略规划。</w:t>
      </w:r>
    </w:p>
    <w:p>
      <w:pPr>
        <w:spacing w:line="560" w:lineRule="exact"/>
        <w:ind w:firstLine="600" w:firstLineChars="200"/>
        <w:jc w:val="left"/>
        <w:rPr>
          <w:rFonts w:ascii="仿宋" w:hAnsi="仿宋" w:eastAsia="仿宋" w:cs="仿宋"/>
          <w:sz w:val="30"/>
          <w:szCs w:val="30"/>
          <w:highlight w:val="none"/>
        </w:rPr>
      </w:pPr>
      <w:r>
        <w:rPr>
          <w:rFonts w:hint="eastAsia" w:ascii="仿宋" w:hAnsi="仿宋" w:eastAsia="仿宋" w:cs="仿宋"/>
          <w:sz w:val="30"/>
          <w:szCs w:val="30"/>
          <w:highlight w:val="none"/>
        </w:rPr>
        <w:t>该指标实际得分</w:t>
      </w:r>
      <w:r>
        <w:rPr>
          <w:rFonts w:hint="eastAsia" w:ascii="仿宋" w:hAnsi="仿宋" w:eastAsia="仿宋" w:cs="仿宋"/>
          <w:sz w:val="30"/>
          <w:szCs w:val="30"/>
          <w:highlight w:val="none"/>
          <w:lang w:val="en-US" w:eastAsia="zh-CN"/>
        </w:rPr>
        <w:t>4</w:t>
      </w:r>
      <w:r>
        <w:rPr>
          <w:rFonts w:hint="eastAsia" w:ascii="仿宋" w:hAnsi="仿宋" w:eastAsia="仿宋" w:cs="仿宋"/>
          <w:sz w:val="30"/>
          <w:szCs w:val="30"/>
          <w:highlight w:val="none"/>
        </w:rPr>
        <w:t>分。</w:t>
      </w:r>
    </w:p>
    <w:p>
      <w:pPr>
        <w:spacing w:line="560" w:lineRule="exact"/>
        <w:ind w:firstLine="600" w:firstLineChars="200"/>
        <w:jc w:val="left"/>
        <w:rPr>
          <w:rFonts w:ascii="仿宋" w:hAnsi="仿宋" w:eastAsia="仿宋" w:cs="仿宋"/>
          <w:sz w:val="30"/>
          <w:szCs w:val="30"/>
          <w:highlight w:val="none"/>
        </w:rPr>
      </w:pPr>
      <w:r>
        <w:rPr>
          <w:rFonts w:hint="eastAsia" w:ascii="仿宋" w:hAnsi="仿宋" w:eastAsia="仿宋" w:cs="仿宋"/>
          <w:sz w:val="30"/>
          <w:szCs w:val="30"/>
          <w:highlight w:val="none"/>
        </w:rPr>
        <w:t>（2）项目决策必要性（</w:t>
      </w:r>
      <w:r>
        <w:rPr>
          <w:rFonts w:hint="eastAsia" w:ascii="仿宋" w:hAnsi="仿宋" w:eastAsia="仿宋" w:cs="仿宋"/>
          <w:sz w:val="30"/>
          <w:szCs w:val="30"/>
          <w:highlight w:val="none"/>
          <w:lang w:val="en-US" w:eastAsia="zh-CN"/>
        </w:rPr>
        <w:t>3</w:t>
      </w:r>
      <w:r>
        <w:rPr>
          <w:rFonts w:hint="eastAsia" w:ascii="仿宋" w:hAnsi="仿宋" w:eastAsia="仿宋" w:cs="仿宋"/>
          <w:sz w:val="30"/>
          <w:szCs w:val="30"/>
          <w:highlight w:val="none"/>
        </w:rPr>
        <w:t>分）</w:t>
      </w:r>
    </w:p>
    <w:p>
      <w:pPr>
        <w:spacing w:line="560" w:lineRule="exact"/>
        <w:ind w:firstLine="600" w:firstLineChars="200"/>
        <w:jc w:val="left"/>
        <w:rPr>
          <w:rFonts w:ascii="仿宋" w:hAnsi="仿宋" w:eastAsia="仿宋" w:cs="仿宋"/>
          <w:sz w:val="30"/>
          <w:szCs w:val="30"/>
          <w:highlight w:val="none"/>
        </w:rPr>
      </w:pPr>
      <w:r>
        <w:rPr>
          <w:rFonts w:hint="eastAsia" w:ascii="仿宋" w:hAnsi="仿宋" w:eastAsia="仿宋" w:cs="仿宋"/>
          <w:sz w:val="30"/>
          <w:szCs w:val="30"/>
          <w:highlight w:val="none"/>
        </w:rPr>
        <w:t>该指标主要评价项目内容设置与国家及地方政策、规划、社会需求等相关内容相符程度，决策过程是否规范，用以反映和考核项目决策的必要性。</w:t>
      </w:r>
    </w:p>
    <w:p>
      <w:pPr>
        <w:spacing w:line="560" w:lineRule="exact"/>
        <w:ind w:firstLine="588" w:firstLineChars="196"/>
        <w:outlineLvl w:val="0"/>
        <w:rPr>
          <w:rFonts w:ascii="仿宋" w:hAnsi="仿宋" w:eastAsia="仿宋" w:cs="仿宋"/>
          <w:sz w:val="30"/>
          <w:szCs w:val="30"/>
          <w:highlight w:val="none"/>
        </w:rPr>
      </w:pPr>
      <w:bookmarkStart w:id="33" w:name="_Toc83630332"/>
      <w:bookmarkStart w:id="34" w:name="_Toc24207"/>
      <w:bookmarkStart w:id="35" w:name="_Toc83631042"/>
      <w:bookmarkStart w:id="36" w:name="_Toc32149"/>
      <w:bookmarkStart w:id="37" w:name="_Toc83630428"/>
      <w:r>
        <w:rPr>
          <w:rFonts w:hint="eastAsia" w:ascii="仿宋" w:hAnsi="仿宋" w:eastAsia="仿宋" w:cs="仿宋"/>
          <w:sz w:val="30"/>
          <w:szCs w:val="30"/>
          <w:highlight w:val="none"/>
        </w:rPr>
        <w:t>项目的实施可以完善曲阳县农村教师补充新机制，逐步解决曲阳县农村学校师资总量不足和结构性矛盾等问题，提高农村教师队伍整体素质和农村教育教学质量，缩小城乡教育差距，大力促进教育公平和城乡教育资源均衡配置。</w:t>
      </w:r>
      <w:bookmarkEnd w:id="33"/>
      <w:bookmarkEnd w:id="34"/>
      <w:bookmarkEnd w:id="35"/>
      <w:bookmarkEnd w:id="36"/>
      <w:bookmarkEnd w:id="37"/>
      <w:bookmarkStart w:id="38" w:name="_Toc83631043"/>
      <w:bookmarkStart w:id="39" w:name="_Toc83630429"/>
      <w:bookmarkStart w:id="40" w:name="_Toc83630333"/>
      <w:bookmarkStart w:id="41" w:name="_Toc5914"/>
      <w:bookmarkStart w:id="42" w:name="_Toc26878"/>
    </w:p>
    <w:p>
      <w:pPr>
        <w:spacing w:line="560" w:lineRule="exact"/>
        <w:ind w:firstLine="588" w:firstLineChars="196"/>
        <w:outlineLvl w:val="0"/>
        <w:rPr>
          <w:rFonts w:ascii="仿宋" w:hAnsi="仿宋" w:eastAsia="仿宋" w:cs="仿宋"/>
          <w:sz w:val="30"/>
          <w:szCs w:val="30"/>
          <w:highlight w:val="none"/>
        </w:rPr>
      </w:pPr>
      <w:r>
        <w:rPr>
          <w:rFonts w:hint="eastAsia" w:ascii="仿宋" w:hAnsi="仿宋" w:eastAsia="仿宋" w:cs="仿宋"/>
          <w:sz w:val="30"/>
          <w:szCs w:val="30"/>
          <w:highlight w:val="none"/>
        </w:rPr>
        <w:t>为此我们认为该项目决策的评价结论为必要。</w:t>
      </w:r>
      <w:bookmarkEnd w:id="38"/>
      <w:bookmarkEnd w:id="39"/>
      <w:bookmarkEnd w:id="40"/>
      <w:bookmarkEnd w:id="41"/>
      <w:bookmarkEnd w:id="42"/>
    </w:p>
    <w:p>
      <w:pPr>
        <w:spacing w:line="560" w:lineRule="exact"/>
        <w:ind w:firstLine="600" w:firstLineChars="200"/>
        <w:jc w:val="left"/>
        <w:rPr>
          <w:rFonts w:ascii="仿宋" w:hAnsi="仿宋" w:eastAsia="仿宋" w:cs="仿宋"/>
          <w:sz w:val="30"/>
          <w:szCs w:val="30"/>
          <w:highlight w:val="none"/>
        </w:rPr>
      </w:pPr>
      <w:r>
        <w:rPr>
          <w:rFonts w:hint="eastAsia" w:ascii="仿宋" w:hAnsi="仿宋" w:eastAsia="仿宋" w:cs="仿宋"/>
          <w:sz w:val="30"/>
          <w:szCs w:val="30"/>
          <w:highlight w:val="none"/>
        </w:rPr>
        <w:t>该指标实际得分</w:t>
      </w:r>
      <w:r>
        <w:rPr>
          <w:rFonts w:hint="eastAsia" w:ascii="仿宋" w:hAnsi="仿宋" w:eastAsia="仿宋" w:cs="仿宋"/>
          <w:sz w:val="30"/>
          <w:szCs w:val="30"/>
          <w:highlight w:val="none"/>
          <w:lang w:val="en-US" w:eastAsia="zh-CN"/>
        </w:rPr>
        <w:t>3</w:t>
      </w:r>
      <w:r>
        <w:rPr>
          <w:rFonts w:hint="eastAsia" w:ascii="仿宋" w:hAnsi="仿宋" w:eastAsia="仿宋" w:cs="仿宋"/>
          <w:sz w:val="30"/>
          <w:szCs w:val="30"/>
          <w:highlight w:val="none"/>
        </w:rPr>
        <w:t>分。</w:t>
      </w:r>
    </w:p>
    <w:p>
      <w:pPr>
        <w:spacing w:line="560" w:lineRule="exact"/>
        <w:ind w:firstLine="600" w:firstLineChars="200"/>
        <w:jc w:val="left"/>
        <w:rPr>
          <w:rFonts w:ascii="仿宋" w:hAnsi="仿宋" w:eastAsia="仿宋" w:cs="仿宋"/>
          <w:sz w:val="30"/>
          <w:szCs w:val="30"/>
          <w:highlight w:val="none"/>
        </w:rPr>
      </w:pPr>
      <w:r>
        <w:rPr>
          <w:rFonts w:hint="eastAsia" w:ascii="仿宋" w:hAnsi="仿宋" w:eastAsia="仿宋" w:cs="仿宋"/>
          <w:sz w:val="30"/>
          <w:szCs w:val="30"/>
          <w:highlight w:val="none"/>
        </w:rPr>
        <w:t>2.绩效目标（</w:t>
      </w:r>
      <w:r>
        <w:rPr>
          <w:rFonts w:hint="eastAsia" w:ascii="仿宋" w:hAnsi="仿宋" w:eastAsia="仿宋" w:cs="仿宋"/>
          <w:sz w:val="30"/>
          <w:szCs w:val="30"/>
          <w:highlight w:val="none"/>
          <w:lang w:val="en-US" w:eastAsia="zh-CN"/>
        </w:rPr>
        <w:t>8</w:t>
      </w:r>
      <w:r>
        <w:rPr>
          <w:rFonts w:hint="eastAsia" w:ascii="仿宋" w:hAnsi="仿宋" w:eastAsia="仿宋" w:cs="仿宋"/>
          <w:sz w:val="30"/>
          <w:szCs w:val="30"/>
          <w:highlight w:val="none"/>
        </w:rPr>
        <w:t>分）</w:t>
      </w:r>
    </w:p>
    <w:p>
      <w:pPr>
        <w:spacing w:line="560" w:lineRule="exact"/>
        <w:ind w:firstLine="600" w:firstLineChars="200"/>
        <w:jc w:val="left"/>
        <w:rPr>
          <w:rFonts w:ascii="仿宋" w:hAnsi="仿宋" w:eastAsia="仿宋" w:cs="仿宋"/>
          <w:sz w:val="30"/>
          <w:szCs w:val="30"/>
          <w:highlight w:val="none"/>
        </w:rPr>
      </w:pPr>
      <w:r>
        <w:rPr>
          <w:rFonts w:hint="eastAsia" w:ascii="仿宋" w:hAnsi="仿宋" w:eastAsia="仿宋" w:cs="仿宋"/>
          <w:sz w:val="30"/>
          <w:szCs w:val="30"/>
          <w:highlight w:val="none"/>
        </w:rPr>
        <w:t>该指标共包含2个三级指标，主要评价项目绩效目标依据是否充分，项目绩效指标是否清晰、细化、量化、可衡量。</w:t>
      </w:r>
    </w:p>
    <w:p>
      <w:pPr>
        <w:spacing w:line="560" w:lineRule="exact"/>
        <w:ind w:firstLine="600" w:firstLineChars="200"/>
        <w:jc w:val="left"/>
        <w:rPr>
          <w:rFonts w:ascii="仿宋" w:hAnsi="仿宋" w:eastAsia="仿宋" w:cs="仿宋"/>
          <w:sz w:val="30"/>
          <w:szCs w:val="30"/>
          <w:highlight w:val="none"/>
        </w:rPr>
      </w:pPr>
      <w:r>
        <w:rPr>
          <w:rFonts w:hint="eastAsia" w:ascii="仿宋" w:hAnsi="仿宋" w:eastAsia="仿宋" w:cs="仿宋"/>
          <w:sz w:val="30"/>
          <w:szCs w:val="30"/>
          <w:highlight w:val="none"/>
        </w:rPr>
        <w:t>（1）合理性（</w:t>
      </w:r>
      <w:r>
        <w:rPr>
          <w:rFonts w:hint="eastAsia" w:ascii="仿宋" w:hAnsi="仿宋" w:eastAsia="仿宋" w:cs="仿宋"/>
          <w:sz w:val="30"/>
          <w:szCs w:val="30"/>
          <w:highlight w:val="none"/>
          <w:lang w:val="en-US" w:eastAsia="zh-CN"/>
        </w:rPr>
        <w:t>4</w:t>
      </w:r>
      <w:r>
        <w:rPr>
          <w:rFonts w:hint="eastAsia" w:ascii="仿宋" w:hAnsi="仿宋" w:eastAsia="仿宋" w:cs="仿宋"/>
          <w:sz w:val="30"/>
          <w:szCs w:val="30"/>
          <w:highlight w:val="none"/>
        </w:rPr>
        <w:t>分）</w:t>
      </w:r>
    </w:p>
    <w:p>
      <w:pPr>
        <w:spacing w:line="560" w:lineRule="exact"/>
        <w:jc w:val="left"/>
        <w:rPr>
          <w:rFonts w:ascii="仿宋" w:hAnsi="仿宋" w:eastAsia="仿宋" w:cs="仿宋"/>
          <w:sz w:val="30"/>
          <w:szCs w:val="30"/>
          <w:highlight w:val="none"/>
        </w:rPr>
      </w:pPr>
      <w:r>
        <w:rPr>
          <w:rFonts w:hint="eastAsia" w:ascii="仿宋" w:hAnsi="仿宋" w:eastAsia="仿宋" w:cs="仿宋"/>
          <w:sz w:val="30"/>
          <w:szCs w:val="30"/>
          <w:highlight w:val="none"/>
        </w:rPr>
        <w:t xml:space="preserve">    该指标主要评价项目绩效目标依据是否充分，与客观实际相符的情况。</w:t>
      </w:r>
    </w:p>
    <w:p>
      <w:pPr>
        <w:spacing w:line="560" w:lineRule="exact"/>
        <w:ind w:firstLine="600" w:firstLineChars="200"/>
        <w:outlineLvl w:val="0"/>
        <w:rPr>
          <w:rFonts w:ascii="仿宋" w:hAnsi="仿宋" w:eastAsia="仿宋" w:cs="仿宋"/>
          <w:sz w:val="30"/>
          <w:szCs w:val="30"/>
          <w:highlight w:val="none"/>
        </w:rPr>
      </w:pPr>
      <w:r>
        <w:rPr>
          <w:rFonts w:hint="eastAsia" w:ascii="仿宋" w:hAnsi="仿宋" w:eastAsia="仿宋" w:cs="仿宋"/>
          <w:sz w:val="30"/>
          <w:szCs w:val="30"/>
          <w:highlight w:val="none"/>
        </w:rPr>
        <w:t>经检查，该项目绩效目标是依据河北省教育厅 河北省财政厅特发《关于做好河北省2022年农村义务教育阶段学校教师特设岗位计划实施工作的通知》（冀教师[2022]12号）和《关于提前下达2022年城乡义务教育中央补助经费预算（直达资金）的通知》（冀财教[2021]130号）等制定的，绩效目标依据较充分。</w:t>
      </w:r>
    </w:p>
    <w:p>
      <w:pPr>
        <w:spacing w:line="560" w:lineRule="exact"/>
        <w:ind w:firstLine="600" w:firstLineChars="200"/>
        <w:jc w:val="left"/>
        <w:rPr>
          <w:rFonts w:ascii="仿宋" w:hAnsi="仿宋" w:eastAsia="仿宋" w:cs="仿宋"/>
          <w:sz w:val="30"/>
          <w:szCs w:val="30"/>
          <w:highlight w:val="none"/>
        </w:rPr>
      </w:pPr>
      <w:r>
        <w:rPr>
          <w:rFonts w:hint="eastAsia" w:ascii="仿宋" w:hAnsi="仿宋" w:eastAsia="仿宋" w:cs="仿宋"/>
          <w:sz w:val="30"/>
          <w:szCs w:val="30"/>
          <w:highlight w:val="none"/>
        </w:rPr>
        <w:t>该指标实际得分</w:t>
      </w:r>
      <w:r>
        <w:rPr>
          <w:rFonts w:hint="eastAsia" w:ascii="仿宋" w:hAnsi="仿宋" w:eastAsia="仿宋" w:cs="仿宋"/>
          <w:sz w:val="30"/>
          <w:szCs w:val="30"/>
          <w:highlight w:val="none"/>
          <w:lang w:val="en-US" w:eastAsia="zh-CN"/>
        </w:rPr>
        <w:t>4</w:t>
      </w:r>
      <w:r>
        <w:rPr>
          <w:rFonts w:hint="eastAsia" w:ascii="仿宋" w:hAnsi="仿宋" w:eastAsia="仿宋" w:cs="仿宋"/>
          <w:sz w:val="30"/>
          <w:szCs w:val="30"/>
          <w:highlight w:val="none"/>
        </w:rPr>
        <w:t>分。</w:t>
      </w:r>
    </w:p>
    <w:p>
      <w:pPr>
        <w:spacing w:line="560" w:lineRule="exact"/>
        <w:ind w:firstLine="600" w:firstLineChars="200"/>
        <w:jc w:val="left"/>
        <w:rPr>
          <w:rFonts w:ascii="仿宋" w:hAnsi="仿宋" w:eastAsia="仿宋" w:cs="仿宋"/>
          <w:sz w:val="30"/>
          <w:szCs w:val="30"/>
          <w:highlight w:val="none"/>
        </w:rPr>
      </w:pPr>
      <w:r>
        <w:rPr>
          <w:rFonts w:hint="eastAsia" w:ascii="仿宋" w:hAnsi="仿宋" w:eastAsia="仿宋" w:cs="仿宋"/>
          <w:sz w:val="30"/>
          <w:szCs w:val="30"/>
          <w:highlight w:val="none"/>
        </w:rPr>
        <w:t>（2）明确性（</w:t>
      </w:r>
      <w:r>
        <w:rPr>
          <w:rFonts w:hint="eastAsia" w:ascii="仿宋" w:hAnsi="仿宋" w:eastAsia="仿宋" w:cs="仿宋"/>
          <w:sz w:val="30"/>
          <w:szCs w:val="30"/>
          <w:highlight w:val="none"/>
          <w:lang w:val="en-US" w:eastAsia="zh-CN"/>
        </w:rPr>
        <w:t>4</w:t>
      </w:r>
      <w:r>
        <w:rPr>
          <w:rFonts w:hint="eastAsia" w:ascii="仿宋" w:hAnsi="仿宋" w:eastAsia="仿宋" w:cs="仿宋"/>
          <w:sz w:val="30"/>
          <w:szCs w:val="30"/>
          <w:highlight w:val="none"/>
        </w:rPr>
        <w:t>分）</w:t>
      </w:r>
    </w:p>
    <w:p>
      <w:pPr>
        <w:spacing w:line="560" w:lineRule="exact"/>
        <w:ind w:firstLine="600" w:firstLineChars="200"/>
        <w:jc w:val="left"/>
        <w:rPr>
          <w:rFonts w:ascii="仿宋" w:hAnsi="仿宋" w:eastAsia="仿宋" w:cs="仿宋"/>
          <w:sz w:val="30"/>
          <w:szCs w:val="30"/>
          <w:highlight w:val="none"/>
        </w:rPr>
      </w:pPr>
      <w:r>
        <w:rPr>
          <w:rFonts w:hint="eastAsia" w:ascii="仿宋" w:hAnsi="仿宋" w:eastAsia="仿宋" w:cs="仿宋"/>
          <w:sz w:val="30"/>
          <w:szCs w:val="30"/>
          <w:highlight w:val="none"/>
        </w:rPr>
        <w:t>该指标主要评价项目绩效指标是否清晰、细化、量化、可衡量，及其与当年工作任务的匹配情况。</w:t>
      </w:r>
    </w:p>
    <w:p>
      <w:pPr>
        <w:spacing w:line="560" w:lineRule="exact"/>
        <w:ind w:firstLine="600" w:firstLineChars="200"/>
        <w:jc w:val="left"/>
        <w:rPr>
          <w:rFonts w:ascii="仿宋" w:hAnsi="仿宋" w:eastAsia="仿宋" w:cs="仿宋"/>
          <w:sz w:val="30"/>
          <w:szCs w:val="30"/>
          <w:highlight w:val="none"/>
        </w:rPr>
      </w:pPr>
      <w:r>
        <w:rPr>
          <w:rFonts w:hint="eastAsia" w:ascii="仿宋" w:hAnsi="仿宋" w:eastAsia="仿宋" w:cs="仿宋"/>
          <w:sz w:val="30"/>
          <w:szCs w:val="30"/>
          <w:highlight w:val="none"/>
        </w:rPr>
        <w:t>经检查，该项目根据曲阳县财政局下发的《关于开展2022年特岗教师工资待遇资金（中央直达）项目绩效评价工作的通知》，在项目绩效评价指标体系表中制定了项目产出指标和项目效益指标，绩效指标清晰、细化、量化、可衡量且与当年工作任务匹配。</w:t>
      </w:r>
    </w:p>
    <w:p>
      <w:pPr>
        <w:spacing w:line="560" w:lineRule="exact"/>
        <w:ind w:firstLine="600" w:firstLineChars="200"/>
        <w:jc w:val="left"/>
        <w:rPr>
          <w:rFonts w:ascii="仿宋" w:hAnsi="仿宋" w:eastAsia="仿宋" w:cs="仿宋"/>
          <w:sz w:val="30"/>
          <w:szCs w:val="30"/>
          <w:highlight w:val="none"/>
        </w:rPr>
      </w:pPr>
      <w:r>
        <w:rPr>
          <w:rFonts w:hint="eastAsia" w:ascii="仿宋" w:hAnsi="仿宋" w:eastAsia="仿宋" w:cs="仿宋"/>
          <w:sz w:val="30"/>
          <w:szCs w:val="30"/>
          <w:highlight w:val="none"/>
        </w:rPr>
        <w:t>该指标实际得分</w:t>
      </w:r>
      <w:r>
        <w:rPr>
          <w:rFonts w:hint="eastAsia" w:ascii="仿宋" w:hAnsi="仿宋" w:eastAsia="仿宋" w:cs="仿宋"/>
          <w:sz w:val="30"/>
          <w:szCs w:val="30"/>
          <w:highlight w:val="none"/>
          <w:lang w:val="en-US" w:eastAsia="zh-CN"/>
        </w:rPr>
        <w:t>4</w:t>
      </w:r>
      <w:r>
        <w:rPr>
          <w:rFonts w:hint="eastAsia" w:ascii="仿宋" w:hAnsi="仿宋" w:eastAsia="仿宋" w:cs="仿宋"/>
          <w:sz w:val="30"/>
          <w:szCs w:val="30"/>
          <w:highlight w:val="none"/>
        </w:rPr>
        <w:t>分。</w:t>
      </w:r>
    </w:p>
    <w:p>
      <w:pPr>
        <w:pStyle w:val="4"/>
        <w:spacing w:before="0" w:after="0" w:line="560" w:lineRule="exact"/>
        <w:ind w:firstLine="600" w:firstLineChars="200"/>
        <w:rPr>
          <w:rFonts w:ascii="仿宋" w:hAnsi="仿宋" w:eastAsia="仿宋" w:cs="仿宋"/>
          <w:b w:val="0"/>
          <w:bCs w:val="0"/>
          <w:sz w:val="30"/>
          <w:szCs w:val="30"/>
          <w:highlight w:val="none"/>
        </w:rPr>
      </w:pPr>
      <w:bookmarkStart w:id="43" w:name="_Toc21302"/>
      <w:bookmarkStart w:id="44" w:name="_Toc27328"/>
      <w:bookmarkStart w:id="45" w:name="_Toc8907"/>
      <w:bookmarkStart w:id="46" w:name="_Toc83630334"/>
      <w:bookmarkStart w:id="47" w:name="_Toc83631044"/>
      <w:r>
        <w:rPr>
          <w:rFonts w:hint="eastAsia" w:ascii="仿宋" w:hAnsi="仿宋" w:eastAsia="仿宋" w:cs="仿宋"/>
          <w:b w:val="0"/>
          <w:bCs w:val="0"/>
          <w:sz w:val="30"/>
          <w:szCs w:val="30"/>
          <w:highlight w:val="none"/>
        </w:rPr>
        <w:t>（二）项目过程管理（</w:t>
      </w:r>
      <w:r>
        <w:rPr>
          <w:rFonts w:hint="eastAsia" w:ascii="仿宋" w:hAnsi="仿宋" w:eastAsia="仿宋" w:cs="仿宋"/>
          <w:b w:val="0"/>
          <w:bCs w:val="0"/>
          <w:sz w:val="30"/>
          <w:szCs w:val="30"/>
          <w:highlight w:val="none"/>
          <w:lang w:val="en-US" w:eastAsia="zh-CN"/>
        </w:rPr>
        <w:t>35</w:t>
      </w:r>
      <w:r>
        <w:rPr>
          <w:rFonts w:hint="eastAsia" w:ascii="仿宋" w:hAnsi="仿宋" w:eastAsia="仿宋" w:cs="仿宋"/>
          <w:b w:val="0"/>
          <w:bCs w:val="0"/>
          <w:sz w:val="30"/>
          <w:szCs w:val="30"/>
          <w:highlight w:val="none"/>
        </w:rPr>
        <w:t>分）</w:t>
      </w:r>
      <w:bookmarkEnd w:id="43"/>
      <w:bookmarkEnd w:id="44"/>
      <w:bookmarkEnd w:id="45"/>
      <w:bookmarkEnd w:id="46"/>
      <w:bookmarkEnd w:id="47"/>
    </w:p>
    <w:p>
      <w:pPr>
        <w:spacing w:line="560" w:lineRule="exact"/>
        <w:ind w:firstLine="600" w:firstLineChars="200"/>
        <w:jc w:val="left"/>
        <w:rPr>
          <w:highlight w:val="none"/>
        </w:rPr>
      </w:pPr>
      <w:r>
        <w:rPr>
          <w:rFonts w:hint="eastAsia" w:ascii="仿宋" w:hAnsi="仿宋" w:eastAsia="仿宋" w:cs="仿宋"/>
          <w:sz w:val="30"/>
          <w:szCs w:val="30"/>
          <w:highlight w:val="none"/>
        </w:rPr>
        <w:t>该一级指标包含项目财务管理和项目业务管理2个二级指标，主要反映该项目在实施过程中，财务管理是否规范、资金使用是否合规、项目业务管理是否按照相关规定执行，以保障财政资金的安全性和项目顺利实施。</w:t>
      </w:r>
    </w:p>
    <w:tbl>
      <w:tblPr>
        <w:tblStyle w:val="12"/>
        <w:tblW w:w="4994"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5" w:type="dxa"/>
          <w:left w:w="15" w:type="dxa"/>
          <w:bottom w:w="15" w:type="dxa"/>
          <w:right w:w="15" w:type="dxa"/>
        </w:tblCellMar>
      </w:tblPr>
      <w:tblGrid>
        <w:gridCol w:w="2078"/>
        <w:gridCol w:w="1853"/>
        <w:gridCol w:w="2833"/>
        <w:gridCol w:w="1511"/>
        <w:gridCol w:w="13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647" w:hRule="exact"/>
          <w:jc w:val="center"/>
        </w:trPr>
        <w:tc>
          <w:tcPr>
            <w:tcW w:w="2079" w:type="dxa"/>
            <w:vAlign w:val="center"/>
          </w:tcPr>
          <w:p>
            <w:pPr>
              <w:pageBreakBefore w:val="0"/>
              <w:widowControl/>
              <w:kinsoku/>
              <w:wordWrap/>
              <w:overflowPunct/>
              <w:topLinePunct w:val="0"/>
              <w:autoSpaceDE/>
              <w:autoSpaceDN/>
              <w:bidi w:val="0"/>
              <w:adjustRightInd/>
              <w:snapToGrid/>
              <w:spacing w:line="560" w:lineRule="exact"/>
              <w:jc w:val="center"/>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rPr>
              <w:t>一级指标</w:t>
            </w:r>
          </w:p>
        </w:tc>
        <w:tc>
          <w:tcPr>
            <w:tcW w:w="1853" w:type="dxa"/>
            <w:vAlign w:val="center"/>
          </w:tcPr>
          <w:p>
            <w:pPr>
              <w:pageBreakBefore w:val="0"/>
              <w:widowControl/>
              <w:kinsoku/>
              <w:wordWrap/>
              <w:overflowPunct/>
              <w:topLinePunct w:val="0"/>
              <w:autoSpaceDE/>
              <w:autoSpaceDN/>
              <w:bidi w:val="0"/>
              <w:adjustRightInd/>
              <w:snapToGrid/>
              <w:spacing w:line="560" w:lineRule="exact"/>
              <w:jc w:val="center"/>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rPr>
              <w:t>二级指标</w:t>
            </w:r>
          </w:p>
        </w:tc>
        <w:tc>
          <w:tcPr>
            <w:tcW w:w="2834" w:type="dxa"/>
            <w:vAlign w:val="center"/>
          </w:tcPr>
          <w:p>
            <w:pPr>
              <w:pageBreakBefore w:val="0"/>
              <w:widowControl/>
              <w:kinsoku/>
              <w:wordWrap/>
              <w:overflowPunct/>
              <w:topLinePunct w:val="0"/>
              <w:autoSpaceDE/>
              <w:autoSpaceDN/>
              <w:bidi w:val="0"/>
              <w:adjustRightInd/>
              <w:snapToGrid/>
              <w:spacing w:line="560" w:lineRule="exact"/>
              <w:jc w:val="center"/>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rPr>
              <w:t>三级指标</w:t>
            </w:r>
          </w:p>
        </w:tc>
        <w:tc>
          <w:tcPr>
            <w:tcW w:w="1511" w:type="dxa"/>
            <w:vAlign w:val="center"/>
          </w:tcPr>
          <w:p>
            <w:pPr>
              <w:pageBreakBefore w:val="0"/>
              <w:widowControl/>
              <w:kinsoku/>
              <w:wordWrap/>
              <w:overflowPunct/>
              <w:topLinePunct w:val="0"/>
              <w:autoSpaceDE/>
              <w:autoSpaceDN/>
              <w:bidi w:val="0"/>
              <w:adjustRightInd/>
              <w:snapToGrid/>
              <w:spacing w:line="560" w:lineRule="exact"/>
              <w:jc w:val="center"/>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rPr>
              <w:t>分数权重</w:t>
            </w:r>
          </w:p>
        </w:tc>
        <w:tc>
          <w:tcPr>
            <w:tcW w:w="1381" w:type="dxa"/>
            <w:vAlign w:val="center"/>
          </w:tcPr>
          <w:p>
            <w:pPr>
              <w:pageBreakBefore w:val="0"/>
              <w:widowControl/>
              <w:kinsoku/>
              <w:wordWrap/>
              <w:overflowPunct/>
              <w:topLinePunct w:val="0"/>
              <w:autoSpaceDE/>
              <w:autoSpaceDN/>
              <w:bidi w:val="0"/>
              <w:adjustRightInd/>
              <w:snapToGrid/>
              <w:spacing w:line="560" w:lineRule="exact"/>
              <w:jc w:val="center"/>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653" w:hRule="exact"/>
          <w:jc w:val="center"/>
        </w:trPr>
        <w:tc>
          <w:tcPr>
            <w:tcW w:w="2079" w:type="dxa"/>
            <w:vMerge w:val="restart"/>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项目过程管理</w:t>
            </w:r>
          </w:p>
          <w:p>
            <w:pPr>
              <w:pageBreakBefore w:val="0"/>
              <w:widowControl/>
              <w:kinsoku/>
              <w:wordWrap/>
              <w:overflowPunct/>
              <w:topLinePunct w:val="0"/>
              <w:autoSpaceDE/>
              <w:autoSpaceDN/>
              <w:bidi w:val="0"/>
              <w:adjustRightInd/>
              <w:snapToGrid/>
              <w:spacing w:line="560" w:lineRule="exact"/>
              <w:jc w:val="center"/>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rPr>
              <w:t>（</w:t>
            </w:r>
            <w:r>
              <w:rPr>
                <w:rFonts w:hint="eastAsia" w:ascii="仿宋" w:hAnsi="仿宋" w:eastAsia="仿宋" w:cs="仿宋"/>
                <w:color w:val="000000"/>
                <w:kern w:val="0"/>
                <w:sz w:val="24"/>
                <w:szCs w:val="24"/>
                <w:highlight w:val="none"/>
                <w:lang w:val="en-US" w:eastAsia="zh-CN"/>
              </w:rPr>
              <w:t>35</w:t>
            </w:r>
            <w:r>
              <w:rPr>
                <w:rFonts w:hint="eastAsia" w:ascii="仿宋" w:hAnsi="仿宋" w:eastAsia="仿宋" w:cs="仿宋"/>
                <w:color w:val="000000"/>
                <w:kern w:val="0"/>
                <w:sz w:val="24"/>
                <w:szCs w:val="24"/>
                <w:highlight w:val="none"/>
              </w:rPr>
              <w:t>分）</w:t>
            </w:r>
          </w:p>
        </w:tc>
        <w:tc>
          <w:tcPr>
            <w:tcW w:w="1853" w:type="dxa"/>
            <w:vMerge w:val="restart"/>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项目财务管理</w:t>
            </w:r>
          </w:p>
          <w:p>
            <w:pPr>
              <w:pageBreakBefore w:val="0"/>
              <w:widowControl/>
              <w:kinsoku/>
              <w:wordWrap/>
              <w:overflowPunct/>
              <w:topLinePunct w:val="0"/>
              <w:autoSpaceDE/>
              <w:autoSpaceDN/>
              <w:bidi w:val="0"/>
              <w:adjustRightInd/>
              <w:snapToGrid/>
              <w:spacing w:line="560" w:lineRule="exact"/>
              <w:jc w:val="center"/>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rPr>
              <w:t>（20分）</w:t>
            </w:r>
          </w:p>
        </w:tc>
        <w:tc>
          <w:tcPr>
            <w:tcW w:w="2834" w:type="dxa"/>
            <w:vAlign w:val="center"/>
          </w:tcPr>
          <w:p>
            <w:pPr>
              <w:pageBreakBefore w:val="0"/>
              <w:widowControl/>
              <w:kinsoku/>
              <w:wordWrap/>
              <w:overflowPunct/>
              <w:topLinePunct w:val="0"/>
              <w:autoSpaceDE/>
              <w:autoSpaceDN/>
              <w:bidi w:val="0"/>
              <w:adjustRightInd/>
              <w:snapToGrid/>
              <w:spacing w:line="560" w:lineRule="exact"/>
              <w:jc w:val="center"/>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rPr>
              <w:t>专项资金实际使用率</w:t>
            </w:r>
          </w:p>
        </w:tc>
        <w:tc>
          <w:tcPr>
            <w:tcW w:w="1511" w:type="dxa"/>
            <w:vAlign w:val="center"/>
          </w:tcPr>
          <w:p>
            <w:pPr>
              <w:pageBreakBefore w:val="0"/>
              <w:widowControl/>
              <w:kinsoku/>
              <w:wordWrap/>
              <w:overflowPunct/>
              <w:topLinePunct w:val="0"/>
              <w:autoSpaceDE/>
              <w:autoSpaceDN/>
              <w:bidi w:val="0"/>
              <w:adjustRightInd/>
              <w:snapToGrid/>
              <w:spacing w:line="560" w:lineRule="exact"/>
              <w:jc w:val="center"/>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val="en-US" w:eastAsia="zh-CN"/>
              </w:rPr>
              <w:t>7</w:t>
            </w:r>
          </w:p>
        </w:tc>
        <w:tc>
          <w:tcPr>
            <w:tcW w:w="1381" w:type="dxa"/>
            <w:vAlign w:val="center"/>
          </w:tcPr>
          <w:p>
            <w:pPr>
              <w:pageBreakBefore w:val="0"/>
              <w:widowControl/>
              <w:kinsoku/>
              <w:wordWrap/>
              <w:overflowPunct/>
              <w:topLinePunct w:val="0"/>
              <w:autoSpaceDE/>
              <w:autoSpaceDN/>
              <w:bidi w:val="0"/>
              <w:adjustRightInd/>
              <w:snapToGrid/>
              <w:spacing w:line="560" w:lineRule="exact"/>
              <w:jc w:val="center"/>
              <w:textAlignment w:val="center"/>
              <w:rPr>
                <w:highlight w:val="none"/>
              </w:rPr>
            </w:pPr>
            <w:r>
              <w:rPr>
                <w:rFonts w:hint="eastAsia" w:ascii="仿宋" w:hAnsi="仿宋" w:eastAsia="仿宋" w:cs="仿宋"/>
                <w:color w:val="000000"/>
                <w:kern w:val="0"/>
                <w:sz w:val="24"/>
                <w:szCs w:val="24"/>
                <w:highlight w:val="none"/>
                <w:lang w:val="en-US" w:eastAsia="zh-CN"/>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49" w:hRule="exact"/>
          <w:jc w:val="center"/>
        </w:trPr>
        <w:tc>
          <w:tcPr>
            <w:tcW w:w="2079" w:type="dxa"/>
            <w:vMerge w:val="continue"/>
            <w:vAlign w:val="center"/>
          </w:tcPr>
          <w:p>
            <w:pPr>
              <w:pageBreakBefore w:val="0"/>
              <w:kinsoku/>
              <w:wordWrap/>
              <w:overflowPunct/>
              <w:topLinePunct w:val="0"/>
              <w:autoSpaceDE/>
              <w:autoSpaceDN/>
              <w:bidi w:val="0"/>
              <w:adjustRightInd/>
              <w:snapToGrid/>
              <w:spacing w:line="560" w:lineRule="exact"/>
              <w:jc w:val="center"/>
              <w:rPr>
                <w:rFonts w:ascii="仿宋" w:hAnsi="仿宋" w:eastAsia="仿宋" w:cs="仿宋"/>
                <w:color w:val="000000"/>
                <w:sz w:val="24"/>
                <w:szCs w:val="24"/>
                <w:highlight w:val="none"/>
              </w:rPr>
            </w:pPr>
          </w:p>
        </w:tc>
        <w:tc>
          <w:tcPr>
            <w:tcW w:w="1853" w:type="dxa"/>
            <w:vMerge w:val="continue"/>
            <w:vAlign w:val="center"/>
          </w:tcPr>
          <w:p>
            <w:pPr>
              <w:pageBreakBefore w:val="0"/>
              <w:kinsoku/>
              <w:wordWrap/>
              <w:overflowPunct/>
              <w:topLinePunct w:val="0"/>
              <w:autoSpaceDE/>
              <w:autoSpaceDN/>
              <w:bidi w:val="0"/>
              <w:adjustRightInd/>
              <w:snapToGrid/>
              <w:spacing w:line="560" w:lineRule="exact"/>
              <w:jc w:val="center"/>
              <w:rPr>
                <w:rFonts w:ascii="仿宋" w:hAnsi="仿宋" w:eastAsia="仿宋" w:cs="仿宋"/>
                <w:color w:val="000000"/>
                <w:sz w:val="24"/>
                <w:szCs w:val="24"/>
                <w:highlight w:val="none"/>
              </w:rPr>
            </w:pPr>
          </w:p>
        </w:tc>
        <w:tc>
          <w:tcPr>
            <w:tcW w:w="2834" w:type="dxa"/>
            <w:vAlign w:val="center"/>
          </w:tcPr>
          <w:p>
            <w:pPr>
              <w:pageBreakBefore w:val="0"/>
              <w:widowControl/>
              <w:kinsoku/>
              <w:wordWrap/>
              <w:overflowPunct/>
              <w:topLinePunct w:val="0"/>
              <w:autoSpaceDE/>
              <w:autoSpaceDN/>
              <w:bidi w:val="0"/>
              <w:adjustRightInd/>
              <w:snapToGrid/>
              <w:spacing w:line="560" w:lineRule="exact"/>
              <w:jc w:val="center"/>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rPr>
              <w:t>专项资金支出合规性</w:t>
            </w:r>
          </w:p>
        </w:tc>
        <w:tc>
          <w:tcPr>
            <w:tcW w:w="1511" w:type="dxa"/>
            <w:vAlign w:val="center"/>
          </w:tcPr>
          <w:p>
            <w:pPr>
              <w:pageBreakBefore w:val="0"/>
              <w:widowControl/>
              <w:kinsoku/>
              <w:wordWrap/>
              <w:overflowPunct/>
              <w:topLinePunct w:val="0"/>
              <w:autoSpaceDE/>
              <w:autoSpaceDN/>
              <w:bidi w:val="0"/>
              <w:adjustRightInd/>
              <w:snapToGrid/>
              <w:spacing w:line="560" w:lineRule="exact"/>
              <w:jc w:val="center"/>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val="en-US" w:eastAsia="zh-CN"/>
              </w:rPr>
              <w:t>7</w:t>
            </w:r>
          </w:p>
        </w:tc>
        <w:tc>
          <w:tcPr>
            <w:tcW w:w="1381" w:type="dxa"/>
            <w:vAlign w:val="center"/>
          </w:tcPr>
          <w:p>
            <w:pPr>
              <w:pageBreakBefore w:val="0"/>
              <w:widowControl/>
              <w:kinsoku/>
              <w:wordWrap/>
              <w:overflowPunct/>
              <w:topLinePunct w:val="0"/>
              <w:autoSpaceDE/>
              <w:autoSpaceDN/>
              <w:bidi w:val="0"/>
              <w:adjustRightInd/>
              <w:snapToGrid/>
              <w:spacing w:line="560" w:lineRule="exact"/>
              <w:jc w:val="center"/>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val="en-US" w:eastAsia="zh-CN"/>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43" w:hRule="exact"/>
          <w:jc w:val="center"/>
        </w:trPr>
        <w:tc>
          <w:tcPr>
            <w:tcW w:w="2079" w:type="dxa"/>
            <w:vMerge w:val="continue"/>
            <w:vAlign w:val="center"/>
          </w:tcPr>
          <w:p>
            <w:pPr>
              <w:pageBreakBefore w:val="0"/>
              <w:kinsoku/>
              <w:wordWrap/>
              <w:overflowPunct/>
              <w:topLinePunct w:val="0"/>
              <w:autoSpaceDE/>
              <w:autoSpaceDN/>
              <w:bidi w:val="0"/>
              <w:adjustRightInd/>
              <w:snapToGrid/>
              <w:spacing w:line="560" w:lineRule="exact"/>
              <w:jc w:val="center"/>
              <w:rPr>
                <w:rFonts w:ascii="仿宋" w:hAnsi="仿宋" w:eastAsia="仿宋" w:cs="仿宋"/>
                <w:color w:val="000000"/>
                <w:sz w:val="24"/>
                <w:szCs w:val="24"/>
                <w:highlight w:val="none"/>
              </w:rPr>
            </w:pPr>
          </w:p>
        </w:tc>
        <w:tc>
          <w:tcPr>
            <w:tcW w:w="1853" w:type="dxa"/>
            <w:vMerge w:val="continue"/>
            <w:vAlign w:val="center"/>
          </w:tcPr>
          <w:p>
            <w:pPr>
              <w:pageBreakBefore w:val="0"/>
              <w:kinsoku/>
              <w:wordWrap/>
              <w:overflowPunct/>
              <w:topLinePunct w:val="0"/>
              <w:autoSpaceDE/>
              <w:autoSpaceDN/>
              <w:bidi w:val="0"/>
              <w:adjustRightInd/>
              <w:snapToGrid/>
              <w:spacing w:line="560" w:lineRule="exact"/>
              <w:jc w:val="center"/>
              <w:rPr>
                <w:rFonts w:ascii="仿宋" w:hAnsi="仿宋" w:eastAsia="仿宋" w:cs="仿宋"/>
                <w:color w:val="000000"/>
                <w:sz w:val="24"/>
                <w:szCs w:val="24"/>
                <w:highlight w:val="none"/>
              </w:rPr>
            </w:pPr>
          </w:p>
        </w:tc>
        <w:tc>
          <w:tcPr>
            <w:tcW w:w="2834" w:type="dxa"/>
            <w:vAlign w:val="center"/>
          </w:tcPr>
          <w:p>
            <w:pPr>
              <w:pageBreakBefore w:val="0"/>
              <w:widowControl/>
              <w:kinsoku/>
              <w:wordWrap/>
              <w:overflowPunct/>
              <w:topLinePunct w:val="0"/>
              <w:autoSpaceDE/>
              <w:autoSpaceDN/>
              <w:bidi w:val="0"/>
              <w:adjustRightInd/>
              <w:snapToGrid/>
              <w:spacing w:line="560" w:lineRule="exact"/>
              <w:jc w:val="center"/>
              <w:textAlignment w:val="cente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lang w:val="en-US" w:eastAsia="zh-CN"/>
              </w:rPr>
              <w:t>会计核算</w:t>
            </w:r>
          </w:p>
        </w:tc>
        <w:tc>
          <w:tcPr>
            <w:tcW w:w="1511" w:type="dxa"/>
            <w:vAlign w:val="center"/>
          </w:tcPr>
          <w:p>
            <w:pPr>
              <w:pageBreakBefore w:val="0"/>
              <w:widowControl/>
              <w:kinsoku/>
              <w:wordWrap/>
              <w:overflowPunct/>
              <w:topLinePunct w:val="0"/>
              <w:autoSpaceDE/>
              <w:autoSpaceDN/>
              <w:bidi w:val="0"/>
              <w:adjustRightInd/>
              <w:snapToGrid/>
              <w:spacing w:line="560" w:lineRule="exact"/>
              <w:jc w:val="center"/>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val="en-US" w:eastAsia="zh-CN"/>
              </w:rPr>
              <w:t>6</w:t>
            </w:r>
          </w:p>
        </w:tc>
        <w:tc>
          <w:tcPr>
            <w:tcW w:w="1381" w:type="dxa"/>
            <w:vAlign w:val="center"/>
          </w:tcPr>
          <w:p>
            <w:pPr>
              <w:pageBreakBefore w:val="0"/>
              <w:widowControl/>
              <w:kinsoku/>
              <w:wordWrap/>
              <w:overflowPunct/>
              <w:topLinePunct w:val="0"/>
              <w:autoSpaceDE/>
              <w:autoSpaceDN/>
              <w:bidi w:val="0"/>
              <w:adjustRightInd/>
              <w:snapToGrid/>
              <w:spacing w:line="560" w:lineRule="exact"/>
              <w:jc w:val="center"/>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489" w:hRule="exact"/>
          <w:jc w:val="center"/>
        </w:trPr>
        <w:tc>
          <w:tcPr>
            <w:tcW w:w="2079" w:type="dxa"/>
            <w:vMerge w:val="continue"/>
            <w:vAlign w:val="center"/>
          </w:tcPr>
          <w:p>
            <w:pPr>
              <w:pageBreakBefore w:val="0"/>
              <w:kinsoku/>
              <w:wordWrap/>
              <w:overflowPunct/>
              <w:topLinePunct w:val="0"/>
              <w:autoSpaceDE/>
              <w:autoSpaceDN/>
              <w:bidi w:val="0"/>
              <w:adjustRightInd/>
              <w:snapToGrid/>
              <w:spacing w:line="560" w:lineRule="exact"/>
              <w:jc w:val="center"/>
              <w:rPr>
                <w:rFonts w:ascii="仿宋" w:hAnsi="仿宋" w:eastAsia="仿宋" w:cs="仿宋"/>
                <w:color w:val="000000"/>
                <w:sz w:val="24"/>
                <w:szCs w:val="24"/>
                <w:highlight w:val="none"/>
              </w:rPr>
            </w:pPr>
          </w:p>
        </w:tc>
        <w:tc>
          <w:tcPr>
            <w:tcW w:w="1853" w:type="dxa"/>
            <w:vMerge w:val="restart"/>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default" w:ascii="仿宋" w:hAnsi="仿宋" w:eastAsia="仿宋" w:cs="仿宋"/>
                <w:color w:val="000000"/>
                <w:kern w:val="0"/>
                <w:sz w:val="24"/>
                <w:szCs w:val="24"/>
                <w:highlight w:val="none"/>
                <w:lang w:val="en-US" w:eastAsia="zh-CN"/>
              </w:rPr>
            </w:pPr>
            <w:r>
              <w:rPr>
                <w:rFonts w:hint="eastAsia" w:ascii="仿宋" w:hAnsi="仿宋" w:eastAsia="仿宋" w:cs="仿宋"/>
                <w:color w:val="000000"/>
                <w:kern w:val="0"/>
                <w:sz w:val="24"/>
                <w:szCs w:val="24"/>
                <w:highlight w:val="none"/>
              </w:rPr>
              <w:t>项目业务管理</w:t>
            </w:r>
          </w:p>
          <w:p>
            <w:pPr>
              <w:pageBreakBefore w:val="0"/>
              <w:widowControl/>
              <w:kinsoku/>
              <w:wordWrap/>
              <w:overflowPunct/>
              <w:topLinePunct w:val="0"/>
              <w:autoSpaceDE/>
              <w:autoSpaceDN/>
              <w:bidi w:val="0"/>
              <w:adjustRightInd/>
              <w:snapToGrid/>
              <w:spacing w:line="560" w:lineRule="exact"/>
              <w:jc w:val="center"/>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rPr>
              <w:t>（</w:t>
            </w:r>
            <w:r>
              <w:rPr>
                <w:rFonts w:hint="eastAsia" w:ascii="仿宋" w:hAnsi="仿宋" w:eastAsia="仿宋" w:cs="仿宋"/>
                <w:color w:val="000000"/>
                <w:kern w:val="0"/>
                <w:sz w:val="24"/>
                <w:szCs w:val="24"/>
                <w:highlight w:val="none"/>
                <w:lang w:val="en-US" w:eastAsia="zh-CN"/>
              </w:rPr>
              <w:t>15</w:t>
            </w:r>
            <w:r>
              <w:rPr>
                <w:rFonts w:hint="eastAsia" w:ascii="仿宋" w:hAnsi="仿宋" w:eastAsia="仿宋" w:cs="仿宋"/>
                <w:color w:val="000000"/>
                <w:kern w:val="0"/>
                <w:sz w:val="24"/>
                <w:szCs w:val="24"/>
                <w:highlight w:val="none"/>
              </w:rPr>
              <w:t>分）</w:t>
            </w:r>
          </w:p>
        </w:tc>
        <w:tc>
          <w:tcPr>
            <w:tcW w:w="2834" w:type="dxa"/>
            <w:vAlign w:val="center"/>
          </w:tcPr>
          <w:p>
            <w:pPr>
              <w:pageBreakBefore w:val="0"/>
              <w:widowControl/>
              <w:kinsoku/>
              <w:wordWrap/>
              <w:overflowPunct/>
              <w:topLinePunct w:val="0"/>
              <w:autoSpaceDE/>
              <w:autoSpaceDN/>
              <w:bidi w:val="0"/>
              <w:adjustRightInd/>
              <w:snapToGrid/>
              <w:spacing w:line="560" w:lineRule="exact"/>
              <w:jc w:val="center"/>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val="en-US" w:eastAsia="zh-CN"/>
              </w:rPr>
              <w:t>制度执行有效性</w:t>
            </w:r>
          </w:p>
        </w:tc>
        <w:tc>
          <w:tcPr>
            <w:tcW w:w="1511" w:type="dxa"/>
            <w:vAlign w:val="center"/>
          </w:tcPr>
          <w:p>
            <w:pPr>
              <w:pageBreakBefore w:val="0"/>
              <w:widowControl/>
              <w:kinsoku/>
              <w:wordWrap/>
              <w:overflowPunct/>
              <w:topLinePunct w:val="0"/>
              <w:autoSpaceDE/>
              <w:autoSpaceDN/>
              <w:bidi w:val="0"/>
              <w:adjustRightInd/>
              <w:snapToGrid/>
              <w:spacing w:line="560" w:lineRule="exact"/>
              <w:jc w:val="center"/>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rPr>
              <w:t>5</w:t>
            </w:r>
          </w:p>
        </w:tc>
        <w:tc>
          <w:tcPr>
            <w:tcW w:w="1381" w:type="dxa"/>
            <w:vAlign w:val="center"/>
          </w:tcPr>
          <w:p>
            <w:pPr>
              <w:pageBreakBefore w:val="0"/>
              <w:widowControl/>
              <w:kinsoku/>
              <w:wordWrap/>
              <w:overflowPunct/>
              <w:topLinePunct w:val="0"/>
              <w:autoSpaceDE/>
              <w:autoSpaceDN/>
              <w:bidi w:val="0"/>
              <w:adjustRightInd/>
              <w:snapToGrid/>
              <w:spacing w:line="560" w:lineRule="exact"/>
              <w:jc w:val="center"/>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53" w:hRule="exact"/>
          <w:jc w:val="center"/>
        </w:trPr>
        <w:tc>
          <w:tcPr>
            <w:tcW w:w="2079" w:type="dxa"/>
            <w:vMerge w:val="continue"/>
            <w:vAlign w:val="center"/>
          </w:tcPr>
          <w:p>
            <w:pPr>
              <w:pageBreakBefore w:val="0"/>
              <w:kinsoku/>
              <w:wordWrap/>
              <w:overflowPunct/>
              <w:topLinePunct w:val="0"/>
              <w:autoSpaceDE/>
              <w:autoSpaceDN/>
              <w:bidi w:val="0"/>
              <w:adjustRightInd/>
              <w:snapToGrid/>
              <w:spacing w:line="560" w:lineRule="exact"/>
              <w:jc w:val="center"/>
              <w:rPr>
                <w:rFonts w:ascii="仿宋" w:hAnsi="仿宋" w:eastAsia="仿宋" w:cs="仿宋"/>
                <w:color w:val="000000"/>
                <w:sz w:val="24"/>
                <w:szCs w:val="24"/>
                <w:highlight w:val="none"/>
              </w:rPr>
            </w:pPr>
          </w:p>
        </w:tc>
        <w:tc>
          <w:tcPr>
            <w:tcW w:w="1853" w:type="dxa"/>
            <w:vMerge w:val="continue"/>
            <w:vAlign w:val="center"/>
          </w:tcPr>
          <w:p>
            <w:pPr>
              <w:pageBreakBefore w:val="0"/>
              <w:kinsoku/>
              <w:wordWrap/>
              <w:overflowPunct/>
              <w:topLinePunct w:val="0"/>
              <w:autoSpaceDE/>
              <w:autoSpaceDN/>
              <w:bidi w:val="0"/>
              <w:adjustRightInd/>
              <w:snapToGrid/>
              <w:spacing w:line="560" w:lineRule="exact"/>
              <w:jc w:val="center"/>
              <w:rPr>
                <w:rFonts w:ascii="仿宋" w:hAnsi="仿宋" w:eastAsia="仿宋" w:cs="仿宋"/>
                <w:color w:val="000000"/>
                <w:sz w:val="24"/>
                <w:szCs w:val="24"/>
                <w:highlight w:val="none"/>
              </w:rPr>
            </w:pPr>
          </w:p>
        </w:tc>
        <w:tc>
          <w:tcPr>
            <w:tcW w:w="2834" w:type="dxa"/>
            <w:vAlign w:val="center"/>
          </w:tcPr>
          <w:p>
            <w:pPr>
              <w:pageBreakBefore w:val="0"/>
              <w:widowControl/>
              <w:kinsoku/>
              <w:wordWrap/>
              <w:overflowPunct/>
              <w:topLinePunct w:val="0"/>
              <w:autoSpaceDE/>
              <w:autoSpaceDN/>
              <w:bidi w:val="0"/>
              <w:adjustRightInd/>
              <w:snapToGrid/>
              <w:spacing w:line="560" w:lineRule="exact"/>
              <w:jc w:val="center"/>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val="en-US" w:eastAsia="zh-CN"/>
              </w:rPr>
              <w:t>公开公示</w:t>
            </w:r>
          </w:p>
        </w:tc>
        <w:tc>
          <w:tcPr>
            <w:tcW w:w="1511" w:type="dxa"/>
            <w:vAlign w:val="center"/>
          </w:tcPr>
          <w:p>
            <w:pPr>
              <w:pageBreakBefore w:val="0"/>
              <w:widowControl/>
              <w:kinsoku/>
              <w:wordWrap/>
              <w:overflowPunct/>
              <w:topLinePunct w:val="0"/>
              <w:autoSpaceDE/>
              <w:autoSpaceDN/>
              <w:bidi w:val="0"/>
              <w:adjustRightInd/>
              <w:snapToGrid/>
              <w:spacing w:line="560" w:lineRule="exact"/>
              <w:jc w:val="center"/>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rPr>
              <w:t>5</w:t>
            </w:r>
          </w:p>
        </w:tc>
        <w:tc>
          <w:tcPr>
            <w:tcW w:w="1381" w:type="dxa"/>
            <w:vAlign w:val="center"/>
          </w:tcPr>
          <w:p>
            <w:pPr>
              <w:pageBreakBefore w:val="0"/>
              <w:widowControl/>
              <w:kinsoku/>
              <w:wordWrap/>
              <w:overflowPunct/>
              <w:topLinePunct w:val="0"/>
              <w:autoSpaceDE/>
              <w:autoSpaceDN/>
              <w:bidi w:val="0"/>
              <w:adjustRightInd/>
              <w:snapToGrid/>
              <w:spacing w:line="560" w:lineRule="exact"/>
              <w:jc w:val="center"/>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47" w:hRule="exact"/>
          <w:jc w:val="center"/>
        </w:trPr>
        <w:tc>
          <w:tcPr>
            <w:tcW w:w="2079" w:type="dxa"/>
            <w:vMerge w:val="continue"/>
            <w:vAlign w:val="center"/>
          </w:tcPr>
          <w:p>
            <w:pPr>
              <w:pageBreakBefore w:val="0"/>
              <w:kinsoku/>
              <w:wordWrap/>
              <w:overflowPunct/>
              <w:topLinePunct w:val="0"/>
              <w:autoSpaceDE/>
              <w:autoSpaceDN/>
              <w:bidi w:val="0"/>
              <w:adjustRightInd/>
              <w:snapToGrid/>
              <w:spacing w:line="560" w:lineRule="exact"/>
              <w:jc w:val="center"/>
              <w:rPr>
                <w:rFonts w:ascii="仿宋" w:hAnsi="仿宋" w:eastAsia="仿宋" w:cs="仿宋"/>
                <w:color w:val="000000"/>
                <w:sz w:val="24"/>
                <w:szCs w:val="24"/>
                <w:highlight w:val="none"/>
              </w:rPr>
            </w:pPr>
          </w:p>
        </w:tc>
        <w:tc>
          <w:tcPr>
            <w:tcW w:w="1853" w:type="dxa"/>
            <w:vMerge w:val="continue"/>
            <w:vAlign w:val="center"/>
          </w:tcPr>
          <w:p>
            <w:pPr>
              <w:pageBreakBefore w:val="0"/>
              <w:kinsoku/>
              <w:wordWrap/>
              <w:overflowPunct/>
              <w:topLinePunct w:val="0"/>
              <w:autoSpaceDE/>
              <w:autoSpaceDN/>
              <w:bidi w:val="0"/>
              <w:adjustRightInd/>
              <w:snapToGrid/>
              <w:spacing w:line="560" w:lineRule="exact"/>
              <w:jc w:val="center"/>
              <w:rPr>
                <w:rFonts w:ascii="仿宋" w:hAnsi="仿宋" w:eastAsia="仿宋" w:cs="仿宋"/>
                <w:color w:val="000000"/>
                <w:sz w:val="24"/>
                <w:szCs w:val="24"/>
                <w:highlight w:val="none"/>
              </w:rPr>
            </w:pPr>
          </w:p>
        </w:tc>
        <w:tc>
          <w:tcPr>
            <w:tcW w:w="2834" w:type="dxa"/>
            <w:vAlign w:val="center"/>
          </w:tcPr>
          <w:p>
            <w:pPr>
              <w:pageBreakBefore w:val="0"/>
              <w:widowControl/>
              <w:kinsoku/>
              <w:wordWrap/>
              <w:overflowPunct/>
              <w:topLinePunct w:val="0"/>
              <w:autoSpaceDE/>
              <w:autoSpaceDN/>
              <w:bidi w:val="0"/>
              <w:adjustRightInd/>
              <w:snapToGrid/>
              <w:spacing w:line="560" w:lineRule="exact"/>
              <w:jc w:val="center"/>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rPr>
              <w:t>项目档案资料完整性</w:t>
            </w:r>
          </w:p>
        </w:tc>
        <w:tc>
          <w:tcPr>
            <w:tcW w:w="1511" w:type="dxa"/>
            <w:vAlign w:val="center"/>
          </w:tcPr>
          <w:p>
            <w:pPr>
              <w:pageBreakBefore w:val="0"/>
              <w:widowControl/>
              <w:kinsoku/>
              <w:wordWrap/>
              <w:overflowPunct/>
              <w:topLinePunct w:val="0"/>
              <w:autoSpaceDE/>
              <w:autoSpaceDN/>
              <w:bidi w:val="0"/>
              <w:adjustRightInd/>
              <w:snapToGrid/>
              <w:spacing w:line="560" w:lineRule="exact"/>
              <w:jc w:val="center"/>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rPr>
              <w:t>5</w:t>
            </w:r>
          </w:p>
        </w:tc>
        <w:tc>
          <w:tcPr>
            <w:tcW w:w="1381" w:type="dxa"/>
            <w:vAlign w:val="center"/>
          </w:tcPr>
          <w:p>
            <w:pPr>
              <w:pageBreakBefore w:val="0"/>
              <w:widowControl/>
              <w:kinsoku/>
              <w:wordWrap/>
              <w:overflowPunct/>
              <w:topLinePunct w:val="0"/>
              <w:autoSpaceDE/>
              <w:autoSpaceDN/>
              <w:bidi w:val="0"/>
              <w:adjustRightInd/>
              <w:snapToGrid/>
              <w:spacing w:line="560" w:lineRule="exact"/>
              <w:jc w:val="center"/>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691" w:hRule="exact"/>
          <w:jc w:val="center"/>
        </w:trPr>
        <w:tc>
          <w:tcPr>
            <w:tcW w:w="6766" w:type="dxa"/>
            <w:gridSpan w:val="3"/>
            <w:vAlign w:val="center"/>
          </w:tcPr>
          <w:p>
            <w:pPr>
              <w:pageBreakBefore w:val="0"/>
              <w:widowControl/>
              <w:kinsoku/>
              <w:wordWrap/>
              <w:overflowPunct/>
              <w:topLinePunct w:val="0"/>
              <w:autoSpaceDE/>
              <w:autoSpaceDN/>
              <w:bidi w:val="0"/>
              <w:adjustRightInd/>
              <w:snapToGrid/>
              <w:spacing w:line="560" w:lineRule="exact"/>
              <w:jc w:val="center"/>
              <w:textAlignment w:val="center"/>
              <w:rPr>
                <w:rFonts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合  计</w:t>
            </w:r>
          </w:p>
        </w:tc>
        <w:tc>
          <w:tcPr>
            <w:tcW w:w="1511" w:type="dxa"/>
            <w:vAlign w:val="center"/>
          </w:tcPr>
          <w:p>
            <w:pPr>
              <w:pageBreakBefore w:val="0"/>
              <w:widowControl/>
              <w:kinsoku/>
              <w:wordWrap/>
              <w:overflowPunct/>
              <w:topLinePunct w:val="0"/>
              <w:autoSpaceDE/>
              <w:autoSpaceDN/>
              <w:bidi w:val="0"/>
              <w:adjustRightInd/>
              <w:snapToGrid/>
              <w:spacing w:line="560" w:lineRule="exact"/>
              <w:jc w:val="center"/>
              <w:textAlignment w:val="center"/>
              <w:rPr>
                <w:rFonts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lang w:val="en-US" w:eastAsia="zh-CN"/>
              </w:rPr>
              <w:t>35</w:t>
            </w:r>
          </w:p>
        </w:tc>
        <w:tc>
          <w:tcPr>
            <w:tcW w:w="1381" w:type="dxa"/>
            <w:vAlign w:val="center"/>
          </w:tcPr>
          <w:p>
            <w:pPr>
              <w:pageBreakBefore w:val="0"/>
              <w:widowControl/>
              <w:kinsoku/>
              <w:wordWrap/>
              <w:overflowPunct/>
              <w:topLinePunct w:val="0"/>
              <w:autoSpaceDE/>
              <w:autoSpaceDN/>
              <w:bidi w:val="0"/>
              <w:adjustRightInd/>
              <w:snapToGrid/>
              <w:spacing w:line="560" w:lineRule="exact"/>
              <w:jc w:val="center"/>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val="en-US" w:eastAsia="zh-CN"/>
              </w:rPr>
              <w:t>35</w:t>
            </w:r>
          </w:p>
        </w:tc>
      </w:tr>
    </w:tbl>
    <w:p>
      <w:pPr>
        <w:spacing w:line="560" w:lineRule="exact"/>
        <w:ind w:firstLine="600" w:firstLineChars="200"/>
        <w:jc w:val="left"/>
        <w:rPr>
          <w:rFonts w:ascii="仿宋" w:hAnsi="仿宋" w:eastAsia="仿宋" w:cs="仿宋"/>
          <w:sz w:val="30"/>
          <w:szCs w:val="30"/>
          <w:highlight w:val="none"/>
        </w:rPr>
      </w:pPr>
      <w:r>
        <w:rPr>
          <w:rFonts w:hint="eastAsia" w:ascii="仿宋" w:hAnsi="仿宋" w:eastAsia="仿宋" w:cs="仿宋"/>
          <w:sz w:val="30"/>
          <w:szCs w:val="30"/>
          <w:highlight w:val="none"/>
        </w:rPr>
        <w:t>1.项目财务管理（20分）</w:t>
      </w:r>
    </w:p>
    <w:p>
      <w:pPr>
        <w:spacing w:line="560" w:lineRule="exact"/>
        <w:jc w:val="left"/>
        <w:rPr>
          <w:rFonts w:ascii="仿宋" w:hAnsi="仿宋" w:eastAsia="仿宋" w:cs="仿宋"/>
          <w:sz w:val="30"/>
          <w:szCs w:val="30"/>
          <w:highlight w:val="none"/>
        </w:rPr>
      </w:pPr>
      <w:r>
        <w:rPr>
          <w:rFonts w:hint="eastAsia" w:ascii="仿宋" w:hAnsi="仿宋" w:eastAsia="仿宋" w:cs="仿宋"/>
          <w:sz w:val="30"/>
          <w:szCs w:val="30"/>
          <w:highlight w:val="none"/>
        </w:rPr>
        <w:t xml:space="preserve">    （1）专项资金实际使用率（7分）</w:t>
      </w:r>
    </w:p>
    <w:p>
      <w:pPr>
        <w:spacing w:line="560" w:lineRule="exact"/>
        <w:ind w:firstLine="600" w:firstLineChars="200"/>
        <w:jc w:val="left"/>
        <w:rPr>
          <w:rFonts w:ascii="仿宋" w:hAnsi="仿宋" w:eastAsia="仿宋" w:cs="仿宋"/>
          <w:sz w:val="30"/>
          <w:szCs w:val="30"/>
          <w:highlight w:val="none"/>
        </w:rPr>
      </w:pPr>
      <w:r>
        <w:rPr>
          <w:rFonts w:hint="eastAsia" w:ascii="仿宋" w:hAnsi="仿宋" w:eastAsia="仿宋" w:cs="仿宋"/>
          <w:sz w:val="30"/>
          <w:szCs w:val="30"/>
          <w:highlight w:val="none"/>
        </w:rPr>
        <w:t>该指标主要评价实际使用专项资金数额占专项资金实际拨付额比例。</w:t>
      </w:r>
    </w:p>
    <w:p>
      <w:pPr>
        <w:spacing w:line="560" w:lineRule="exact"/>
        <w:ind w:firstLine="600" w:firstLineChars="200"/>
        <w:jc w:val="left"/>
        <w:rPr>
          <w:rFonts w:ascii="仿宋" w:hAnsi="仿宋" w:eastAsia="仿宋" w:cs="仿宋"/>
          <w:sz w:val="30"/>
          <w:szCs w:val="30"/>
          <w:highlight w:val="none"/>
        </w:rPr>
      </w:pPr>
      <w:r>
        <w:rPr>
          <w:rFonts w:hint="eastAsia" w:ascii="仿宋" w:hAnsi="仿宋" w:eastAsia="仿宋" w:cs="仿宋"/>
          <w:sz w:val="30"/>
          <w:szCs w:val="30"/>
          <w:highlight w:val="none"/>
        </w:rPr>
        <w:t>经检查，2022年共安排中央直达资金1,728万元用于该项目，2022年度该项目专项资金实际使用1,728万元，实际使用专项资金数额占专项资金拨付额的比例为100%。</w:t>
      </w:r>
    </w:p>
    <w:p>
      <w:pPr>
        <w:spacing w:line="560" w:lineRule="exact"/>
        <w:ind w:firstLine="600" w:firstLineChars="200"/>
        <w:jc w:val="left"/>
        <w:rPr>
          <w:rFonts w:ascii="仿宋" w:hAnsi="仿宋" w:eastAsia="仿宋" w:cs="仿宋"/>
          <w:sz w:val="30"/>
          <w:szCs w:val="30"/>
          <w:highlight w:val="none"/>
        </w:rPr>
      </w:pPr>
      <w:r>
        <w:rPr>
          <w:rFonts w:hint="eastAsia" w:ascii="仿宋" w:hAnsi="仿宋" w:eastAsia="仿宋" w:cs="仿宋"/>
          <w:sz w:val="30"/>
          <w:szCs w:val="30"/>
          <w:highlight w:val="none"/>
        </w:rPr>
        <w:t>该项指标实际得分7分。</w:t>
      </w:r>
    </w:p>
    <w:p>
      <w:pPr>
        <w:spacing w:line="560" w:lineRule="exact"/>
        <w:ind w:firstLine="560"/>
        <w:jc w:val="left"/>
        <w:rPr>
          <w:rFonts w:ascii="仿宋" w:hAnsi="仿宋" w:eastAsia="仿宋" w:cs="仿宋"/>
          <w:sz w:val="30"/>
          <w:szCs w:val="30"/>
          <w:highlight w:val="none"/>
        </w:rPr>
      </w:pPr>
      <w:r>
        <w:rPr>
          <w:rFonts w:hint="eastAsia" w:ascii="仿宋" w:hAnsi="仿宋" w:eastAsia="仿宋" w:cs="仿宋"/>
          <w:sz w:val="30"/>
          <w:szCs w:val="30"/>
          <w:highlight w:val="none"/>
        </w:rPr>
        <w:t>（2）专项资金支出合规性（7分）</w:t>
      </w:r>
    </w:p>
    <w:p>
      <w:pPr>
        <w:spacing w:line="560" w:lineRule="exact"/>
        <w:ind w:firstLine="600" w:firstLineChars="200"/>
        <w:jc w:val="left"/>
        <w:rPr>
          <w:rFonts w:ascii="仿宋" w:hAnsi="仿宋" w:eastAsia="仿宋" w:cs="仿宋"/>
          <w:sz w:val="30"/>
          <w:szCs w:val="30"/>
          <w:highlight w:val="none"/>
        </w:rPr>
      </w:pPr>
      <w:r>
        <w:rPr>
          <w:rFonts w:hint="eastAsia" w:ascii="仿宋" w:hAnsi="仿宋" w:eastAsia="仿宋" w:cs="仿宋"/>
          <w:sz w:val="30"/>
          <w:szCs w:val="30"/>
          <w:highlight w:val="none"/>
        </w:rPr>
        <w:t>该指标主要评价专项资金是否严格按照资金管理办法的用途支出，是否有截留、挤占、挪用等违规行为。</w:t>
      </w:r>
    </w:p>
    <w:p>
      <w:pPr>
        <w:spacing w:line="560" w:lineRule="exact"/>
        <w:ind w:firstLine="600" w:firstLineChars="200"/>
        <w:jc w:val="left"/>
        <w:rPr>
          <w:rFonts w:ascii="仿宋" w:hAnsi="仿宋" w:eastAsia="仿宋" w:cs="仿宋"/>
          <w:sz w:val="30"/>
          <w:szCs w:val="30"/>
          <w:highlight w:val="none"/>
        </w:rPr>
      </w:pPr>
      <w:r>
        <w:rPr>
          <w:rFonts w:hint="eastAsia" w:ascii="仿宋" w:hAnsi="仿宋" w:eastAsia="仿宋" w:cs="仿宋"/>
          <w:sz w:val="30"/>
          <w:szCs w:val="30"/>
          <w:highlight w:val="none"/>
        </w:rPr>
        <w:t>经检查，该项目资金严格按照相关规定支出，专款专用，不存在截留、挤占、挪用等违规行为。</w:t>
      </w:r>
    </w:p>
    <w:p>
      <w:pPr>
        <w:spacing w:line="560" w:lineRule="exact"/>
        <w:ind w:firstLine="600" w:firstLineChars="200"/>
        <w:jc w:val="left"/>
        <w:rPr>
          <w:rFonts w:ascii="仿宋" w:hAnsi="仿宋" w:eastAsia="仿宋" w:cs="仿宋"/>
          <w:sz w:val="30"/>
          <w:szCs w:val="30"/>
          <w:highlight w:val="none"/>
        </w:rPr>
      </w:pPr>
      <w:r>
        <w:rPr>
          <w:rFonts w:hint="eastAsia" w:ascii="仿宋" w:hAnsi="仿宋" w:eastAsia="仿宋" w:cs="仿宋"/>
          <w:sz w:val="30"/>
          <w:szCs w:val="30"/>
          <w:highlight w:val="none"/>
        </w:rPr>
        <w:t>该指标实际得分7分。</w:t>
      </w:r>
    </w:p>
    <w:p>
      <w:pPr>
        <w:spacing w:line="560" w:lineRule="exact"/>
        <w:ind w:firstLine="600" w:firstLineChars="200"/>
        <w:jc w:val="left"/>
        <w:rPr>
          <w:rFonts w:ascii="仿宋" w:hAnsi="仿宋" w:eastAsia="仿宋" w:cs="仿宋"/>
          <w:sz w:val="30"/>
          <w:szCs w:val="30"/>
          <w:highlight w:val="none"/>
        </w:rPr>
      </w:pPr>
      <w:r>
        <w:rPr>
          <w:rFonts w:hint="eastAsia" w:ascii="仿宋" w:hAnsi="仿宋" w:eastAsia="仿宋" w:cs="仿宋"/>
          <w:sz w:val="30"/>
          <w:szCs w:val="30"/>
          <w:highlight w:val="none"/>
        </w:rPr>
        <w:t>（3）会计核算（6分）</w:t>
      </w:r>
    </w:p>
    <w:p>
      <w:pPr>
        <w:spacing w:line="560" w:lineRule="exact"/>
        <w:ind w:firstLine="600" w:firstLineChars="200"/>
        <w:jc w:val="left"/>
        <w:rPr>
          <w:rFonts w:ascii="仿宋" w:hAnsi="仿宋" w:eastAsia="仿宋" w:cs="仿宋"/>
          <w:sz w:val="30"/>
          <w:szCs w:val="30"/>
          <w:highlight w:val="none"/>
        </w:rPr>
      </w:pPr>
      <w:r>
        <w:rPr>
          <w:rFonts w:hint="eastAsia" w:ascii="仿宋" w:hAnsi="仿宋" w:eastAsia="仿宋" w:cs="仿宋"/>
          <w:sz w:val="30"/>
          <w:szCs w:val="30"/>
          <w:highlight w:val="none"/>
        </w:rPr>
        <w:t>该指标主要评价会计核算是否严格遵守有关法规及制度规定，会计核算是否规范，专项资金支付申报、审批流程是否完善、支付依据是否合法。</w:t>
      </w:r>
    </w:p>
    <w:p>
      <w:pPr>
        <w:spacing w:line="560" w:lineRule="exact"/>
        <w:ind w:firstLine="600" w:firstLineChars="200"/>
        <w:jc w:val="left"/>
        <w:rPr>
          <w:rFonts w:ascii="仿宋" w:hAnsi="仿宋" w:eastAsia="仿宋" w:cs="仿宋"/>
          <w:sz w:val="30"/>
          <w:szCs w:val="30"/>
          <w:highlight w:val="none"/>
        </w:rPr>
      </w:pPr>
      <w:r>
        <w:rPr>
          <w:rFonts w:hint="eastAsia" w:ascii="仿宋" w:hAnsi="仿宋" w:eastAsia="仿宋" w:cs="仿宋"/>
          <w:sz w:val="30"/>
          <w:szCs w:val="30"/>
          <w:highlight w:val="none"/>
        </w:rPr>
        <w:t>该项目绩效专项资金为1,728万元，账面记载专项资金支出金额为1,728万元。 经检查，会计核算严格遵守《政府会计制度》的相关规定，科目使用正确，核算规范；各项补贴资金的支付申报、审批流程完善，支付依据充分合法。</w:t>
      </w:r>
    </w:p>
    <w:p>
      <w:pPr>
        <w:spacing w:line="560" w:lineRule="exact"/>
        <w:ind w:firstLine="560"/>
        <w:jc w:val="left"/>
        <w:rPr>
          <w:highlight w:val="none"/>
        </w:rPr>
      </w:pPr>
      <w:r>
        <w:rPr>
          <w:rFonts w:hint="eastAsia" w:ascii="仿宋" w:hAnsi="仿宋" w:eastAsia="仿宋" w:cs="仿宋"/>
          <w:sz w:val="30"/>
          <w:szCs w:val="30"/>
          <w:highlight w:val="none"/>
        </w:rPr>
        <w:t>该项指标实际得分6分。</w:t>
      </w:r>
    </w:p>
    <w:p>
      <w:pPr>
        <w:spacing w:line="560" w:lineRule="exact"/>
        <w:ind w:firstLine="600" w:firstLineChars="200"/>
        <w:jc w:val="left"/>
        <w:rPr>
          <w:rFonts w:ascii="仿宋" w:hAnsi="仿宋" w:eastAsia="仿宋" w:cs="仿宋"/>
          <w:sz w:val="30"/>
          <w:szCs w:val="30"/>
          <w:highlight w:val="none"/>
        </w:rPr>
      </w:pPr>
      <w:r>
        <w:rPr>
          <w:rFonts w:hint="eastAsia" w:ascii="仿宋" w:hAnsi="仿宋" w:eastAsia="仿宋" w:cs="仿宋"/>
          <w:sz w:val="30"/>
          <w:szCs w:val="30"/>
          <w:highlight w:val="none"/>
        </w:rPr>
        <w:t>2.项目业务管理（</w:t>
      </w:r>
      <w:r>
        <w:rPr>
          <w:rFonts w:hint="eastAsia" w:ascii="仿宋" w:hAnsi="仿宋" w:eastAsia="仿宋" w:cs="仿宋"/>
          <w:sz w:val="30"/>
          <w:szCs w:val="30"/>
          <w:highlight w:val="none"/>
          <w:lang w:val="en-US" w:eastAsia="zh-CN"/>
        </w:rPr>
        <w:t>15</w:t>
      </w:r>
      <w:r>
        <w:rPr>
          <w:rFonts w:hint="eastAsia" w:ascii="仿宋" w:hAnsi="仿宋" w:eastAsia="仿宋" w:cs="仿宋"/>
          <w:sz w:val="30"/>
          <w:szCs w:val="30"/>
          <w:highlight w:val="none"/>
        </w:rPr>
        <w:t>分）</w:t>
      </w:r>
    </w:p>
    <w:p>
      <w:pPr>
        <w:spacing w:line="560" w:lineRule="exact"/>
        <w:ind w:firstLine="600" w:firstLineChars="200"/>
        <w:jc w:val="left"/>
        <w:rPr>
          <w:rFonts w:ascii="仿宋" w:hAnsi="仿宋" w:eastAsia="仿宋" w:cs="仿宋"/>
          <w:sz w:val="30"/>
          <w:szCs w:val="30"/>
          <w:highlight w:val="none"/>
        </w:rPr>
      </w:pPr>
      <w:r>
        <w:rPr>
          <w:rFonts w:hint="eastAsia" w:ascii="仿宋" w:hAnsi="仿宋" w:eastAsia="仿宋" w:cs="仿宋"/>
          <w:sz w:val="30"/>
          <w:szCs w:val="30"/>
          <w:highlight w:val="none"/>
        </w:rPr>
        <w:t>（1）制度执行有效性(5分）</w:t>
      </w:r>
    </w:p>
    <w:p>
      <w:pPr>
        <w:spacing w:line="560" w:lineRule="exact"/>
        <w:ind w:firstLine="600" w:firstLineChars="200"/>
        <w:jc w:val="left"/>
        <w:rPr>
          <w:rFonts w:ascii="仿宋" w:hAnsi="仿宋" w:eastAsia="仿宋" w:cs="仿宋"/>
          <w:sz w:val="30"/>
          <w:szCs w:val="30"/>
          <w:highlight w:val="none"/>
        </w:rPr>
      </w:pPr>
      <w:r>
        <w:rPr>
          <w:rFonts w:hint="eastAsia" w:ascii="仿宋" w:hAnsi="仿宋" w:eastAsia="仿宋" w:cs="仿宋"/>
          <w:sz w:val="30"/>
          <w:szCs w:val="30"/>
          <w:highlight w:val="none"/>
        </w:rPr>
        <w:t>该指标主要评价该项目是否项目实施是否符合相关管理规定，用以反映和考核相关管理制度的有效执行情况。</w:t>
      </w:r>
    </w:p>
    <w:p>
      <w:pPr>
        <w:spacing w:line="560" w:lineRule="exact"/>
        <w:ind w:firstLine="600" w:firstLineChars="200"/>
        <w:jc w:val="left"/>
        <w:rPr>
          <w:rFonts w:ascii="仿宋" w:hAnsi="仿宋" w:eastAsia="仿宋" w:cs="仿宋"/>
          <w:sz w:val="30"/>
          <w:szCs w:val="30"/>
          <w:highlight w:val="none"/>
        </w:rPr>
      </w:pPr>
      <w:r>
        <w:rPr>
          <w:rFonts w:hint="eastAsia" w:ascii="仿宋" w:hAnsi="仿宋" w:eastAsia="仿宋" w:cs="仿宋"/>
          <w:sz w:val="30"/>
          <w:szCs w:val="30"/>
          <w:highlight w:val="none"/>
        </w:rPr>
        <w:t>经检查，该项目按照河北省财政厅、河北省教育厅关于印发《河北省城乡义务教育补助经费管理办法》的通知（冀财规〔2021〕12号）的相关规定执行。</w:t>
      </w:r>
    </w:p>
    <w:p>
      <w:pPr>
        <w:spacing w:line="560" w:lineRule="exact"/>
        <w:ind w:firstLine="600" w:firstLineChars="200"/>
        <w:jc w:val="left"/>
        <w:rPr>
          <w:rFonts w:eastAsia="仿宋"/>
          <w:highlight w:val="none"/>
        </w:rPr>
      </w:pPr>
      <w:r>
        <w:rPr>
          <w:rFonts w:hint="eastAsia" w:ascii="仿宋" w:hAnsi="仿宋" w:eastAsia="仿宋" w:cs="仿宋"/>
          <w:sz w:val="30"/>
          <w:szCs w:val="30"/>
          <w:highlight w:val="none"/>
        </w:rPr>
        <w:t>该指标实际得分5分。</w:t>
      </w:r>
    </w:p>
    <w:p>
      <w:pPr>
        <w:spacing w:line="560" w:lineRule="exact"/>
        <w:ind w:firstLine="600" w:firstLineChars="200"/>
        <w:jc w:val="left"/>
        <w:rPr>
          <w:rFonts w:ascii="仿宋" w:hAnsi="仿宋" w:eastAsia="仿宋" w:cs="仿宋"/>
          <w:sz w:val="30"/>
          <w:szCs w:val="30"/>
          <w:highlight w:val="none"/>
        </w:rPr>
      </w:pPr>
      <w:r>
        <w:rPr>
          <w:rFonts w:hint="eastAsia" w:ascii="仿宋" w:hAnsi="仿宋" w:eastAsia="仿宋" w:cs="仿宋"/>
          <w:sz w:val="30"/>
          <w:szCs w:val="30"/>
          <w:highlight w:val="none"/>
        </w:rPr>
        <w:t>（2）公开公示(5分）</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rPr>
      </w:pPr>
      <w:r>
        <w:rPr>
          <w:rFonts w:hint="eastAsia" w:ascii="仿宋" w:hAnsi="仿宋" w:eastAsia="仿宋" w:cs="仿宋"/>
          <w:sz w:val="30"/>
          <w:szCs w:val="30"/>
          <w:highlight w:val="none"/>
        </w:rPr>
        <w:t>该指标主要评价该项目是否按相关文件要求建立了公开公示制度并按照规定进行了公示。</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lang w:eastAsia="zh-CN"/>
        </w:rPr>
      </w:pPr>
      <w:r>
        <w:rPr>
          <w:rFonts w:hint="eastAsia" w:ascii="仿宋" w:hAnsi="仿宋" w:eastAsia="仿宋" w:cs="仿宋"/>
          <w:sz w:val="30"/>
          <w:szCs w:val="30"/>
          <w:highlight w:val="none"/>
        </w:rPr>
        <w:t>经检查， 该项目</w:t>
      </w:r>
      <w:r>
        <w:rPr>
          <w:rFonts w:hint="eastAsia" w:ascii="仿宋" w:hAnsi="仿宋" w:eastAsia="仿宋" w:cs="仿宋"/>
          <w:sz w:val="30"/>
          <w:szCs w:val="30"/>
          <w:highlight w:val="none"/>
          <w:lang w:val="en-US" w:eastAsia="zh-CN"/>
        </w:rPr>
        <w:t>资金发放对象均为特岗教师，特岗教师身份认定时已按要求进行了公开公示</w:t>
      </w:r>
      <w:r>
        <w:rPr>
          <w:rFonts w:hint="eastAsia" w:ascii="仿宋" w:hAnsi="仿宋" w:eastAsia="仿宋" w:cs="仿宋"/>
          <w:sz w:val="30"/>
          <w:szCs w:val="30"/>
          <w:highlight w:val="none"/>
          <w:lang w:eastAsia="zh-CN"/>
        </w:rPr>
        <w:t>。</w:t>
      </w:r>
    </w:p>
    <w:p>
      <w:pPr>
        <w:spacing w:line="560" w:lineRule="exact"/>
        <w:ind w:firstLine="600" w:firstLineChars="200"/>
        <w:jc w:val="left"/>
        <w:rPr>
          <w:rFonts w:ascii="仿宋" w:hAnsi="仿宋" w:eastAsia="仿宋" w:cs="仿宋"/>
          <w:sz w:val="30"/>
          <w:szCs w:val="30"/>
          <w:highlight w:val="none"/>
        </w:rPr>
      </w:pPr>
      <w:r>
        <w:rPr>
          <w:rFonts w:hint="eastAsia" w:ascii="仿宋" w:hAnsi="仿宋" w:eastAsia="仿宋" w:cs="仿宋"/>
          <w:sz w:val="30"/>
          <w:szCs w:val="30"/>
          <w:highlight w:val="none"/>
        </w:rPr>
        <w:t>该指标实际得分5分。</w:t>
      </w:r>
    </w:p>
    <w:p>
      <w:pPr>
        <w:spacing w:line="560" w:lineRule="exact"/>
        <w:ind w:firstLine="600" w:firstLineChars="200"/>
        <w:jc w:val="left"/>
        <w:rPr>
          <w:rFonts w:ascii="仿宋" w:hAnsi="仿宋" w:eastAsia="仿宋" w:cs="仿宋"/>
          <w:sz w:val="30"/>
          <w:szCs w:val="30"/>
          <w:highlight w:val="none"/>
        </w:rPr>
      </w:pPr>
      <w:r>
        <w:rPr>
          <w:rFonts w:hint="eastAsia" w:ascii="仿宋" w:hAnsi="仿宋" w:eastAsia="仿宋" w:cs="仿宋"/>
          <w:sz w:val="30"/>
          <w:szCs w:val="30"/>
          <w:highlight w:val="none"/>
        </w:rPr>
        <w:t>（</w:t>
      </w:r>
      <w:r>
        <w:rPr>
          <w:rFonts w:hint="eastAsia" w:ascii="仿宋" w:hAnsi="仿宋" w:eastAsia="仿宋" w:cs="仿宋"/>
          <w:sz w:val="30"/>
          <w:szCs w:val="30"/>
          <w:highlight w:val="none"/>
          <w:lang w:val="en-US" w:eastAsia="zh-CN"/>
        </w:rPr>
        <w:t>3</w:t>
      </w:r>
      <w:r>
        <w:rPr>
          <w:rFonts w:hint="eastAsia" w:ascii="仿宋" w:hAnsi="仿宋" w:eastAsia="仿宋" w:cs="仿宋"/>
          <w:sz w:val="30"/>
          <w:szCs w:val="30"/>
          <w:highlight w:val="none"/>
        </w:rPr>
        <w:t>）项目档案资料完整性（5分）</w:t>
      </w:r>
    </w:p>
    <w:p>
      <w:pPr>
        <w:spacing w:line="560" w:lineRule="exact"/>
        <w:ind w:firstLine="600" w:firstLineChars="200"/>
        <w:jc w:val="left"/>
        <w:rPr>
          <w:rFonts w:ascii="仿宋" w:hAnsi="仿宋" w:eastAsia="仿宋" w:cs="仿宋"/>
          <w:sz w:val="30"/>
          <w:szCs w:val="30"/>
          <w:highlight w:val="none"/>
        </w:rPr>
      </w:pPr>
      <w:r>
        <w:rPr>
          <w:rFonts w:hint="eastAsia" w:ascii="仿宋" w:hAnsi="仿宋" w:eastAsia="仿宋" w:cs="仿宋"/>
          <w:sz w:val="30"/>
          <w:szCs w:val="30"/>
          <w:highlight w:val="none"/>
        </w:rPr>
        <w:t>该指标主要评价项目项目档案资料是否齐全、完备，保存是否完整。</w:t>
      </w:r>
    </w:p>
    <w:p>
      <w:pPr>
        <w:spacing w:line="560" w:lineRule="exact"/>
        <w:ind w:firstLine="600" w:firstLineChars="200"/>
        <w:jc w:val="left"/>
        <w:rPr>
          <w:rFonts w:ascii="仿宋" w:hAnsi="仿宋" w:eastAsia="仿宋" w:cs="仿宋"/>
          <w:sz w:val="30"/>
          <w:szCs w:val="30"/>
          <w:highlight w:val="none"/>
        </w:rPr>
      </w:pPr>
      <w:r>
        <w:rPr>
          <w:rFonts w:hint="eastAsia" w:ascii="仿宋" w:hAnsi="仿宋" w:eastAsia="仿宋" w:cs="仿宋"/>
          <w:sz w:val="30"/>
          <w:szCs w:val="30"/>
          <w:highlight w:val="none"/>
        </w:rPr>
        <w:t>经检查，该项目档案资料齐全、完备，保存完整。</w:t>
      </w:r>
    </w:p>
    <w:p>
      <w:pPr>
        <w:spacing w:line="560" w:lineRule="exact"/>
        <w:ind w:firstLine="600" w:firstLineChars="200"/>
        <w:jc w:val="left"/>
        <w:rPr>
          <w:rFonts w:ascii="仿宋" w:hAnsi="仿宋" w:eastAsia="仿宋" w:cs="仿宋"/>
          <w:sz w:val="30"/>
          <w:szCs w:val="30"/>
          <w:highlight w:val="none"/>
        </w:rPr>
      </w:pPr>
      <w:r>
        <w:rPr>
          <w:rFonts w:hint="eastAsia" w:ascii="仿宋" w:hAnsi="仿宋" w:eastAsia="仿宋" w:cs="仿宋"/>
          <w:sz w:val="30"/>
          <w:szCs w:val="30"/>
          <w:highlight w:val="none"/>
        </w:rPr>
        <w:t>该指标实际得5分。</w:t>
      </w:r>
    </w:p>
    <w:p>
      <w:pPr>
        <w:pStyle w:val="4"/>
        <w:spacing w:before="0" w:after="0" w:line="560" w:lineRule="exact"/>
        <w:ind w:firstLine="600" w:firstLineChars="200"/>
        <w:rPr>
          <w:rFonts w:ascii="仿宋" w:hAnsi="仿宋" w:eastAsia="仿宋" w:cs="仿宋"/>
          <w:sz w:val="30"/>
          <w:szCs w:val="30"/>
          <w:highlight w:val="none"/>
        </w:rPr>
      </w:pPr>
      <w:bookmarkStart w:id="48" w:name="_Toc21112"/>
      <w:bookmarkStart w:id="49" w:name="_Toc83631045"/>
      <w:bookmarkStart w:id="50" w:name="_Toc83630335"/>
      <w:bookmarkStart w:id="51" w:name="_Toc6507"/>
      <w:bookmarkStart w:id="52" w:name="_Toc30993"/>
      <w:r>
        <w:rPr>
          <w:rFonts w:hint="eastAsia" w:ascii="仿宋" w:hAnsi="仿宋" w:eastAsia="仿宋" w:cs="仿宋"/>
          <w:b w:val="0"/>
          <w:bCs w:val="0"/>
          <w:sz w:val="30"/>
          <w:szCs w:val="30"/>
          <w:highlight w:val="none"/>
        </w:rPr>
        <w:t>（三）项目产出（</w:t>
      </w:r>
      <w:r>
        <w:rPr>
          <w:rFonts w:hint="eastAsia" w:ascii="仿宋" w:hAnsi="仿宋" w:eastAsia="仿宋" w:cs="仿宋"/>
          <w:b w:val="0"/>
          <w:bCs w:val="0"/>
          <w:sz w:val="30"/>
          <w:szCs w:val="30"/>
          <w:highlight w:val="none"/>
          <w:lang w:val="en-US" w:eastAsia="zh-CN"/>
        </w:rPr>
        <w:t>30</w:t>
      </w:r>
      <w:r>
        <w:rPr>
          <w:rFonts w:hint="eastAsia" w:ascii="仿宋" w:hAnsi="仿宋" w:eastAsia="仿宋" w:cs="仿宋"/>
          <w:b w:val="0"/>
          <w:bCs w:val="0"/>
          <w:sz w:val="30"/>
          <w:szCs w:val="30"/>
          <w:highlight w:val="none"/>
        </w:rPr>
        <w:t>分）</w:t>
      </w:r>
      <w:bookmarkEnd w:id="48"/>
      <w:bookmarkEnd w:id="49"/>
      <w:bookmarkEnd w:id="50"/>
      <w:bookmarkEnd w:id="51"/>
      <w:bookmarkEnd w:id="52"/>
    </w:p>
    <w:p>
      <w:pPr>
        <w:spacing w:line="560" w:lineRule="exact"/>
        <w:ind w:firstLine="600" w:firstLineChars="200"/>
        <w:jc w:val="left"/>
        <w:rPr>
          <w:rFonts w:ascii="仿宋" w:hAnsi="仿宋" w:eastAsia="仿宋" w:cs="仿宋"/>
          <w:sz w:val="30"/>
          <w:szCs w:val="30"/>
          <w:highlight w:val="none"/>
        </w:rPr>
      </w:pPr>
      <w:r>
        <w:rPr>
          <w:rFonts w:hint="eastAsia" w:ascii="仿宋" w:hAnsi="仿宋" w:eastAsia="仿宋" w:cs="仿宋"/>
          <w:sz w:val="30"/>
          <w:szCs w:val="30"/>
          <w:highlight w:val="none"/>
        </w:rPr>
        <w:t>该一级指标包含2个二级指标</w:t>
      </w:r>
      <w:r>
        <w:rPr>
          <w:rFonts w:hint="eastAsia" w:ascii="仿宋" w:hAnsi="仿宋" w:eastAsia="仿宋" w:cs="仿宋"/>
          <w:sz w:val="30"/>
          <w:szCs w:val="30"/>
          <w:highlight w:val="none"/>
          <w:lang w:val="en-US" w:eastAsia="zh-CN"/>
        </w:rPr>
        <w:t>3</w:t>
      </w:r>
      <w:r>
        <w:rPr>
          <w:rFonts w:hint="eastAsia" w:ascii="仿宋" w:hAnsi="仿宋" w:eastAsia="仿宋" w:cs="仿宋"/>
          <w:sz w:val="30"/>
          <w:szCs w:val="30"/>
          <w:highlight w:val="none"/>
        </w:rPr>
        <w:t>个三级指标，主要为</w:t>
      </w:r>
      <w:r>
        <w:rPr>
          <w:rFonts w:hint="eastAsia" w:ascii="仿宋" w:hAnsi="仿宋" w:eastAsia="仿宋" w:cs="仿宋"/>
          <w:sz w:val="30"/>
          <w:szCs w:val="30"/>
          <w:highlight w:val="none"/>
          <w:lang w:val="en-US" w:eastAsia="zh-CN"/>
        </w:rPr>
        <w:t>2</w:t>
      </w:r>
      <w:r>
        <w:rPr>
          <w:rFonts w:hint="eastAsia" w:ascii="仿宋" w:hAnsi="仿宋" w:eastAsia="仿宋" w:cs="仿宋"/>
          <w:sz w:val="30"/>
          <w:szCs w:val="30"/>
          <w:highlight w:val="none"/>
        </w:rPr>
        <w:t>个数量指标：保障人数、人员经费发放到位率；1个时效指标：资金支付及时性</w:t>
      </w:r>
      <w:r>
        <w:rPr>
          <w:rFonts w:hint="eastAsia" w:ascii="仿宋" w:hAnsi="仿宋" w:eastAsia="仿宋" w:cs="仿宋"/>
          <w:sz w:val="30"/>
          <w:szCs w:val="30"/>
          <w:highlight w:val="none"/>
          <w:lang w:eastAsia="zh-CN"/>
        </w:rPr>
        <w:t>，</w:t>
      </w:r>
      <w:r>
        <w:rPr>
          <w:rFonts w:hint="eastAsia" w:ascii="仿宋" w:hAnsi="仿宋" w:eastAsia="仿宋" w:cs="仿宋"/>
          <w:sz w:val="30"/>
          <w:szCs w:val="30"/>
          <w:highlight w:val="none"/>
          <w:lang w:val="en-US" w:eastAsia="zh-CN"/>
        </w:rPr>
        <w:t>考核项目实际产出</w:t>
      </w:r>
      <w:r>
        <w:rPr>
          <w:rFonts w:hint="eastAsia" w:ascii="仿宋" w:hAnsi="仿宋" w:eastAsia="仿宋" w:cs="仿宋"/>
          <w:sz w:val="30"/>
          <w:szCs w:val="30"/>
          <w:highlight w:val="none"/>
        </w:rPr>
        <w:t>是否达到绩效目标的预期指标值。</w:t>
      </w:r>
    </w:p>
    <w:tbl>
      <w:tblPr>
        <w:tblStyle w:val="12"/>
        <w:tblW w:w="4996" w:type="pct"/>
        <w:jc w:val="center"/>
        <w:tblLayout w:type="autofit"/>
        <w:tblCellMar>
          <w:top w:w="15" w:type="dxa"/>
          <w:left w:w="15" w:type="dxa"/>
          <w:bottom w:w="15" w:type="dxa"/>
          <w:right w:w="15" w:type="dxa"/>
        </w:tblCellMar>
      </w:tblPr>
      <w:tblGrid>
        <w:gridCol w:w="1672"/>
        <w:gridCol w:w="1447"/>
        <w:gridCol w:w="3992"/>
        <w:gridCol w:w="1463"/>
        <w:gridCol w:w="1086"/>
      </w:tblGrid>
      <w:tr>
        <w:tblPrEx>
          <w:tblCellMar>
            <w:top w:w="15" w:type="dxa"/>
            <w:left w:w="15" w:type="dxa"/>
            <w:bottom w:w="15" w:type="dxa"/>
            <w:right w:w="15" w:type="dxa"/>
          </w:tblCellMar>
        </w:tblPrEx>
        <w:trPr>
          <w:trHeight w:val="786" w:hRule="exact"/>
          <w:jc w:val="center"/>
        </w:trPr>
        <w:tc>
          <w:tcPr>
            <w:tcW w:w="865" w:type="pct"/>
            <w:tcBorders>
              <w:top w:val="single" w:color="000000" w:sz="4" w:space="0"/>
              <w:left w:val="single" w:color="000000" w:sz="4" w:space="0"/>
              <w:bottom w:val="single" w:color="auto" w:sz="4" w:space="0"/>
              <w:right w:val="single" w:color="000000" w:sz="4" w:space="0"/>
            </w:tcBorders>
            <w:vAlign w:val="center"/>
          </w:tcPr>
          <w:p>
            <w:pPr>
              <w:widowControl/>
              <w:spacing w:line="560" w:lineRule="exact"/>
              <w:jc w:val="center"/>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rPr>
              <w:t>一级指标</w:t>
            </w:r>
          </w:p>
        </w:tc>
        <w:tc>
          <w:tcPr>
            <w:tcW w:w="749" w:type="pct"/>
            <w:tcBorders>
              <w:top w:val="single" w:color="000000" w:sz="4" w:space="0"/>
              <w:left w:val="single" w:color="000000" w:sz="4" w:space="0"/>
              <w:bottom w:val="single" w:color="auto" w:sz="4" w:space="0"/>
              <w:right w:val="single" w:color="000000" w:sz="4" w:space="0"/>
            </w:tcBorders>
            <w:vAlign w:val="center"/>
          </w:tcPr>
          <w:p>
            <w:pPr>
              <w:widowControl/>
              <w:spacing w:line="560" w:lineRule="exact"/>
              <w:jc w:val="center"/>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rPr>
              <w:t>二级指标</w:t>
            </w:r>
          </w:p>
        </w:tc>
        <w:tc>
          <w:tcPr>
            <w:tcW w:w="2064" w:type="pct"/>
            <w:tcBorders>
              <w:top w:val="single" w:color="000000" w:sz="4" w:space="0"/>
              <w:left w:val="single" w:color="000000" w:sz="4" w:space="0"/>
              <w:bottom w:val="single" w:color="auto" w:sz="4" w:space="0"/>
              <w:right w:val="single" w:color="000000" w:sz="4" w:space="0"/>
            </w:tcBorders>
            <w:vAlign w:val="center"/>
          </w:tcPr>
          <w:p>
            <w:pPr>
              <w:widowControl/>
              <w:spacing w:line="560" w:lineRule="exact"/>
              <w:jc w:val="center"/>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rPr>
              <w:t>三级指标</w:t>
            </w:r>
          </w:p>
        </w:tc>
        <w:tc>
          <w:tcPr>
            <w:tcW w:w="757" w:type="pct"/>
            <w:tcBorders>
              <w:top w:val="single" w:color="000000" w:sz="4" w:space="0"/>
              <w:left w:val="single" w:color="000000" w:sz="4" w:space="0"/>
              <w:bottom w:val="single" w:color="auto" w:sz="4" w:space="0"/>
              <w:right w:val="single" w:color="000000" w:sz="4" w:space="0"/>
            </w:tcBorders>
            <w:vAlign w:val="center"/>
          </w:tcPr>
          <w:p>
            <w:pPr>
              <w:widowControl/>
              <w:spacing w:line="560" w:lineRule="exact"/>
              <w:jc w:val="center"/>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rPr>
              <w:t>分数权重</w:t>
            </w:r>
          </w:p>
        </w:tc>
        <w:tc>
          <w:tcPr>
            <w:tcW w:w="562" w:type="pct"/>
            <w:tcBorders>
              <w:top w:val="single" w:color="000000" w:sz="4" w:space="0"/>
              <w:left w:val="single" w:color="000000" w:sz="4" w:space="0"/>
              <w:bottom w:val="single" w:color="auto" w:sz="4" w:space="0"/>
              <w:right w:val="single" w:color="000000" w:sz="4" w:space="0"/>
            </w:tcBorders>
            <w:vAlign w:val="center"/>
          </w:tcPr>
          <w:p>
            <w:pPr>
              <w:widowControl/>
              <w:spacing w:line="560" w:lineRule="exact"/>
              <w:jc w:val="center"/>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rPr>
              <w:t>得分</w:t>
            </w:r>
          </w:p>
        </w:tc>
      </w:tr>
      <w:tr>
        <w:tblPrEx>
          <w:tblCellMar>
            <w:top w:w="15" w:type="dxa"/>
            <w:left w:w="15" w:type="dxa"/>
            <w:bottom w:w="15" w:type="dxa"/>
            <w:right w:w="15" w:type="dxa"/>
          </w:tblCellMar>
        </w:tblPrEx>
        <w:trPr>
          <w:trHeight w:val="676" w:hRule="exact"/>
          <w:jc w:val="center"/>
        </w:trPr>
        <w:tc>
          <w:tcPr>
            <w:tcW w:w="865" w:type="pct"/>
            <w:vMerge w:val="restart"/>
            <w:tcBorders>
              <w:top w:val="single" w:color="auto" w:sz="4" w:space="0"/>
              <w:left w:val="single" w:color="auto" w:sz="4" w:space="0"/>
              <w:right w:val="single" w:color="000000" w:sz="4" w:space="0"/>
            </w:tcBorders>
            <w:vAlign w:val="center"/>
          </w:tcPr>
          <w:p>
            <w:pPr>
              <w:widowControl/>
              <w:spacing w:line="560" w:lineRule="exact"/>
              <w:jc w:val="center"/>
              <w:textAlignment w:val="center"/>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项目产出</w:t>
            </w:r>
          </w:p>
          <w:p>
            <w:pPr>
              <w:widowControl/>
              <w:spacing w:line="560" w:lineRule="exact"/>
              <w:jc w:val="center"/>
              <w:textAlignment w:val="center"/>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w:t>
            </w:r>
            <w:r>
              <w:rPr>
                <w:rFonts w:hint="eastAsia" w:ascii="仿宋" w:hAnsi="仿宋" w:eastAsia="仿宋" w:cs="仿宋"/>
                <w:color w:val="000000"/>
                <w:kern w:val="0"/>
                <w:sz w:val="24"/>
                <w:szCs w:val="24"/>
                <w:highlight w:val="none"/>
                <w:lang w:val="en-US" w:eastAsia="zh-CN"/>
              </w:rPr>
              <w:t>30</w:t>
            </w:r>
            <w:r>
              <w:rPr>
                <w:rFonts w:hint="eastAsia" w:ascii="仿宋" w:hAnsi="仿宋" w:eastAsia="仿宋" w:cs="仿宋"/>
                <w:color w:val="000000"/>
                <w:kern w:val="0"/>
                <w:sz w:val="24"/>
                <w:szCs w:val="24"/>
                <w:highlight w:val="none"/>
              </w:rPr>
              <w:t>分）</w:t>
            </w:r>
          </w:p>
        </w:tc>
        <w:tc>
          <w:tcPr>
            <w:tcW w:w="749" w:type="pct"/>
            <w:vMerge w:val="restart"/>
            <w:tcBorders>
              <w:top w:val="single" w:color="auto" w:sz="4" w:space="0"/>
              <w:left w:val="single" w:color="000000" w:sz="4" w:space="0"/>
              <w:bottom w:val="single" w:color="000000" w:sz="4" w:space="0"/>
              <w:right w:val="single" w:color="auto" w:sz="4" w:space="0"/>
            </w:tcBorders>
            <w:vAlign w:val="center"/>
          </w:tcPr>
          <w:p>
            <w:pPr>
              <w:widowControl/>
              <w:spacing w:line="560" w:lineRule="exact"/>
              <w:jc w:val="center"/>
              <w:textAlignment w:val="center"/>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数量指标</w:t>
            </w:r>
          </w:p>
        </w:tc>
        <w:tc>
          <w:tcPr>
            <w:tcW w:w="2064" w:type="pct"/>
            <w:tcBorders>
              <w:top w:val="single" w:color="auto" w:sz="4" w:space="0"/>
              <w:left w:val="single" w:color="auto" w:sz="4" w:space="0"/>
              <w:bottom w:val="single" w:color="000000" w:sz="4" w:space="0"/>
              <w:right w:val="single" w:color="000000" w:sz="4" w:space="0"/>
            </w:tcBorders>
            <w:vAlign w:val="center"/>
          </w:tcPr>
          <w:p>
            <w:pPr>
              <w:widowControl/>
              <w:spacing w:line="560" w:lineRule="exact"/>
              <w:jc w:val="center"/>
              <w:textAlignment w:val="center"/>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保障人数</w:t>
            </w:r>
          </w:p>
        </w:tc>
        <w:tc>
          <w:tcPr>
            <w:tcW w:w="757" w:type="pct"/>
            <w:tcBorders>
              <w:top w:val="single" w:color="auto" w:sz="4" w:space="0"/>
              <w:left w:val="single" w:color="000000" w:sz="4" w:space="0"/>
              <w:bottom w:val="single" w:color="000000" w:sz="4" w:space="0"/>
              <w:right w:val="single" w:color="000000" w:sz="4" w:space="0"/>
            </w:tcBorders>
            <w:vAlign w:val="center"/>
          </w:tcPr>
          <w:p>
            <w:pPr>
              <w:widowControl/>
              <w:spacing w:line="560" w:lineRule="exact"/>
              <w:jc w:val="center"/>
              <w:textAlignment w:val="cente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10</w:t>
            </w:r>
          </w:p>
        </w:tc>
        <w:tc>
          <w:tcPr>
            <w:tcW w:w="562" w:type="pct"/>
            <w:tcBorders>
              <w:top w:val="single" w:color="auto" w:sz="4" w:space="0"/>
              <w:left w:val="single" w:color="000000" w:sz="4" w:space="0"/>
              <w:bottom w:val="single" w:color="000000" w:sz="4" w:space="0"/>
              <w:right w:val="single" w:color="auto" w:sz="4" w:space="0"/>
            </w:tcBorders>
            <w:vAlign w:val="center"/>
          </w:tcPr>
          <w:p>
            <w:pPr>
              <w:widowControl/>
              <w:spacing w:line="560" w:lineRule="exact"/>
              <w:jc w:val="center"/>
              <w:textAlignment w:val="cente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10</w:t>
            </w:r>
          </w:p>
        </w:tc>
      </w:tr>
      <w:tr>
        <w:tblPrEx>
          <w:tblCellMar>
            <w:top w:w="15" w:type="dxa"/>
            <w:left w:w="15" w:type="dxa"/>
            <w:bottom w:w="15" w:type="dxa"/>
            <w:right w:w="15" w:type="dxa"/>
          </w:tblCellMar>
        </w:tblPrEx>
        <w:trPr>
          <w:trHeight w:val="730" w:hRule="exact"/>
          <w:jc w:val="center"/>
        </w:trPr>
        <w:tc>
          <w:tcPr>
            <w:tcW w:w="865" w:type="pct"/>
            <w:vMerge w:val="continue"/>
            <w:tcBorders>
              <w:left w:val="single" w:color="auto" w:sz="4" w:space="0"/>
              <w:bottom w:val="single" w:color="auto" w:sz="4" w:space="0"/>
              <w:right w:val="single" w:color="000000" w:sz="4" w:space="0"/>
            </w:tcBorders>
            <w:vAlign w:val="center"/>
          </w:tcPr>
          <w:p>
            <w:pPr>
              <w:widowControl/>
              <w:spacing w:line="560" w:lineRule="exact"/>
              <w:jc w:val="center"/>
              <w:textAlignment w:val="center"/>
              <w:rPr>
                <w:rFonts w:hint="eastAsia" w:ascii="仿宋" w:hAnsi="仿宋" w:eastAsia="仿宋" w:cs="仿宋"/>
                <w:color w:val="000000"/>
                <w:kern w:val="0"/>
                <w:sz w:val="24"/>
                <w:szCs w:val="24"/>
                <w:highlight w:val="none"/>
              </w:rPr>
            </w:pPr>
          </w:p>
        </w:tc>
        <w:tc>
          <w:tcPr>
            <w:tcW w:w="749" w:type="pct"/>
            <w:vMerge w:val="continue"/>
            <w:tcBorders>
              <w:top w:val="single" w:color="000000" w:sz="4" w:space="0"/>
              <w:left w:val="single" w:color="000000" w:sz="4" w:space="0"/>
              <w:bottom w:val="single" w:color="auto" w:sz="4" w:space="0"/>
              <w:right w:val="single" w:color="auto" w:sz="4" w:space="0"/>
            </w:tcBorders>
            <w:vAlign w:val="center"/>
          </w:tcPr>
          <w:p>
            <w:pPr>
              <w:widowControl/>
              <w:spacing w:line="560" w:lineRule="exact"/>
              <w:jc w:val="center"/>
              <w:textAlignment w:val="center"/>
              <w:rPr>
                <w:rFonts w:hint="eastAsia" w:ascii="仿宋" w:hAnsi="仿宋" w:eastAsia="仿宋" w:cs="仿宋"/>
                <w:color w:val="000000"/>
                <w:kern w:val="0"/>
                <w:sz w:val="24"/>
                <w:szCs w:val="24"/>
                <w:highlight w:val="none"/>
              </w:rPr>
            </w:pPr>
          </w:p>
        </w:tc>
        <w:tc>
          <w:tcPr>
            <w:tcW w:w="2064" w:type="pct"/>
            <w:tcBorders>
              <w:top w:val="single" w:color="000000" w:sz="4" w:space="0"/>
              <w:left w:val="single" w:color="auto" w:sz="4" w:space="0"/>
              <w:bottom w:val="single" w:color="auto" w:sz="4" w:space="0"/>
              <w:right w:val="single" w:color="000000" w:sz="4" w:space="0"/>
            </w:tcBorders>
            <w:vAlign w:val="center"/>
          </w:tcPr>
          <w:p>
            <w:pPr>
              <w:widowControl/>
              <w:spacing w:line="560" w:lineRule="exact"/>
              <w:jc w:val="center"/>
              <w:textAlignment w:val="center"/>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人员经费发放到位率</w:t>
            </w:r>
          </w:p>
        </w:tc>
        <w:tc>
          <w:tcPr>
            <w:tcW w:w="757" w:type="pct"/>
            <w:tcBorders>
              <w:top w:val="single" w:color="000000" w:sz="4" w:space="0"/>
              <w:left w:val="single" w:color="000000" w:sz="4" w:space="0"/>
              <w:bottom w:val="single" w:color="auto" w:sz="4" w:space="0"/>
              <w:right w:val="single" w:color="000000" w:sz="4" w:space="0"/>
            </w:tcBorders>
            <w:vAlign w:val="center"/>
          </w:tcPr>
          <w:p>
            <w:pPr>
              <w:widowControl/>
              <w:spacing w:line="560" w:lineRule="exact"/>
              <w:jc w:val="center"/>
              <w:textAlignment w:val="center"/>
              <w:rPr>
                <w:rFonts w:hint="default" w:ascii="仿宋" w:hAnsi="仿宋" w:eastAsia="仿宋" w:cs="仿宋"/>
                <w:color w:val="000000"/>
                <w:sz w:val="24"/>
                <w:szCs w:val="24"/>
                <w:highlight w:val="none"/>
                <w:lang w:val="en-US" w:eastAsia="zh-CN"/>
              </w:rPr>
            </w:pPr>
            <w:r>
              <w:rPr>
                <w:rFonts w:hint="eastAsia" w:ascii="仿宋" w:hAnsi="仿宋" w:eastAsia="仿宋" w:cs="仿宋"/>
                <w:color w:val="000000"/>
                <w:sz w:val="24"/>
                <w:szCs w:val="24"/>
                <w:highlight w:val="none"/>
                <w:lang w:val="en-US" w:eastAsia="zh-CN"/>
              </w:rPr>
              <w:t>10</w:t>
            </w:r>
          </w:p>
        </w:tc>
        <w:tc>
          <w:tcPr>
            <w:tcW w:w="562" w:type="pct"/>
            <w:tcBorders>
              <w:top w:val="single" w:color="000000" w:sz="4" w:space="0"/>
              <w:left w:val="single" w:color="000000" w:sz="4" w:space="0"/>
              <w:bottom w:val="single" w:color="auto" w:sz="4" w:space="0"/>
              <w:right w:val="single" w:color="auto" w:sz="4" w:space="0"/>
            </w:tcBorders>
            <w:vAlign w:val="center"/>
          </w:tcPr>
          <w:p>
            <w:pPr>
              <w:widowControl/>
              <w:spacing w:line="560" w:lineRule="exact"/>
              <w:jc w:val="center"/>
              <w:textAlignment w:val="cente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lang w:val="en-US" w:eastAsia="zh-CN"/>
              </w:rPr>
              <w:t>10</w:t>
            </w:r>
          </w:p>
        </w:tc>
      </w:tr>
      <w:tr>
        <w:tblPrEx>
          <w:tblCellMar>
            <w:top w:w="15" w:type="dxa"/>
            <w:left w:w="15" w:type="dxa"/>
            <w:bottom w:w="15" w:type="dxa"/>
            <w:right w:w="15" w:type="dxa"/>
          </w:tblCellMar>
        </w:tblPrEx>
        <w:trPr>
          <w:trHeight w:val="625" w:hRule="exact"/>
          <w:jc w:val="center"/>
        </w:trPr>
        <w:tc>
          <w:tcPr>
            <w:tcW w:w="865" w:type="pct"/>
            <w:vMerge w:val="continue"/>
            <w:tcBorders>
              <w:top w:val="single" w:color="auto" w:sz="4" w:space="0"/>
              <w:left w:val="single" w:color="auto" w:sz="4" w:space="0"/>
              <w:bottom w:val="single" w:color="auto" w:sz="4" w:space="0"/>
              <w:right w:val="single" w:color="000000" w:sz="4" w:space="0"/>
            </w:tcBorders>
            <w:vAlign w:val="center"/>
          </w:tcPr>
          <w:p>
            <w:pPr>
              <w:widowControl/>
              <w:spacing w:line="560" w:lineRule="exact"/>
              <w:jc w:val="center"/>
              <w:textAlignment w:val="center"/>
              <w:rPr>
                <w:rFonts w:hint="eastAsia" w:ascii="仿宋" w:hAnsi="仿宋" w:eastAsia="仿宋" w:cs="仿宋"/>
                <w:color w:val="000000"/>
                <w:kern w:val="0"/>
                <w:sz w:val="24"/>
                <w:szCs w:val="24"/>
                <w:highlight w:val="none"/>
              </w:rPr>
            </w:pPr>
          </w:p>
        </w:tc>
        <w:tc>
          <w:tcPr>
            <w:tcW w:w="749" w:type="pct"/>
            <w:tcBorders>
              <w:top w:val="single" w:color="auto" w:sz="4" w:space="0"/>
              <w:left w:val="single" w:color="000000" w:sz="4" w:space="0"/>
              <w:bottom w:val="single" w:color="auto" w:sz="4" w:space="0"/>
              <w:right w:val="single" w:color="auto" w:sz="4" w:space="0"/>
            </w:tcBorders>
            <w:vAlign w:val="center"/>
          </w:tcPr>
          <w:p>
            <w:pPr>
              <w:widowControl/>
              <w:spacing w:line="560" w:lineRule="exact"/>
              <w:jc w:val="center"/>
              <w:textAlignment w:val="center"/>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时效指标</w:t>
            </w:r>
          </w:p>
        </w:tc>
        <w:tc>
          <w:tcPr>
            <w:tcW w:w="2064" w:type="pct"/>
            <w:tcBorders>
              <w:top w:val="single" w:color="auto" w:sz="4" w:space="0"/>
              <w:left w:val="single" w:color="auto" w:sz="4" w:space="0"/>
              <w:bottom w:val="single" w:color="000000" w:sz="4" w:space="0"/>
              <w:right w:val="single" w:color="000000" w:sz="4" w:space="0"/>
            </w:tcBorders>
            <w:vAlign w:val="center"/>
          </w:tcPr>
          <w:p>
            <w:pPr>
              <w:widowControl/>
              <w:spacing w:line="560" w:lineRule="exact"/>
              <w:jc w:val="center"/>
              <w:textAlignment w:val="center"/>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资金支付及时性</w:t>
            </w:r>
          </w:p>
        </w:tc>
        <w:tc>
          <w:tcPr>
            <w:tcW w:w="757" w:type="pct"/>
            <w:tcBorders>
              <w:top w:val="single" w:color="auto" w:sz="4" w:space="0"/>
              <w:left w:val="single" w:color="000000" w:sz="4" w:space="0"/>
              <w:bottom w:val="single" w:color="000000" w:sz="4" w:space="0"/>
              <w:right w:val="single" w:color="000000" w:sz="4" w:space="0"/>
            </w:tcBorders>
            <w:vAlign w:val="center"/>
          </w:tcPr>
          <w:p>
            <w:pPr>
              <w:widowControl/>
              <w:spacing w:line="560" w:lineRule="exact"/>
              <w:jc w:val="center"/>
              <w:textAlignment w:val="center"/>
              <w:rPr>
                <w:rFonts w:hint="default" w:ascii="仿宋" w:hAnsi="仿宋" w:eastAsia="仿宋" w:cs="仿宋"/>
                <w:color w:val="000000"/>
                <w:kern w:val="0"/>
                <w:sz w:val="24"/>
                <w:szCs w:val="24"/>
                <w:highlight w:val="none"/>
                <w:lang w:val="en-US" w:eastAsia="zh-CN"/>
              </w:rPr>
            </w:pPr>
            <w:r>
              <w:rPr>
                <w:rFonts w:hint="eastAsia" w:ascii="仿宋" w:hAnsi="仿宋" w:eastAsia="仿宋" w:cs="仿宋"/>
                <w:color w:val="000000"/>
                <w:sz w:val="24"/>
                <w:szCs w:val="24"/>
                <w:highlight w:val="none"/>
                <w:lang w:val="en-US" w:eastAsia="zh-CN"/>
              </w:rPr>
              <w:t>10</w:t>
            </w:r>
          </w:p>
        </w:tc>
        <w:tc>
          <w:tcPr>
            <w:tcW w:w="562" w:type="pct"/>
            <w:tcBorders>
              <w:top w:val="single" w:color="auto" w:sz="4" w:space="0"/>
              <w:left w:val="single" w:color="000000" w:sz="4" w:space="0"/>
              <w:bottom w:val="single" w:color="000000" w:sz="4" w:space="0"/>
              <w:right w:val="single" w:color="000000" w:sz="4" w:space="0"/>
            </w:tcBorders>
            <w:vAlign w:val="center"/>
          </w:tcPr>
          <w:p>
            <w:pPr>
              <w:widowControl/>
              <w:spacing w:line="560" w:lineRule="exact"/>
              <w:jc w:val="center"/>
              <w:textAlignment w:val="cente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lang w:val="en-US" w:eastAsia="zh-CN"/>
              </w:rPr>
              <w:t>5</w:t>
            </w:r>
          </w:p>
        </w:tc>
      </w:tr>
      <w:tr>
        <w:tblPrEx>
          <w:tblCellMar>
            <w:top w:w="15" w:type="dxa"/>
            <w:left w:w="15" w:type="dxa"/>
            <w:bottom w:w="15" w:type="dxa"/>
            <w:right w:w="15" w:type="dxa"/>
          </w:tblCellMar>
        </w:tblPrEx>
        <w:trPr>
          <w:trHeight w:val="603" w:hRule="exact"/>
          <w:jc w:val="center"/>
        </w:trPr>
        <w:tc>
          <w:tcPr>
            <w:tcW w:w="3680" w:type="pct"/>
            <w:gridSpan w:val="3"/>
            <w:tcBorders>
              <w:top w:val="single" w:color="000000" w:sz="4" w:space="0"/>
              <w:left w:val="single" w:color="000000" w:sz="4" w:space="0"/>
              <w:bottom w:val="single" w:color="000000" w:sz="4" w:space="0"/>
              <w:right w:val="single" w:color="000000" w:sz="4" w:space="0"/>
            </w:tcBorders>
            <w:vAlign w:val="center"/>
          </w:tcPr>
          <w:p>
            <w:pPr>
              <w:widowControl/>
              <w:spacing w:line="560" w:lineRule="exact"/>
              <w:jc w:val="center"/>
              <w:textAlignment w:val="center"/>
              <w:rPr>
                <w:rFonts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合  计</w:t>
            </w:r>
          </w:p>
        </w:tc>
        <w:tc>
          <w:tcPr>
            <w:tcW w:w="757" w:type="pct"/>
            <w:tcBorders>
              <w:top w:val="single" w:color="000000" w:sz="4" w:space="0"/>
              <w:left w:val="single" w:color="000000" w:sz="4" w:space="0"/>
              <w:bottom w:val="single" w:color="000000" w:sz="4" w:space="0"/>
              <w:right w:val="single" w:color="000000" w:sz="4" w:space="0"/>
            </w:tcBorders>
            <w:vAlign w:val="center"/>
          </w:tcPr>
          <w:p>
            <w:pPr>
              <w:widowControl/>
              <w:spacing w:line="560" w:lineRule="exact"/>
              <w:jc w:val="center"/>
              <w:textAlignment w:val="center"/>
              <w:rPr>
                <w:rFonts w:hint="default" w:ascii="仿宋" w:hAnsi="仿宋" w:eastAsia="仿宋" w:cs="仿宋"/>
                <w:color w:val="000000"/>
                <w:kern w:val="0"/>
                <w:sz w:val="24"/>
                <w:szCs w:val="24"/>
                <w:highlight w:val="none"/>
                <w:lang w:val="en-US" w:eastAsia="zh-CN"/>
              </w:rPr>
            </w:pPr>
            <w:r>
              <w:rPr>
                <w:rFonts w:hint="eastAsia" w:ascii="仿宋" w:hAnsi="仿宋" w:eastAsia="仿宋" w:cs="仿宋"/>
                <w:color w:val="000000"/>
                <w:kern w:val="0"/>
                <w:sz w:val="24"/>
                <w:szCs w:val="24"/>
                <w:highlight w:val="none"/>
                <w:lang w:val="en-US" w:eastAsia="zh-CN"/>
              </w:rPr>
              <w:t>30</w:t>
            </w:r>
          </w:p>
        </w:tc>
        <w:tc>
          <w:tcPr>
            <w:tcW w:w="562" w:type="pct"/>
            <w:tcBorders>
              <w:top w:val="single" w:color="000000" w:sz="4" w:space="0"/>
              <w:left w:val="single" w:color="000000" w:sz="4" w:space="0"/>
              <w:bottom w:val="single" w:color="000000" w:sz="4" w:space="0"/>
              <w:right w:val="single" w:color="000000" w:sz="4" w:space="0"/>
            </w:tcBorders>
            <w:vAlign w:val="center"/>
          </w:tcPr>
          <w:p>
            <w:pPr>
              <w:widowControl/>
              <w:spacing w:line="560" w:lineRule="exact"/>
              <w:jc w:val="center"/>
              <w:textAlignment w:val="center"/>
              <w:rPr>
                <w:rFonts w:hint="default" w:ascii="仿宋" w:hAnsi="仿宋" w:eastAsia="仿宋" w:cs="仿宋"/>
                <w:color w:val="000000"/>
                <w:kern w:val="0"/>
                <w:sz w:val="24"/>
                <w:szCs w:val="24"/>
                <w:highlight w:val="none"/>
                <w:lang w:val="en-US"/>
              </w:rPr>
            </w:pPr>
            <w:r>
              <w:rPr>
                <w:rFonts w:hint="eastAsia" w:ascii="仿宋" w:hAnsi="仿宋" w:eastAsia="仿宋" w:cs="仿宋"/>
                <w:color w:val="000000"/>
                <w:kern w:val="0"/>
                <w:sz w:val="24"/>
                <w:szCs w:val="24"/>
                <w:highlight w:val="none"/>
                <w:lang w:val="en-US" w:eastAsia="zh-CN"/>
              </w:rPr>
              <w:t>25</w:t>
            </w:r>
          </w:p>
        </w:tc>
      </w:tr>
    </w:tbl>
    <w:p>
      <w:pPr>
        <w:spacing w:line="560" w:lineRule="exact"/>
        <w:ind w:firstLine="600" w:firstLineChars="200"/>
        <w:rPr>
          <w:rFonts w:ascii="仿宋" w:hAnsi="仿宋" w:eastAsia="仿宋" w:cs="仿宋"/>
          <w:sz w:val="30"/>
          <w:szCs w:val="30"/>
          <w:highlight w:val="none"/>
        </w:rPr>
      </w:pPr>
      <w:r>
        <w:rPr>
          <w:rFonts w:hint="eastAsia" w:ascii="仿宋" w:hAnsi="仿宋" w:eastAsia="仿宋" w:cs="仿宋"/>
          <w:sz w:val="30"/>
          <w:szCs w:val="30"/>
          <w:highlight w:val="none"/>
        </w:rPr>
        <w:t>1、保障人数（10分）</w:t>
      </w:r>
    </w:p>
    <w:p>
      <w:pPr>
        <w:spacing w:line="560" w:lineRule="exact"/>
        <w:ind w:firstLine="600" w:firstLineChars="200"/>
        <w:rPr>
          <w:rFonts w:ascii="仿宋" w:hAnsi="仿宋" w:eastAsia="仿宋" w:cs="仿宋"/>
          <w:sz w:val="30"/>
          <w:szCs w:val="30"/>
          <w:highlight w:val="none"/>
        </w:rPr>
      </w:pPr>
      <w:r>
        <w:rPr>
          <w:rFonts w:hint="eastAsia" w:ascii="仿宋" w:hAnsi="仿宋" w:eastAsia="仿宋" w:cs="仿宋"/>
          <w:sz w:val="30"/>
          <w:szCs w:val="30"/>
          <w:highlight w:val="none"/>
        </w:rPr>
        <w:t>该指标主要评价享受特岗教师工资待遇的教师人数</w:t>
      </w:r>
      <w:r>
        <w:rPr>
          <w:rFonts w:hint="eastAsia" w:ascii="仿宋" w:hAnsi="仿宋" w:eastAsia="仿宋" w:cs="仿宋"/>
          <w:sz w:val="30"/>
          <w:szCs w:val="30"/>
          <w:highlight w:val="none"/>
          <w:lang w:val="en-US" w:eastAsia="zh-CN"/>
        </w:rPr>
        <w:t>是否达到绩效目标</w:t>
      </w:r>
      <w:r>
        <w:rPr>
          <w:rFonts w:hint="eastAsia" w:ascii="仿宋" w:hAnsi="仿宋" w:eastAsia="仿宋" w:cs="仿宋"/>
          <w:sz w:val="30"/>
          <w:szCs w:val="30"/>
          <w:highlight w:val="none"/>
        </w:rPr>
        <w:t>。</w:t>
      </w:r>
    </w:p>
    <w:p>
      <w:pPr>
        <w:spacing w:line="560" w:lineRule="exact"/>
        <w:ind w:firstLine="600" w:firstLineChars="200"/>
        <w:rPr>
          <w:rFonts w:ascii="仿宋" w:hAnsi="仿宋" w:eastAsia="仿宋" w:cs="仿宋"/>
          <w:sz w:val="30"/>
          <w:szCs w:val="30"/>
          <w:highlight w:val="none"/>
        </w:rPr>
      </w:pPr>
      <w:r>
        <w:rPr>
          <w:rFonts w:hint="eastAsia" w:ascii="仿宋" w:hAnsi="仿宋" w:eastAsia="仿宋" w:cs="仿宋"/>
          <w:sz w:val="30"/>
          <w:szCs w:val="30"/>
          <w:highlight w:val="none"/>
          <w:lang w:val="en-US" w:eastAsia="zh-CN"/>
        </w:rPr>
        <w:t>该项目绩效目标表显示</w:t>
      </w:r>
      <w:r>
        <w:rPr>
          <w:rFonts w:hint="eastAsia" w:ascii="仿宋" w:hAnsi="仿宋" w:eastAsia="仿宋" w:cs="仿宋"/>
          <w:sz w:val="30"/>
          <w:szCs w:val="30"/>
          <w:highlight w:val="none"/>
        </w:rPr>
        <w:t>2022</w:t>
      </w:r>
      <w:r>
        <w:rPr>
          <w:rFonts w:hint="eastAsia" w:ascii="仿宋" w:hAnsi="仿宋" w:eastAsia="仿宋" w:cs="仿宋"/>
          <w:sz w:val="30"/>
          <w:szCs w:val="30"/>
          <w:highlight w:val="none"/>
          <w:lang w:val="en-US" w:eastAsia="zh-CN"/>
        </w:rPr>
        <w:t>年度计划发放人数≥850人，实际发放人数880人，完成了绩效目标</w:t>
      </w:r>
      <w:r>
        <w:rPr>
          <w:rFonts w:hint="eastAsia" w:ascii="仿宋" w:hAnsi="仿宋" w:eastAsia="仿宋" w:cs="仿宋"/>
          <w:sz w:val="30"/>
          <w:szCs w:val="30"/>
          <w:highlight w:val="none"/>
        </w:rPr>
        <w:t>。</w:t>
      </w:r>
    </w:p>
    <w:p>
      <w:pPr>
        <w:spacing w:line="560" w:lineRule="exact"/>
        <w:ind w:firstLine="600" w:firstLineChars="200"/>
        <w:rPr>
          <w:rFonts w:ascii="仿宋" w:hAnsi="仿宋" w:eastAsia="仿宋" w:cs="仿宋"/>
          <w:sz w:val="30"/>
          <w:szCs w:val="30"/>
          <w:highlight w:val="none"/>
        </w:rPr>
      </w:pPr>
      <w:r>
        <w:rPr>
          <w:rFonts w:hint="eastAsia" w:ascii="仿宋" w:hAnsi="仿宋" w:eastAsia="仿宋" w:cs="仿宋"/>
          <w:sz w:val="30"/>
          <w:szCs w:val="30"/>
          <w:highlight w:val="none"/>
        </w:rPr>
        <w:t>该项指标实际得10分。</w:t>
      </w:r>
    </w:p>
    <w:p>
      <w:pPr>
        <w:spacing w:line="560" w:lineRule="exact"/>
        <w:ind w:firstLine="600" w:firstLineChars="200"/>
        <w:rPr>
          <w:rFonts w:ascii="仿宋" w:hAnsi="仿宋" w:eastAsia="仿宋" w:cs="仿宋"/>
          <w:sz w:val="30"/>
          <w:szCs w:val="30"/>
          <w:highlight w:val="none"/>
        </w:rPr>
      </w:pPr>
      <w:r>
        <w:rPr>
          <w:rFonts w:hint="eastAsia" w:ascii="仿宋" w:hAnsi="仿宋" w:eastAsia="仿宋" w:cs="仿宋"/>
          <w:sz w:val="30"/>
          <w:szCs w:val="30"/>
          <w:highlight w:val="none"/>
        </w:rPr>
        <w:t>2、人员经费发放到位率（</w:t>
      </w:r>
      <w:r>
        <w:rPr>
          <w:rFonts w:hint="eastAsia" w:ascii="仿宋" w:hAnsi="仿宋" w:eastAsia="仿宋" w:cs="仿宋"/>
          <w:sz w:val="30"/>
          <w:szCs w:val="30"/>
          <w:highlight w:val="none"/>
          <w:lang w:val="en-US" w:eastAsia="zh-CN"/>
        </w:rPr>
        <w:t>10</w:t>
      </w:r>
      <w:r>
        <w:rPr>
          <w:rFonts w:hint="eastAsia" w:ascii="仿宋" w:hAnsi="仿宋" w:eastAsia="仿宋" w:cs="仿宋"/>
          <w:sz w:val="30"/>
          <w:szCs w:val="30"/>
          <w:highlight w:val="none"/>
        </w:rPr>
        <w:t>分）</w:t>
      </w:r>
    </w:p>
    <w:p>
      <w:pPr>
        <w:spacing w:line="560" w:lineRule="exact"/>
        <w:ind w:firstLine="600" w:firstLineChars="200"/>
        <w:rPr>
          <w:rFonts w:ascii="仿宋" w:hAnsi="仿宋" w:eastAsia="仿宋" w:cs="仿宋"/>
          <w:sz w:val="30"/>
          <w:szCs w:val="30"/>
          <w:highlight w:val="none"/>
        </w:rPr>
      </w:pPr>
      <w:r>
        <w:rPr>
          <w:rFonts w:hint="eastAsia" w:ascii="仿宋" w:hAnsi="仿宋" w:eastAsia="仿宋" w:cs="仿宋"/>
          <w:sz w:val="30"/>
          <w:szCs w:val="30"/>
          <w:highlight w:val="none"/>
        </w:rPr>
        <w:t>该指标主要评价享受特岗教师工资待遇的人员是否做到了应补尽补。</w:t>
      </w:r>
    </w:p>
    <w:p>
      <w:pPr>
        <w:spacing w:line="560" w:lineRule="exact"/>
        <w:ind w:firstLine="600" w:firstLineChars="200"/>
        <w:rPr>
          <w:rFonts w:ascii="仿宋" w:hAnsi="仿宋" w:eastAsia="仿宋" w:cs="仿宋"/>
          <w:sz w:val="30"/>
          <w:szCs w:val="30"/>
          <w:highlight w:val="none"/>
        </w:rPr>
      </w:pPr>
      <w:r>
        <w:rPr>
          <w:rFonts w:hint="eastAsia" w:ascii="仿宋" w:hAnsi="仿宋" w:eastAsia="仿宋" w:cs="仿宋"/>
          <w:sz w:val="30"/>
          <w:szCs w:val="30"/>
          <w:highlight w:val="none"/>
        </w:rPr>
        <w:t>2022年享受特岗教师工资待遇的人员数量为880人，</w:t>
      </w:r>
      <w:r>
        <w:rPr>
          <w:rFonts w:hint="eastAsia" w:ascii="仿宋" w:hAnsi="仿宋" w:eastAsia="仿宋" w:cs="仿宋"/>
          <w:sz w:val="30"/>
          <w:szCs w:val="30"/>
          <w:highlight w:val="none"/>
          <w:lang w:val="en-US" w:eastAsia="zh-CN"/>
        </w:rPr>
        <w:t>实际发放人数880人，</w:t>
      </w:r>
      <w:r>
        <w:rPr>
          <w:rFonts w:hint="eastAsia" w:ascii="仿宋" w:hAnsi="仿宋" w:eastAsia="仿宋" w:cs="仿宋"/>
          <w:sz w:val="30"/>
          <w:szCs w:val="30"/>
          <w:highlight w:val="none"/>
        </w:rPr>
        <w:t>做到了应补尽补。</w:t>
      </w:r>
    </w:p>
    <w:p>
      <w:pPr>
        <w:spacing w:line="560" w:lineRule="exact"/>
        <w:ind w:firstLine="600" w:firstLineChars="200"/>
        <w:rPr>
          <w:rFonts w:ascii="仿宋" w:hAnsi="仿宋" w:eastAsia="仿宋" w:cs="仿宋"/>
          <w:sz w:val="30"/>
          <w:szCs w:val="30"/>
          <w:highlight w:val="none"/>
        </w:rPr>
      </w:pPr>
      <w:r>
        <w:rPr>
          <w:rFonts w:hint="eastAsia" w:ascii="仿宋" w:hAnsi="仿宋" w:eastAsia="仿宋" w:cs="仿宋"/>
          <w:sz w:val="30"/>
          <w:szCs w:val="30"/>
          <w:highlight w:val="none"/>
        </w:rPr>
        <w:t>该项指标实际得</w:t>
      </w:r>
      <w:r>
        <w:rPr>
          <w:rFonts w:hint="eastAsia" w:ascii="仿宋" w:hAnsi="仿宋" w:eastAsia="仿宋" w:cs="仿宋"/>
          <w:sz w:val="30"/>
          <w:szCs w:val="30"/>
          <w:highlight w:val="none"/>
          <w:lang w:val="en-US" w:eastAsia="zh-CN"/>
        </w:rPr>
        <w:t>10</w:t>
      </w:r>
      <w:r>
        <w:rPr>
          <w:rFonts w:hint="eastAsia" w:ascii="仿宋" w:hAnsi="仿宋" w:eastAsia="仿宋" w:cs="仿宋"/>
          <w:sz w:val="30"/>
          <w:szCs w:val="30"/>
          <w:highlight w:val="none"/>
        </w:rPr>
        <w:t>分。</w:t>
      </w:r>
    </w:p>
    <w:p>
      <w:pPr>
        <w:spacing w:line="560" w:lineRule="exact"/>
        <w:ind w:firstLine="600" w:firstLineChars="200"/>
        <w:rPr>
          <w:rFonts w:ascii="仿宋" w:hAnsi="仿宋" w:eastAsia="仿宋" w:cs="仿宋"/>
          <w:sz w:val="30"/>
          <w:szCs w:val="30"/>
          <w:highlight w:val="none"/>
        </w:rPr>
      </w:pPr>
      <w:r>
        <w:rPr>
          <w:rFonts w:hint="eastAsia" w:ascii="仿宋" w:hAnsi="仿宋" w:eastAsia="仿宋" w:cs="仿宋"/>
          <w:sz w:val="30"/>
          <w:szCs w:val="30"/>
          <w:highlight w:val="none"/>
        </w:rPr>
        <w:t>3、资金支付及时性（</w:t>
      </w:r>
      <w:r>
        <w:rPr>
          <w:rFonts w:hint="eastAsia" w:ascii="仿宋" w:hAnsi="仿宋" w:eastAsia="仿宋" w:cs="仿宋"/>
          <w:sz w:val="30"/>
          <w:szCs w:val="30"/>
          <w:highlight w:val="none"/>
          <w:lang w:val="en-US" w:eastAsia="zh-CN"/>
        </w:rPr>
        <w:t>10</w:t>
      </w:r>
      <w:r>
        <w:rPr>
          <w:rFonts w:hint="eastAsia" w:ascii="仿宋" w:hAnsi="仿宋" w:eastAsia="仿宋" w:cs="仿宋"/>
          <w:sz w:val="30"/>
          <w:szCs w:val="30"/>
          <w:highlight w:val="none"/>
        </w:rPr>
        <w:t>分）</w:t>
      </w:r>
    </w:p>
    <w:p>
      <w:pPr>
        <w:spacing w:line="560" w:lineRule="exact"/>
        <w:ind w:firstLine="560"/>
        <w:rPr>
          <w:rFonts w:ascii="仿宋" w:hAnsi="仿宋" w:eastAsia="仿宋" w:cs="仿宋"/>
          <w:sz w:val="30"/>
          <w:szCs w:val="30"/>
          <w:highlight w:val="none"/>
        </w:rPr>
      </w:pPr>
      <w:r>
        <w:rPr>
          <w:rFonts w:hint="eastAsia" w:ascii="仿宋" w:hAnsi="仿宋" w:eastAsia="仿宋" w:cs="仿宋"/>
          <w:sz w:val="30"/>
          <w:szCs w:val="30"/>
          <w:highlight w:val="none"/>
        </w:rPr>
        <w:t>该指标主要评价项目资金是否及时支付，是否有截留资金，延迟支付的情况。</w:t>
      </w:r>
    </w:p>
    <w:p>
      <w:pPr>
        <w:spacing w:line="560" w:lineRule="exact"/>
        <w:ind w:firstLine="560"/>
        <w:rPr>
          <w:rFonts w:ascii="仿宋" w:hAnsi="仿宋" w:eastAsia="仿宋" w:cs="仿宋"/>
          <w:sz w:val="30"/>
          <w:szCs w:val="30"/>
          <w:highlight w:val="none"/>
        </w:rPr>
      </w:pPr>
      <w:r>
        <w:rPr>
          <w:rFonts w:hint="eastAsia" w:ascii="仿宋" w:hAnsi="仿宋" w:eastAsia="仿宋" w:cs="仿宋"/>
          <w:sz w:val="30"/>
          <w:szCs w:val="30"/>
          <w:highlight w:val="none"/>
        </w:rPr>
        <w:t>经检查，2022年3月9日拨付特岗调标、绩效奖金256.958024万元实际于2022年7月8日发放，支付延迟，扣</w:t>
      </w:r>
      <w:r>
        <w:rPr>
          <w:rFonts w:hint="eastAsia" w:ascii="仿宋" w:hAnsi="仿宋" w:eastAsia="仿宋" w:cs="仿宋"/>
          <w:sz w:val="30"/>
          <w:szCs w:val="30"/>
          <w:highlight w:val="none"/>
          <w:lang w:val="en-US" w:eastAsia="zh-CN"/>
        </w:rPr>
        <w:t>5</w:t>
      </w:r>
      <w:r>
        <w:rPr>
          <w:rFonts w:hint="eastAsia" w:ascii="仿宋" w:hAnsi="仿宋" w:eastAsia="仿宋" w:cs="仿宋"/>
          <w:sz w:val="30"/>
          <w:szCs w:val="30"/>
          <w:highlight w:val="none"/>
        </w:rPr>
        <w:t>分。</w:t>
      </w:r>
    </w:p>
    <w:p>
      <w:pPr>
        <w:spacing w:line="560" w:lineRule="exact"/>
        <w:ind w:firstLine="560"/>
        <w:rPr>
          <w:rFonts w:ascii="仿宋" w:hAnsi="仿宋" w:eastAsia="仿宋" w:cs="仿宋"/>
          <w:sz w:val="30"/>
          <w:szCs w:val="30"/>
          <w:highlight w:val="none"/>
        </w:rPr>
      </w:pPr>
      <w:r>
        <w:rPr>
          <w:rFonts w:hint="eastAsia" w:ascii="仿宋" w:hAnsi="仿宋" w:eastAsia="仿宋" w:cs="仿宋"/>
          <w:sz w:val="30"/>
          <w:szCs w:val="30"/>
          <w:highlight w:val="none"/>
        </w:rPr>
        <w:t>该项指标实际得分</w:t>
      </w:r>
      <w:r>
        <w:rPr>
          <w:rFonts w:hint="eastAsia" w:ascii="仿宋" w:hAnsi="仿宋" w:eastAsia="仿宋" w:cs="仿宋"/>
          <w:sz w:val="30"/>
          <w:szCs w:val="30"/>
          <w:highlight w:val="none"/>
          <w:lang w:val="en-US" w:eastAsia="zh-CN"/>
        </w:rPr>
        <w:t>5</w:t>
      </w:r>
      <w:r>
        <w:rPr>
          <w:rFonts w:hint="eastAsia" w:ascii="仿宋" w:hAnsi="仿宋" w:eastAsia="仿宋" w:cs="仿宋"/>
          <w:sz w:val="30"/>
          <w:szCs w:val="30"/>
          <w:highlight w:val="none"/>
        </w:rPr>
        <w:t>分。</w:t>
      </w:r>
    </w:p>
    <w:p>
      <w:pPr>
        <w:pStyle w:val="4"/>
        <w:spacing w:before="0" w:after="0" w:line="560" w:lineRule="exact"/>
        <w:ind w:firstLine="600" w:firstLineChars="200"/>
        <w:rPr>
          <w:rFonts w:ascii="仿宋" w:hAnsi="仿宋" w:eastAsia="仿宋" w:cs="仿宋"/>
          <w:b w:val="0"/>
          <w:bCs w:val="0"/>
          <w:sz w:val="30"/>
          <w:szCs w:val="30"/>
          <w:highlight w:val="none"/>
        </w:rPr>
      </w:pPr>
      <w:bookmarkStart w:id="53" w:name="_Toc833"/>
      <w:bookmarkStart w:id="54" w:name="_Toc83630336"/>
      <w:bookmarkStart w:id="55" w:name="_Toc83631046"/>
      <w:bookmarkStart w:id="56" w:name="_Toc1929"/>
      <w:bookmarkStart w:id="57" w:name="_Toc16415"/>
      <w:r>
        <w:rPr>
          <w:rFonts w:hint="eastAsia" w:ascii="仿宋" w:hAnsi="仿宋" w:eastAsia="仿宋" w:cs="仿宋"/>
          <w:b w:val="0"/>
          <w:bCs w:val="0"/>
          <w:sz w:val="30"/>
          <w:szCs w:val="30"/>
          <w:highlight w:val="none"/>
        </w:rPr>
        <w:t>（四）项目效果（2</w:t>
      </w:r>
      <w:r>
        <w:rPr>
          <w:rFonts w:hint="eastAsia" w:ascii="仿宋" w:hAnsi="仿宋" w:eastAsia="仿宋" w:cs="仿宋"/>
          <w:b w:val="0"/>
          <w:bCs w:val="0"/>
          <w:sz w:val="30"/>
          <w:szCs w:val="30"/>
          <w:highlight w:val="none"/>
          <w:lang w:val="en-US" w:eastAsia="zh-CN"/>
        </w:rPr>
        <w:t>0</w:t>
      </w:r>
      <w:r>
        <w:rPr>
          <w:rFonts w:hint="eastAsia" w:ascii="仿宋" w:hAnsi="仿宋" w:eastAsia="仿宋" w:cs="仿宋"/>
          <w:b w:val="0"/>
          <w:bCs w:val="0"/>
          <w:sz w:val="30"/>
          <w:szCs w:val="30"/>
          <w:highlight w:val="none"/>
        </w:rPr>
        <w:t>分）</w:t>
      </w:r>
      <w:bookmarkEnd w:id="53"/>
      <w:bookmarkEnd w:id="54"/>
      <w:bookmarkEnd w:id="55"/>
      <w:bookmarkEnd w:id="56"/>
      <w:bookmarkEnd w:id="57"/>
    </w:p>
    <w:p>
      <w:pPr>
        <w:spacing w:line="560" w:lineRule="exact"/>
        <w:ind w:firstLine="588" w:firstLineChars="196"/>
        <w:outlineLvl w:val="0"/>
        <w:rPr>
          <w:rFonts w:ascii="仿宋" w:hAnsi="仿宋" w:eastAsia="仿宋" w:cs="仿宋"/>
          <w:sz w:val="30"/>
          <w:szCs w:val="30"/>
          <w:highlight w:val="none"/>
        </w:rPr>
      </w:pPr>
      <w:bookmarkStart w:id="58" w:name="_Toc14139"/>
      <w:bookmarkStart w:id="59" w:name="_Toc83630433"/>
      <w:bookmarkStart w:id="60" w:name="_Toc83630337"/>
      <w:bookmarkStart w:id="61" w:name="_Toc27277"/>
      <w:bookmarkStart w:id="62" w:name="_Toc83631047"/>
      <w:r>
        <w:rPr>
          <w:rFonts w:hint="eastAsia" w:ascii="仿宋" w:hAnsi="仿宋" w:eastAsia="仿宋" w:cs="仿宋"/>
          <w:sz w:val="30"/>
          <w:szCs w:val="30"/>
          <w:highlight w:val="none"/>
        </w:rPr>
        <w:t>该一级指标包含项目效益1个二级指标和社会效益</w:t>
      </w:r>
      <w:r>
        <w:rPr>
          <w:rFonts w:hint="eastAsia" w:ascii="仿宋" w:hAnsi="仿宋" w:eastAsia="仿宋" w:cs="仿宋"/>
          <w:sz w:val="30"/>
          <w:szCs w:val="30"/>
          <w:highlight w:val="none"/>
          <w:lang w:eastAsia="zh-CN"/>
        </w:rPr>
        <w:t>、</w:t>
      </w:r>
      <w:r>
        <w:rPr>
          <w:rFonts w:hint="eastAsia" w:ascii="仿宋" w:hAnsi="仿宋" w:eastAsia="仿宋" w:cs="仿宋"/>
          <w:sz w:val="30"/>
          <w:szCs w:val="30"/>
          <w:highlight w:val="none"/>
        </w:rPr>
        <w:t>受益人员满意度</w:t>
      </w:r>
      <w:r>
        <w:rPr>
          <w:rFonts w:hint="eastAsia" w:ascii="仿宋" w:hAnsi="仿宋" w:eastAsia="仿宋" w:cs="仿宋"/>
          <w:sz w:val="30"/>
          <w:szCs w:val="30"/>
          <w:highlight w:val="none"/>
          <w:lang w:val="en-US" w:eastAsia="zh-CN"/>
        </w:rPr>
        <w:t>2</w:t>
      </w:r>
      <w:r>
        <w:rPr>
          <w:rFonts w:hint="eastAsia" w:ascii="仿宋" w:hAnsi="仿宋" w:eastAsia="仿宋" w:cs="仿宋"/>
          <w:sz w:val="30"/>
          <w:szCs w:val="30"/>
          <w:highlight w:val="none"/>
        </w:rPr>
        <w:t>个三级指标。主要评价项目实施后所产生的各种效益。</w:t>
      </w:r>
      <w:bookmarkEnd w:id="58"/>
      <w:bookmarkEnd w:id="59"/>
      <w:bookmarkEnd w:id="60"/>
      <w:bookmarkEnd w:id="61"/>
      <w:bookmarkEnd w:id="62"/>
    </w:p>
    <w:tbl>
      <w:tblPr>
        <w:tblStyle w:val="12"/>
        <w:tblW w:w="4996" w:type="pct"/>
        <w:jc w:val="center"/>
        <w:tblLayout w:type="autofit"/>
        <w:tblCellMar>
          <w:top w:w="15" w:type="dxa"/>
          <w:left w:w="15" w:type="dxa"/>
          <w:bottom w:w="15" w:type="dxa"/>
          <w:right w:w="15" w:type="dxa"/>
        </w:tblCellMar>
      </w:tblPr>
      <w:tblGrid>
        <w:gridCol w:w="2023"/>
        <w:gridCol w:w="1595"/>
        <w:gridCol w:w="2946"/>
        <w:gridCol w:w="1654"/>
        <w:gridCol w:w="1442"/>
      </w:tblGrid>
      <w:tr>
        <w:tblPrEx>
          <w:tblCellMar>
            <w:top w:w="15" w:type="dxa"/>
            <w:left w:w="15" w:type="dxa"/>
            <w:bottom w:w="15" w:type="dxa"/>
            <w:right w:w="15" w:type="dxa"/>
          </w:tblCellMar>
        </w:tblPrEx>
        <w:trPr>
          <w:trHeight w:val="649" w:hRule="exact"/>
          <w:jc w:val="center"/>
        </w:trPr>
        <w:tc>
          <w:tcPr>
            <w:tcW w:w="1047" w:type="pct"/>
            <w:tcBorders>
              <w:top w:val="single" w:color="000000" w:sz="4" w:space="0"/>
              <w:left w:val="single" w:color="000000" w:sz="4" w:space="0"/>
              <w:bottom w:val="single" w:color="000000" w:sz="4" w:space="0"/>
              <w:right w:val="single" w:color="000000" w:sz="4" w:space="0"/>
            </w:tcBorders>
            <w:vAlign w:val="center"/>
          </w:tcPr>
          <w:p>
            <w:pPr>
              <w:widowControl/>
              <w:spacing w:line="560" w:lineRule="exact"/>
              <w:jc w:val="center"/>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rPr>
              <w:t>一级指标</w:t>
            </w:r>
          </w:p>
        </w:tc>
        <w:tc>
          <w:tcPr>
            <w:tcW w:w="825" w:type="pct"/>
            <w:tcBorders>
              <w:top w:val="single" w:color="000000" w:sz="4" w:space="0"/>
              <w:left w:val="single" w:color="000000" w:sz="4" w:space="0"/>
              <w:bottom w:val="single" w:color="000000" w:sz="4" w:space="0"/>
              <w:right w:val="single" w:color="000000" w:sz="4" w:space="0"/>
            </w:tcBorders>
            <w:vAlign w:val="center"/>
          </w:tcPr>
          <w:p>
            <w:pPr>
              <w:widowControl/>
              <w:spacing w:line="560" w:lineRule="exact"/>
              <w:jc w:val="center"/>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rPr>
              <w:t>二级指标</w:t>
            </w:r>
          </w:p>
        </w:tc>
        <w:tc>
          <w:tcPr>
            <w:tcW w:w="1523" w:type="pct"/>
            <w:tcBorders>
              <w:top w:val="single" w:color="000000" w:sz="4" w:space="0"/>
              <w:left w:val="single" w:color="000000" w:sz="4" w:space="0"/>
              <w:bottom w:val="single" w:color="000000" w:sz="4" w:space="0"/>
              <w:right w:val="single" w:color="000000" w:sz="4" w:space="0"/>
            </w:tcBorders>
            <w:vAlign w:val="center"/>
          </w:tcPr>
          <w:p>
            <w:pPr>
              <w:widowControl/>
              <w:spacing w:line="560" w:lineRule="exact"/>
              <w:jc w:val="center"/>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rPr>
              <w:t>三级指标</w:t>
            </w:r>
          </w:p>
        </w:tc>
        <w:tc>
          <w:tcPr>
            <w:tcW w:w="856" w:type="pct"/>
            <w:tcBorders>
              <w:top w:val="single" w:color="000000" w:sz="4" w:space="0"/>
              <w:left w:val="single" w:color="000000" w:sz="4" w:space="0"/>
              <w:bottom w:val="single" w:color="000000" w:sz="4" w:space="0"/>
              <w:right w:val="single" w:color="000000" w:sz="4" w:space="0"/>
            </w:tcBorders>
            <w:vAlign w:val="center"/>
          </w:tcPr>
          <w:p>
            <w:pPr>
              <w:widowControl/>
              <w:spacing w:line="560" w:lineRule="exact"/>
              <w:jc w:val="center"/>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rPr>
              <w:t>分数权重</w:t>
            </w:r>
          </w:p>
        </w:tc>
        <w:tc>
          <w:tcPr>
            <w:tcW w:w="746" w:type="pct"/>
            <w:tcBorders>
              <w:top w:val="single" w:color="000000" w:sz="4" w:space="0"/>
              <w:left w:val="single" w:color="000000" w:sz="4" w:space="0"/>
              <w:bottom w:val="single" w:color="000000" w:sz="4" w:space="0"/>
              <w:right w:val="single" w:color="000000" w:sz="4" w:space="0"/>
            </w:tcBorders>
            <w:vAlign w:val="center"/>
          </w:tcPr>
          <w:p>
            <w:pPr>
              <w:widowControl/>
              <w:spacing w:line="560" w:lineRule="exact"/>
              <w:jc w:val="center"/>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rPr>
              <w:t>得分</w:t>
            </w:r>
          </w:p>
        </w:tc>
      </w:tr>
      <w:tr>
        <w:tblPrEx>
          <w:tblCellMar>
            <w:top w:w="15" w:type="dxa"/>
            <w:left w:w="15" w:type="dxa"/>
            <w:bottom w:w="15" w:type="dxa"/>
            <w:right w:w="15" w:type="dxa"/>
          </w:tblCellMar>
        </w:tblPrEx>
        <w:trPr>
          <w:trHeight w:val="584" w:hRule="exact"/>
          <w:jc w:val="center"/>
        </w:trPr>
        <w:tc>
          <w:tcPr>
            <w:tcW w:w="1047" w:type="pct"/>
            <w:vMerge w:val="restart"/>
            <w:tcBorders>
              <w:top w:val="single" w:color="000000" w:sz="4" w:space="0"/>
              <w:left w:val="single" w:color="000000" w:sz="4" w:space="0"/>
              <w:right w:val="single" w:color="000000" w:sz="4" w:space="0"/>
            </w:tcBorders>
            <w:vAlign w:val="center"/>
          </w:tcPr>
          <w:p>
            <w:pPr>
              <w:widowControl/>
              <w:spacing w:line="560" w:lineRule="exact"/>
              <w:jc w:val="center"/>
              <w:textAlignment w:val="center"/>
              <w:rPr>
                <w:rFonts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项目效果</w:t>
            </w:r>
          </w:p>
          <w:p>
            <w:pPr>
              <w:widowControl/>
              <w:spacing w:line="560" w:lineRule="exact"/>
              <w:jc w:val="center"/>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rPr>
              <w:t>（2</w:t>
            </w:r>
            <w:r>
              <w:rPr>
                <w:rFonts w:hint="eastAsia" w:ascii="仿宋" w:hAnsi="仿宋" w:eastAsia="仿宋" w:cs="仿宋"/>
                <w:color w:val="000000"/>
                <w:kern w:val="0"/>
                <w:sz w:val="24"/>
                <w:szCs w:val="24"/>
                <w:highlight w:val="none"/>
                <w:lang w:val="en-US" w:eastAsia="zh-CN"/>
              </w:rPr>
              <w:t>0</w:t>
            </w:r>
            <w:r>
              <w:rPr>
                <w:rFonts w:hint="eastAsia" w:ascii="仿宋" w:hAnsi="仿宋" w:eastAsia="仿宋" w:cs="仿宋"/>
                <w:color w:val="000000"/>
                <w:kern w:val="0"/>
                <w:sz w:val="24"/>
                <w:szCs w:val="24"/>
                <w:highlight w:val="none"/>
              </w:rPr>
              <w:t>分）</w:t>
            </w:r>
          </w:p>
        </w:tc>
        <w:tc>
          <w:tcPr>
            <w:tcW w:w="825" w:type="pct"/>
            <w:vMerge w:val="restart"/>
            <w:tcBorders>
              <w:top w:val="single" w:color="000000" w:sz="4" w:space="0"/>
              <w:left w:val="single" w:color="000000" w:sz="4" w:space="0"/>
              <w:right w:val="single" w:color="000000" w:sz="4" w:space="0"/>
            </w:tcBorders>
            <w:vAlign w:val="center"/>
          </w:tcPr>
          <w:p>
            <w:pPr>
              <w:widowControl/>
              <w:spacing w:line="560" w:lineRule="exact"/>
              <w:jc w:val="center"/>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rPr>
              <w:t>项目效益</w:t>
            </w:r>
          </w:p>
        </w:tc>
        <w:tc>
          <w:tcPr>
            <w:tcW w:w="1523" w:type="pct"/>
            <w:tcBorders>
              <w:top w:val="single" w:color="000000" w:sz="4" w:space="0"/>
              <w:left w:val="single" w:color="000000" w:sz="4" w:space="0"/>
              <w:bottom w:val="single" w:color="000000" w:sz="4" w:space="0"/>
              <w:right w:val="single" w:color="000000" w:sz="4" w:space="0"/>
            </w:tcBorders>
            <w:vAlign w:val="center"/>
          </w:tcPr>
          <w:p>
            <w:pPr>
              <w:widowControl/>
              <w:spacing w:line="560" w:lineRule="exact"/>
              <w:jc w:val="center"/>
              <w:textAlignment w:val="center"/>
              <w:rPr>
                <w:rFonts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社会效益</w:t>
            </w:r>
          </w:p>
        </w:tc>
        <w:tc>
          <w:tcPr>
            <w:tcW w:w="856" w:type="pct"/>
            <w:tcBorders>
              <w:top w:val="single" w:color="000000" w:sz="4" w:space="0"/>
              <w:left w:val="single" w:color="000000" w:sz="4" w:space="0"/>
              <w:bottom w:val="single" w:color="000000" w:sz="4" w:space="0"/>
              <w:right w:val="single" w:color="000000" w:sz="4" w:space="0"/>
            </w:tcBorders>
            <w:vAlign w:val="center"/>
          </w:tcPr>
          <w:p>
            <w:pPr>
              <w:widowControl/>
              <w:spacing w:line="560" w:lineRule="exact"/>
              <w:jc w:val="center"/>
              <w:textAlignment w:val="center"/>
              <w:rPr>
                <w:rFonts w:hint="default" w:ascii="仿宋" w:hAnsi="仿宋" w:eastAsia="仿宋" w:cs="仿宋"/>
                <w:color w:val="000000"/>
                <w:sz w:val="24"/>
                <w:szCs w:val="24"/>
                <w:highlight w:val="none"/>
                <w:lang w:val="en-US" w:eastAsia="zh-CN"/>
              </w:rPr>
            </w:pPr>
            <w:r>
              <w:rPr>
                <w:rFonts w:hint="eastAsia" w:ascii="仿宋" w:hAnsi="仿宋" w:eastAsia="仿宋" w:cs="仿宋"/>
                <w:color w:val="000000"/>
                <w:sz w:val="24"/>
                <w:szCs w:val="24"/>
                <w:highlight w:val="none"/>
                <w:lang w:val="en-US" w:eastAsia="zh-CN"/>
              </w:rPr>
              <w:t>10</w:t>
            </w:r>
          </w:p>
        </w:tc>
        <w:tc>
          <w:tcPr>
            <w:tcW w:w="1442" w:type="dxa"/>
            <w:tcBorders>
              <w:top w:val="single" w:color="000000" w:sz="4" w:space="0"/>
              <w:left w:val="single" w:color="000000" w:sz="4" w:space="0"/>
              <w:bottom w:val="single" w:color="000000" w:sz="4" w:space="0"/>
              <w:right w:val="single" w:color="000000" w:sz="4" w:space="0"/>
            </w:tcBorders>
            <w:vAlign w:val="center"/>
          </w:tcPr>
          <w:p>
            <w:pPr>
              <w:widowControl/>
              <w:spacing w:line="560" w:lineRule="exact"/>
              <w:jc w:val="center"/>
              <w:textAlignment w:val="cente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lang w:val="en-US" w:eastAsia="zh-CN"/>
              </w:rPr>
              <w:t>10</w:t>
            </w:r>
          </w:p>
        </w:tc>
      </w:tr>
      <w:tr>
        <w:tblPrEx>
          <w:tblCellMar>
            <w:top w:w="15" w:type="dxa"/>
            <w:left w:w="15" w:type="dxa"/>
            <w:bottom w:w="15" w:type="dxa"/>
            <w:right w:w="15" w:type="dxa"/>
          </w:tblCellMar>
        </w:tblPrEx>
        <w:trPr>
          <w:trHeight w:val="684" w:hRule="exact"/>
          <w:jc w:val="center"/>
        </w:trPr>
        <w:tc>
          <w:tcPr>
            <w:tcW w:w="1047" w:type="pct"/>
            <w:vMerge w:val="continue"/>
            <w:tcBorders>
              <w:left w:val="single" w:color="000000" w:sz="4" w:space="0"/>
              <w:right w:val="single" w:color="000000" w:sz="4" w:space="0"/>
            </w:tcBorders>
            <w:vAlign w:val="center"/>
          </w:tcPr>
          <w:p>
            <w:pPr>
              <w:spacing w:line="560" w:lineRule="exact"/>
              <w:jc w:val="center"/>
              <w:rPr>
                <w:rFonts w:ascii="仿宋" w:hAnsi="仿宋" w:eastAsia="仿宋" w:cs="仿宋"/>
                <w:color w:val="000000"/>
                <w:sz w:val="24"/>
                <w:szCs w:val="24"/>
                <w:highlight w:val="none"/>
              </w:rPr>
            </w:pPr>
          </w:p>
        </w:tc>
        <w:tc>
          <w:tcPr>
            <w:tcW w:w="825" w:type="pct"/>
            <w:vMerge w:val="continue"/>
            <w:tcBorders>
              <w:left w:val="single" w:color="000000" w:sz="4" w:space="0"/>
              <w:right w:val="single" w:color="000000" w:sz="4" w:space="0"/>
            </w:tcBorders>
            <w:vAlign w:val="center"/>
          </w:tcPr>
          <w:p>
            <w:pPr>
              <w:spacing w:line="560" w:lineRule="exact"/>
              <w:jc w:val="center"/>
              <w:rPr>
                <w:rFonts w:ascii="仿宋" w:hAnsi="仿宋" w:eastAsia="仿宋" w:cs="仿宋"/>
                <w:color w:val="000000"/>
                <w:sz w:val="24"/>
                <w:szCs w:val="24"/>
                <w:highlight w:val="none"/>
              </w:rPr>
            </w:pPr>
          </w:p>
        </w:tc>
        <w:tc>
          <w:tcPr>
            <w:tcW w:w="1523" w:type="pct"/>
            <w:tcBorders>
              <w:top w:val="single" w:color="000000" w:sz="4" w:space="0"/>
              <w:left w:val="single" w:color="000000" w:sz="4" w:space="0"/>
              <w:bottom w:val="single" w:color="000000" w:sz="4" w:space="0"/>
              <w:right w:val="single" w:color="000000" w:sz="4" w:space="0"/>
            </w:tcBorders>
            <w:vAlign w:val="center"/>
          </w:tcPr>
          <w:p>
            <w:pPr>
              <w:widowControl/>
              <w:spacing w:line="560" w:lineRule="exact"/>
              <w:jc w:val="center"/>
              <w:textAlignment w:val="center"/>
              <w:rPr>
                <w:rFonts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受益人员满意度</w:t>
            </w:r>
          </w:p>
        </w:tc>
        <w:tc>
          <w:tcPr>
            <w:tcW w:w="856" w:type="pct"/>
            <w:tcBorders>
              <w:top w:val="single" w:color="000000" w:sz="4" w:space="0"/>
              <w:left w:val="single" w:color="000000" w:sz="4" w:space="0"/>
              <w:bottom w:val="single" w:color="000000" w:sz="4" w:space="0"/>
              <w:right w:val="single" w:color="000000" w:sz="4" w:space="0"/>
            </w:tcBorders>
            <w:vAlign w:val="center"/>
          </w:tcPr>
          <w:p>
            <w:pPr>
              <w:widowControl/>
              <w:spacing w:line="560" w:lineRule="exact"/>
              <w:jc w:val="center"/>
              <w:textAlignment w:val="center"/>
              <w:rPr>
                <w:rFonts w:hint="default" w:ascii="仿宋" w:hAnsi="仿宋" w:eastAsia="仿宋" w:cs="仿宋"/>
                <w:color w:val="000000"/>
                <w:sz w:val="24"/>
                <w:szCs w:val="24"/>
                <w:highlight w:val="none"/>
                <w:lang w:val="en-US" w:eastAsia="zh-CN"/>
              </w:rPr>
            </w:pPr>
            <w:r>
              <w:rPr>
                <w:rFonts w:hint="eastAsia" w:ascii="仿宋" w:hAnsi="仿宋" w:eastAsia="仿宋" w:cs="仿宋"/>
                <w:color w:val="000000"/>
                <w:kern w:val="0"/>
                <w:sz w:val="24"/>
                <w:szCs w:val="24"/>
                <w:highlight w:val="none"/>
                <w:lang w:val="en-US" w:eastAsia="zh-CN"/>
              </w:rPr>
              <w:t>10</w:t>
            </w:r>
          </w:p>
        </w:tc>
        <w:tc>
          <w:tcPr>
            <w:tcW w:w="1442" w:type="dxa"/>
            <w:tcBorders>
              <w:top w:val="single" w:color="000000" w:sz="4" w:space="0"/>
              <w:left w:val="single" w:color="000000" w:sz="4" w:space="0"/>
              <w:bottom w:val="single" w:color="000000" w:sz="4" w:space="0"/>
              <w:right w:val="single" w:color="000000" w:sz="4" w:space="0"/>
            </w:tcBorders>
            <w:vAlign w:val="center"/>
          </w:tcPr>
          <w:p>
            <w:pPr>
              <w:widowControl/>
              <w:spacing w:line="560" w:lineRule="exact"/>
              <w:jc w:val="center"/>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val="en-US" w:eastAsia="zh-CN"/>
              </w:rPr>
              <w:t>10</w:t>
            </w:r>
          </w:p>
        </w:tc>
      </w:tr>
      <w:tr>
        <w:tblPrEx>
          <w:tblCellMar>
            <w:top w:w="15" w:type="dxa"/>
            <w:left w:w="15" w:type="dxa"/>
            <w:bottom w:w="15" w:type="dxa"/>
            <w:right w:w="15" w:type="dxa"/>
          </w:tblCellMar>
        </w:tblPrEx>
        <w:trPr>
          <w:trHeight w:val="454" w:hRule="exact"/>
          <w:jc w:val="center"/>
        </w:trPr>
        <w:tc>
          <w:tcPr>
            <w:tcW w:w="3396" w:type="pct"/>
            <w:gridSpan w:val="3"/>
            <w:tcBorders>
              <w:top w:val="single" w:color="000000" w:sz="4" w:space="0"/>
              <w:left w:val="single" w:color="000000" w:sz="4" w:space="0"/>
              <w:bottom w:val="single" w:color="000000" w:sz="4" w:space="0"/>
              <w:right w:val="single" w:color="000000" w:sz="4" w:space="0"/>
            </w:tcBorders>
            <w:vAlign w:val="center"/>
          </w:tcPr>
          <w:p>
            <w:pPr>
              <w:widowControl/>
              <w:spacing w:line="560" w:lineRule="exact"/>
              <w:jc w:val="center"/>
              <w:textAlignment w:val="center"/>
              <w:rPr>
                <w:rFonts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合  计</w:t>
            </w:r>
          </w:p>
        </w:tc>
        <w:tc>
          <w:tcPr>
            <w:tcW w:w="856" w:type="pct"/>
            <w:tcBorders>
              <w:top w:val="single" w:color="000000" w:sz="4" w:space="0"/>
              <w:left w:val="single" w:color="000000" w:sz="4" w:space="0"/>
              <w:bottom w:val="single" w:color="000000" w:sz="4" w:space="0"/>
              <w:right w:val="single" w:color="000000" w:sz="4" w:space="0"/>
            </w:tcBorders>
            <w:vAlign w:val="center"/>
          </w:tcPr>
          <w:p>
            <w:pPr>
              <w:widowControl/>
              <w:spacing w:line="560" w:lineRule="exact"/>
              <w:jc w:val="center"/>
              <w:textAlignment w:val="center"/>
              <w:rPr>
                <w:rFonts w:hint="eastAsia" w:ascii="仿宋" w:hAnsi="仿宋" w:eastAsia="仿宋" w:cs="仿宋"/>
                <w:color w:val="000000"/>
                <w:kern w:val="0"/>
                <w:sz w:val="24"/>
                <w:szCs w:val="24"/>
                <w:highlight w:val="none"/>
                <w:lang w:val="en-US" w:eastAsia="zh-CN"/>
              </w:rPr>
            </w:pPr>
            <w:r>
              <w:rPr>
                <w:rFonts w:hint="eastAsia" w:ascii="仿宋" w:hAnsi="仿宋" w:eastAsia="仿宋" w:cs="仿宋"/>
                <w:color w:val="000000"/>
                <w:kern w:val="0"/>
                <w:sz w:val="24"/>
                <w:szCs w:val="24"/>
                <w:highlight w:val="none"/>
              </w:rPr>
              <w:t>2</w:t>
            </w:r>
            <w:r>
              <w:rPr>
                <w:rFonts w:hint="eastAsia" w:ascii="仿宋" w:hAnsi="仿宋" w:eastAsia="仿宋" w:cs="仿宋"/>
                <w:color w:val="000000"/>
                <w:kern w:val="0"/>
                <w:sz w:val="24"/>
                <w:szCs w:val="24"/>
                <w:highlight w:val="none"/>
                <w:lang w:val="en-US" w:eastAsia="zh-CN"/>
              </w:rPr>
              <w:t>0</w:t>
            </w:r>
          </w:p>
        </w:tc>
        <w:tc>
          <w:tcPr>
            <w:tcW w:w="1442" w:type="dxa"/>
            <w:tcBorders>
              <w:top w:val="single" w:color="000000" w:sz="4" w:space="0"/>
              <w:left w:val="single" w:color="000000" w:sz="4" w:space="0"/>
              <w:bottom w:val="single" w:color="000000" w:sz="4" w:space="0"/>
              <w:right w:val="single" w:color="000000" w:sz="4" w:space="0"/>
            </w:tcBorders>
            <w:vAlign w:val="center"/>
          </w:tcPr>
          <w:p>
            <w:pPr>
              <w:widowControl/>
              <w:spacing w:line="560" w:lineRule="exact"/>
              <w:jc w:val="center"/>
              <w:textAlignment w:val="center"/>
              <w:rPr>
                <w:rFonts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2</w:t>
            </w:r>
            <w:r>
              <w:rPr>
                <w:rFonts w:hint="eastAsia" w:ascii="仿宋" w:hAnsi="仿宋" w:eastAsia="仿宋" w:cs="仿宋"/>
                <w:color w:val="000000"/>
                <w:kern w:val="0"/>
                <w:sz w:val="24"/>
                <w:szCs w:val="24"/>
                <w:highlight w:val="none"/>
                <w:lang w:val="en-US" w:eastAsia="zh-CN"/>
              </w:rPr>
              <w:t>0</w:t>
            </w:r>
          </w:p>
        </w:tc>
      </w:tr>
    </w:tbl>
    <w:p>
      <w:pPr>
        <w:spacing w:line="560" w:lineRule="exact"/>
        <w:ind w:firstLine="600" w:firstLineChars="200"/>
        <w:jc w:val="left"/>
        <w:rPr>
          <w:rFonts w:ascii="仿宋" w:hAnsi="仿宋" w:eastAsia="仿宋" w:cs="仿宋"/>
          <w:color w:val="FF0000"/>
          <w:sz w:val="30"/>
          <w:szCs w:val="30"/>
          <w:highlight w:val="none"/>
        </w:rPr>
      </w:pPr>
      <w:r>
        <w:rPr>
          <w:rFonts w:hint="eastAsia" w:ascii="仿宋" w:hAnsi="仿宋" w:eastAsia="仿宋" w:cs="仿宋"/>
          <w:sz w:val="30"/>
          <w:szCs w:val="30"/>
          <w:highlight w:val="none"/>
        </w:rPr>
        <w:t>1.社会效益（</w:t>
      </w:r>
      <w:r>
        <w:rPr>
          <w:rFonts w:hint="eastAsia" w:ascii="仿宋" w:hAnsi="仿宋" w:eastAsia="仿宋" w:cs="仿宋"/>
          <w:sz w:val="30"/>
          <w:szCs w:val="30"/>
          <w:highlight w:val="none"/>
          <w:lang w:val="en-US" w:eastAsia="zh-CN"/>
        </w:rPr>
        <w:t>10</w:t>
      </w:r>
      <w:r>
        <w:rPr>
          <w:rFonts w:hint="eastAsia" w:ascii="仿宋" w:hAnsi="仿宋" w:eastAsia="仿宋" w:cs="仿宋"/>
          <w:sz w:val="30"/>
          <w:szCs w:val="30"/>
          <w:highlight w:val="none"/>
        </w:rPr>
        <w:t>分）</w:t>
      </w:r>
    </w:p>
    <w:p>
      <w:pPr>
        <w:spacing w:line="560" w:lineRule="exact"/>
        <w:ind w:firstLine="600" w:firstLineChars="200"/>
        <w:jc w:val="left"/>
        <w:rPr>
          <w:rFonts w:ascii="仿宋" w:hAnsi="仿宋" w:eastAsia="仿宋" w:cs="仿宋"/>
          <w:sz w:val="30"/>
          <w:szCs w:val="30"/>
          <w:highlight w:val="none"/>
        </w:rPr>
      </w:pPr>
      <w:r>
        <w:rPr>
          <w:rFonts w:hint="eastAsia" w:ascii="仿宋" w:hAnsi="仿宋" w:eastAsia="仿宋" w:cs="仿宋"/>
          <w:sz w:val="30"/>
          <w:szCs w:val="30"/>
          <w:highlight w:val="none"/>
        </w:rPr>
        <w:t>该指标主要评价项目实施产生的社会效益。</w:t>
      </w:r>
    </w:p>
    <w:p>
      <w:pPr>
        <w:spacing w:line="560" w:lineRule="exact"/>
        <w:ind w:firstLine="600" w:firstLineChars="200"/>
        <w:jc w:val="left"/>
        <w:rPr>
          <w:rFonts w:ascii="仿宋" w:hAnsi="仿宋" w:eastAsia="仿宋" w:cs="仿宋"/>
          <w:sz w:val="30"/>
          <w:szCs w:val="30"/>
          <w:highlight w:val="none"/>
        </w:rPr>
      </w:pPr>
      <w:r>
        <w:rPr>
          <w:rFonts w:hint="eastAsia" w:ascii="仿宋" w:hAnsi="仿宋" w:eastAsia="仿宋" w:cs="仿宋"/>
          <w:sz w:val="30"/>
          <w:szCs w:val="30"/>
          <w:highlight w:val="none"/>
        </w:rPr>
        <w:t>该项目的实施，充实了农村中小学教师队伍，提升了农村中小学教师队伍整体素质和教育质量，促进义务教育均衡发展和教育公平。</w:t>
      </w:r>
    </w:p>
    <w:p>
      <w:pPr>
        <w:spacing w:line="560" w:lineRule="exact"/>
        <w:ind w:firstLine="600" w:firstLineChars="200"/>
        <w:jc w:val="left"/>
        <w:rPr>
          <w:rFonts w:ascii="仿宋" w:hAnsi="仿宋" w:eastAsia="仿宋" w:cs="仿宋"/>
          <w:sz w:val="30"/>
          <w:szCs w:val="30"/>
          <w:highlight w:val="none"/>
        </w:rPr>
      </w:pPr>
      <w:r>
        <w:rPr>
          <w:rFonts w:hint="eastAsia" w:ascii="仿宋" w:hAnsi="仿宋" w:eastAsia="仿宋" w:cs="仿宋"/>
          <w:sz w:val="30"/>
          <w:szCs w:val="30"/>
          <w:highlight w:val="none"/>
        </w:rPr>
        <w:t>该项指标实际得</w:t>
      </w:r>
      <w:r>
        <w:rPr>
          <w:rFonts w:hint="eastAsia" w:ascii="仿宋" w:hAnsi="仿宋" w:eastAsia="仿宋" w:cs="仿宋"/>
          <w:sz w:val="30"/>
          <w:szCs w:val="30"/>
          <w:highlight w:val="none"/>
          <w:lang w:val="en-US" w:eastAsia="zh-CN"/>
        </w:rPr>
        <w:t>10</w:t>
      </w:r>
      <w:r>
        <w:rPr>
          <w:rFonts w:hint="eastAsia" w:ascii="仿宋" w:hAnsi="仿宋" w:eastAsia="仿宋" w:cs="仿宋"/>
          <w:sz w:val="30"/>
          <w:szCs w:val="30"/>
          <w:highlight w:val="none"/>
        </w:rPr>
        <w:t>分。</w:t>
      </w:r>
    </w:p>
    <w:p>
      <w:pPr>
        <w:spacing w:line="560" w:lineRule="exact"/>
        <w:ind w:firstLine="600" w:firstLineChars="200"/>
        <w:jc w:val="left"/>
        <w:rPr>
          <w:rFonts w:ascii="仿宋" w:hAnsi="仿宋" w:eastAsia="仿宋" w:cs="仿宋"/>
          <w:sz w:val="30"/>
          <w:szCs w:val="30"/>
          <w:highlight w:val="none"/>
        </w:rPr>
      </w:pPr>
      <w:r>
        <w:rPr>
          <w:rFonts w:hint="eastAsia" w:ascii="仿宋" w:hAnsi="仿宋" w:eastAsia="仿宋" w:cs="仿宋"/>
          <w:sz w:val="30"/>
          <w:szCs w:val="30"/>
          <w:highlight w:val="none"/>
          <w:lang w:val="en-US" w:eastAsia="zh-CN"/>
        </w:rPr>
        <w:t>2</w:t>
      </w:r>
      <w:r>
        <w:rPr>
          <w:rFonts w:hint="eastAsia" w:ascii="仿宋" w:hAnsi="仿宋" w:eastAsia="仿宋" w:cs="仿宋"/>
          <w:sz w:val="30"/>
          <w:szCs w:val="30"/>
          <w:highlight w:val="none"/>
        </w:rPr>
        <w:t>.受益对象满意度（</w:t>
      </w:r>
      <w:r>
        <w:rPr>
          <w:rFonts w:hint="eastAsia" w:ascii="仿宋" w:hAnsi="仿宋" w:eastAsia="仿宋" w:cs="仿宋"/>
          <w:sz w:val="30"/>
          <w:szCs w:val="30"/>
          <w:highlight w:val="none"/>
          <w:lang w:val="en-US" w:eastAsia="zh-CN"/>
        </w:rPr>
        <w:t>10</w:t>
      </w:r>
      <w:r>
        <w:rPr>
          <w:rFonts w:hint="eastAsia" w:ascii="仿宋" w:hAnsi="仿宋" w:eastAsia="仿宋" w:cs="仿宋"/>
          <w:sz w:val="30"/>
          <w:szCs w:val="30"/>
          <w:highlight w:val="none"/>
        </w:rPr>
        <w:t>分）</w:t>
      </w:r>
    </w:p>
    <w:p>
      <w:pPr>
        <w:spacing w:line="560" w:lineRule="exact"/>
        <w:ind w:firstLine="600" w:firstLineChars="200"/>
        <w:jc w:val="left"/>
        <w:rPr>
          <w:rFonts w:ascii="仿宋" w:hAnsi="仿宋" w:eastAsia="仿宋" w:cs="仿宋"/>
          <w:sz w:val="30"/>
          <w:szCs w:val="30"/>
          <w:highlight w:val="none"/>
        </w:rPr>
      </w:pPr>
      <w:r>
        <w:rPr>
          <w:rFonts w:hint="eastAsia" w:ascii="仿宋" w:hAnsi="仿宋" w:eastAsia="仿宋" w:cs="仿宋"/>
          <w:sz w:val="30"/>
          <w:szCs w:val="30"/>
          <w:highlight w:val="none"/>
        </w:rPr>
        <w:t>该指标主要评价受益民众的满意程度。通过抽查，问卷调查统计发现，目前对该项目的实施满意度较高。</w:t>
      </w:r>
    </w:p>
    <w:p>
      <w:pPr>
        <w:pStyle w:val="5"/>
        <w:numPr>
          <w:ilvl w:val="0"/>
          <w:numId w:val="2"/>
        </w:numPr>
        <w:spacing w:before="0" w:line="560" w:lineRule="exact"/>
        <w:ind w:firstLine="600" w:firstLineChars="200"/>
        <w:jc w:val="both"/>
        <w:rPr>
          <w:rFonts w:cs="仿宋"/>
          <w:kern w:val="2"/>
          <w:sz w:val="30"/>
          <w:szCs w:val="30"/>
          <w:highlight w:val="none"/>
          <w:lang w:eastAsia="zh-CN"/>
        </w:rPr>
      </w:pPr>
      <w:r>
        <w:rPr>
          <w:rFonts w:hint="eastAsia" w:cs="仿宋"/>
          <w:kern w:val="2"/>
          <w:sz w:val="30"/>
          <w:szCs w:val="30"/>
          <w:highlight w:val="none"/>
          <w:lang w:eastAsia="zh-CN"/>
        </w:rPr>
        <w:t>受益对象满意度调查一览表</w:t>
      </w:r>
    </w:p>
    <w:tbl>
      <w:tblPr>
        <w:tblStyle w:val="12"/>
        <w:tblW w:w="5000" w:type="pct"/>
        <w:jc w:val="center"/>
        <w:tblLayout w:type="autofit"/>
        <w:tblCellMar>
          <w:top w:w="15" w:type="dxa"/>
          <w:left w:w="15" w:type="dxa"/>
          <w:bottom w:w="15" w:type="dxa"/>
          <w:right w:w="15" w:type="dxa"/>
        </w:tblCellMar>
      </w:tblPr>
      <w:tblGrid>
        <w:gridCol w:w="5878"/>
        <w:gridCol w:w="886"/>
        <w:gridCol w:w="1044"/>
        <w:gridCol w:w="1025"/>
        <w:gridCol w:w="835"/>
      </w:tblGrid>
      <w:tr>
        <w:tblPrEx>
          <w:tblCellMar>
            <w:top w:w="15" w:type="dxa"/>
            <w:left w:w="15" w:type="dxa"/>
            <w:bottom w:w="15" w:type="dxa"/>
            <w:right w:w="15" w:type="dxa"/>
          </w:tblCellMar>
        </w:tblPrEx>
        <w:trPr>
          <w:trHeight w:val="330" w:hRule="atLeast"/>
          <w:jc w:val="center"/>
        </w:trPr>
        <w:tc>
          <w:tcPr>
            <w:tcW w:w="5000" w:type="pct"/>
            <w:gridSpan w:val="5"/>
            <w:tcBorders>
              <w:top w:val="nil"/>
              <w:left w:val="nil"/>
              <w:bottom w:val="single" w:color="auto" w:sz="4" w:space="0"/>
              <w:right w:val="nil"/>
            </w:tcBorders>
            <w:vAlign w:val="center"/>
          </w:tcPr>
          <w:p>
            <w:pPr>
              <w:widowControl/>
              <w:spacing w:line="560" w:lineRule="exact"/>
              <w:jc w:val="center"/>
              <w:textAlignment w:val="center"/>
              <w:rPr>
                <w:rFonts w:ascii="仿宋" w:hAnsi="仿宋" w:eastAsia="仿宋" w:cs="仿宋"/>
                <w:b/>
                <w:color w:val="000000"/>
                <w:sz w:val="24"/>
                <w:szCs w:val="24"/>
                <w:highlight w:val="none"/>
              </w:rPr>
            </w:pPr>
            <w:r>
              <w:rPr>
                <w:rFonts w:hint="eastAsia" w:ascii="仿宋" w:hAnsi="仿宋" w:eastAsia="仿宋" w:cs="仿宋"/>
                <w:b/>
                <w:color w:val="000000"/>
                <w:kern w:val="0"/>
                <w:sz w:val="24"/>
                <w:szCs w:val="24"/>
                <w:highlight w:val="none"/>
              </w:rPr>
              <w:t>受益对象满意度调查问卷汇总表</w:t>
            </w:r>
          </w:p>
        </w:tc>
      </w:tr>
      <w:tr>
        <w:tblPrEx>
          <w:tblCellMar>
            <w:top w:w="15" w:type="dxa"/>
            <w:left w:w="15" w:type="dxa"/>
            <w:bottom w:w="15" w:type="dxa"/>
            <w:right w:w="15" w:type="dxa"/>
          </w:tblCellMar>
        </w:tblPrEx>
        <w:trPr>
          <w:trHeight w:val="525" w:hRule="atLeast"/>
          <w:jc w:val="center"/>
        </w:trPr>
        <w:tc>
          <w:tcPr>
            <w:tcW w:w="3040" w:type="pct"/>
            <w:tcBorders>
              <w:top w:val="single" w:color="auto" w:sz="4" w:space="0"/>
              <w:left w:val="single" w:color="auto" w:sz="4" w:space="0"/>
              <w:bottom w:val="single" w:color="auto" w:sz="4" w:space="0"/>
              <w:right w:val="single" w:color="auto" w:sz="4" w:space="0"/>
            </w:tcBorders>
            <w:vAlign w:val="center"/>
          </w:tcPr>
          <w:p>
            <w:pPr>
              <w:widowControl/>
              <w:spacing w:line="560" w:lineRule="exact"/>
              <w:jc w:val="center"/>
              <w:textAlignment w:val="center"/>
              <w:rPr>
                <w:rFonts w:ascii="仿宋" w:hAnsi="仿宋" w:eastAsia="仿宋" w:cs="仿宋"/>
                <w:b/>
                <w:color w:val="000000"/>
                <w:sz w:val="24"/>
                <w:szCs w:val="24"/>
                <w:highlight w:val="none"/>
              </w:rPr>
            </w:pPr>
            <w:r>
              <w:rPr>
                <w:rFonts w:hint="eastAsia" w:ascii="仿宋" w:hAnsi="仿宋" w:eastAsia="仿宋" w:cs="仿宋"/>
                <w:b/>
                <w:color w:val="000000"/>
                <w:kern w:val="0"/>
                <w:sz w:val="24"/>
                <w:szCs w:val="24"/>
                <w:highlight w:val="none"/>
              </w:rPr>
              <w:t>调查项目</w:t>
            </w:r>
          </w:p>
        </w:tc>
        <w:tc>
          <w:tcPr>
            <w:tcW w:w="458" w:type="pct"/>
            <w:tcBorders>
              <w:top w:val="single" w:color="auto" w:sz="4" w:space="0"/>
              <w:left w:val="single" w:color="auto" w:sz="4" w:space="0"/>
              <w:bottom w:val="single" w:color="auto" w:sz="4" w:space="0"/>
              <w:right w:val="single" w:color="auto" w:sz="4" w:space="0"/>
            </w:tcBorders>
            <w:vAlign w:val="center"/>
          </w:tcPr>
          <w:p>
            <w:pPr>
              <w:widowControl/>
              <w:spacing w:line="560" w:lineRule="exact"/>
              <w:jc w:val="center"/>
              <w:textAlignment w:val="center"/>
              <w:rPr>
                <w:rFonts w:ascii="仿宋" w:hAnsi="仿宋" w:eastAsia="仿宋" w:cs="仿宋"/>
                <w:b/>
                <w:color w:val="000000"/>
                <w:kern w:val="0"/>
                <w:sz w:val="24"/>
                <w:szCs w:val="24"/>
                <w:highlight w:val="none"/>
              </w:rPr>
            </w:pPr>
            <w:r>
              <w:rPr>
                <w:rFonts w:hint="eastAsia" w:ascii="仿宋" w:hAnsi="仿宋" w:eastAsia="仿宋" w:cs="仿宋"/>
                <w:b/>
                <w:color w:val="000000"/>
                <w:kern w:val="0"/>
                <w:sz w:val="24"/>
                <w:szCs w:val="24"/>
                <w:highlight w:val="none"/>
              </w:rPr>
              <w:t>满意/</w:t>
            </w:r>
          </w:p>
          <w:p>
            <w:pPr>
              <w:widowControl/>
              <w:spacing w:line="560" w:lineRule="exact"/>
              <w:jc w:val="center"/>
              <w:textAlignment w:val="center"/>
              <w:rPr>
                <w:rFonts w:ascii="仿宋" w:hAnsi="仿宋" w:eastAsia="仿宋" w:cs="仿宋"/>
                <w:b/>
                <w:color w:val="000000"/>
                <w:sz w:val="24"/>
                <w:szCs w:val="24"/>
                <w:highlight w:val="none"/>
              </w:rPr>
            </w:pPr>
            <w:r>
              <w:rPr>
                <w:rFonts w:hint="eastAsia" w:ascii="仿宋" w:hAnsi="仿宋" w:eastAsia="仿宋" w:cs="仿宋"/>
                <w:b/>
                <w:color w:val="000000"/>
                <w:kern w:val="0"/>
                <w:sz w:val="24"/>
                <w:szCs w:val="24"/>
                <w:highlight w:val="none"/>
              </w:rPr>
              <w:t>人次</w:t>
            </w:r>
          </w:p>
        </w:tc>
        <w:tc>
          <w:tcPr>
            <w:tcW w:w="540" w:type="pct"/>
            <w:tcBorders>
              <w:top w:val="single" w:color="auto" w:sz="4" w:space="0"/>
              <w:left w:val="single" w:color="auto" w:sz="4" w:space="0"/>
              <w:bottom w:val="single" w:color="auto" w:sz="4" w:space="0"/>
              <w:right w:val="single" w:color="auto" w:sz="4" w:space="0"/>
            </w:tcBorders>
            <w:vAlign w:val="center"/>
          </w:tcPr>
          <w:p>
            <w:pPr>
              <w:widowControl/>
              <w:spacing w:line="560" w:lineRule="exact"/>
              <w:jc w:val="center"/>
              <w:textAlignment w:val="center"/>
              <w:rPr>
                <w:rFonts w:ascii="仿宋" w:hAnsi="仿宋" w:eastAsia="仿宋" w:cs="仿宋"/>
                <w:b/>
                <w:color w:val="000000"/>
                <w:kern w:val="0"/>
                <w:sz w:val="24"/>
                <w:szCs w:val="24"/>
                <w:highlight w:val="none"/>
              </w:rPr>
            </w:pPr>
            <w:r>
              <w:rPr>
                <w:rFonts w:hint="eastAsia" w:ascii="仿宋" w:hAnsi="仿宋" w:eastAsia="仿宋" w:cs="仿宋"/>
                <w:b/>
                <w:color w:val="000000"/>
                <w:kern w:val="0"/>
                <w:sz w:val="24"/>
                <w:szCs w:val="24"/>
                <w:highlight w:val="none"/>
              </w:rPr>
              <w:t>一般/</w:t>
            </w:r>
          </w:p>
          <w:p>
            <w:pPr>
              <w:widowControl/>
              <w:spacing w:line="560" w:lineRule="exact"/>
              <w:jc w:val="center"/>
              <w:textAlignment w:val="center"/>
              <w:rPr>
                <w:rFonts w:ascii="仿宋" w:hAnsi="仿宋" w:eastAsia="仿宋" w:cs="仿宋"/>
                <w:b/>
                <w:color w:val="000000"/>
                <w:sz w:val="24"/>
                <w:szCs w:val="24"/>
                <w:highlight w:val="none"/>
              </w:rPr>
            </w:pPr>
            <w:r>
              <w:rPr>
                <w:rFonts w:hint="eastAsia" w:ascii="仿宋" w:hAnsi="仿宋" w:eastAsia="仿宋" w:cs="仿宋"/>
                <w:b/>
                <w:color w:val="000000"/>
                <w:kern w:val="0"/>
                <w:sz w:val="24"/>
                <w:szCs w:val="24"/>
                <w:highlight w:val="none"/>
              </w:rPr>
              <w:t>人次</w:t>
            </w:r>
          </w:p>
        </w:tc>
        <w:tc>
          <w:tcPr>
            <w:tcW w:w="530" w:type="pct"/>
            <w:tcBorders>
              <w:top w:val="single" w:color="auto" w:sz="4" w:space="0"/>
              <w:left w:val="single" w:color="auto" w:sz="4" w:space="0"/>
              <w:bottom w:val="single" w:color="auto" w:sz="4" w:space="0"/>
              <w:right w:val="single" w:color="auto" w:sz="4" w:space="0"/>
            </w:tcBorders>
            <w:vAlign w:val="center"/>
          </w:tcPr>
          <w:p>
            <w:pPr>
              <w:widowControl/>
              <w:spacing w:line="560" w:lineRule="exact"/>
              <w:jc w:val="center"/>
              <w:textAlignment w:val="center"/>
              <w:rPr>
                <w:rFonts w:ascii="仿宋" w:hAnsi="仿宋" w:eastAsia="仿宋" w:cs="仿宋"/>
                <w:b/>
                <w:color w:val="000000"/>
                <w:kern w:val="0"/>
                <w:sz w:val="24"/>
                <w:szCs w:val="24"/>
                <w:highlight w:val="none"/>
              </w:rPr>
            </w:pPr>
            <w:r>
              <w:rPr>
                <w:rFonts w:hint="eastAsia" w:ascii="仿宋" w:hAnsi="仿宋" w:eastAsia="仿宋" w:cs="仿宋"/>
                <w:b/>
                <w:color w:val="000000"/>
                <w:kern w:val="0"/>
                <w:sz w:val="24"/>
                <w:szCs w:val="24"/>
                <w:highlight w:val="none"/>
              </w:rPr>
              <w:t>不满意/</w:t>
            </w:r>
          </w:p>
          <w:p>
            <w:pPr>
              <w:widowControl/>
              <w:spacing w:line="560" w:lineRule="exact"/>
              <w:jc w:val="center"/>
              <w:textAlignment w:val="center"/>
              <w:rPr>
                <w:rFonts w:ascii="仿宋" w:hAnsi="仿宋" w:eastAsia="仿宋" w:cs="仿宋"/>
                <w:b/>
                <w:color w:val="000000"/>
                <w:sz w:val="24"/>
                <w:szCs w:val="24"/>
                <w:highlight w:val="none"/>
              </w:rPr>
            </w:pPr>
            <w:r>
              <w:rPr>
                <w:rFonts w:hint="eastAsia" w:ascii="仿宋" w:hAnsi="仿宋" w:eastAsia="仿宋" w:cs="仿宋"/>
                <w:b/>
                <w:color w:val="000000"/>
                <w:kern w:val="0"/>
                <w:sz w:val="24"/>
                <w:szCs w:val="24"/>
                <w:highlight w:val="none"/>
              </w:rPr>
              <w:t>人次</w:t>
            </w:r>
          </w:p>
        </w:tc>
        <w:tc>
          <w:tcPr>
            <w:tcW w:w="430" w:type="pct"/>
            <w:tcBorders>
              <w:top w:val="single" w:color="auto" w:sz="4" w:space="0"/>
              <w:left w:val="single" w:color="auto" w:sz="4" w:space="0"/>
              <w:bottom w:val="single" w:color="auto" w:sz="4" w:space="0"/>
              <w:right w:val="single" w:color="auto" w:sz="4" w:space="0"/>
            </w:tcBorders>
            <w:vAlign w:val="center"/>
          </w:tcPr>
          <w:p>
            <w:pPr>
              <w:widowControl/>
              <w:spacing w:line="560" w:lineRule="exact"/>
              <w:jc w:val="center"/>
              <w:textAlignment w:val="center"/>
              <w:rPr>
                <w:rFonts w:ascii="仿宋" w:hAnsi="仿宋" w:eastAsia="仿宋" w:cs="仿宋"/>
                <w:b/>
                <w:color w:val="000000"/>
                <w:kern w:val="0"/>
                <w:sz w:val="24"/>
                <w:szCs w:val="24"/>
                <w:highlight w:val="none"/>
              </w:rPr>
            </w:pPr>
            <w:r>
              <w:rPr>
                <w:rFonts w:hint="eastAsia" w:ascii="仿宋" w:hAnsi="仿宋" w:eastAsia="仿宋" w:cs="仿宋"/>
                <w:b/>
                <w:color w:val="000000"/>
                <w:kern w:val="0"/>
                <w:sz w:val="24"/>
                <w:szCs w:val="24"/>
                <w:highlight w:val="none"/>
              </w:rPr>
              <w:t>合计/</w:t>
            </w:r>
          </w:p>
          <w:p>
            <w:pPr>
              <w:widowControl/>
              <w:spacing w:line="560" w:lineRule="exact"/>
              <w:jc w:val="center"/>
              <w:textAlignment w:val="center"/>
              <w:rPr>
                <w:rFonts w:ascii="仿宋" w:hAnsi="仿宋" w:eastAsia="仿宋" w:cs="仿宋"/>
                <w:b/>
                <w:color w:val="000000"/>
                <w:sz w:val="24"/>
                <w:szCs w:val="24"/>
                <w:highlight w:val="none"/>
              </w:rPr>
            </w:pPr>
            <w:r>
              <w:rPr>
                <w:rFonts w:hint="eastAsia" w:ascii="仿宋" w:hAnsi="仿宋" w:eastAsia="仿宋" w:cs="仿宋"/>
                <w:b/>
                <w:color w:val="000000"/>
                <w:kern w:val="0"/>
                <w:sz w:val="24"/>
                <w:szCs w:val="24"/>
                <w:highlight w:val="none"/>
              </w:rPr>
              <w:t>人次</w:t>
            </w:r>
          </w:p>
        </w:tc>
      </w:tr>
      <w:tr>
        <w:tblPrEx>
          <w:tblCellMar>
            <w:top w:w="15" w:type="dxa"/>
            <w:left w:w="15" w:type="dxa"/>
            <w:bottom w:w="15" w:type="dxa"/>
            <w:right w:w="15" w:type="dxa"/>
          </w:tblCellMar>
        </w:tblPrEx>
        <w:trPr>
          <w:trHeight w:val="590" w:hRule="atLeast"/>
          <w:jc w:val="center"/>
        </w:trPr>
        <w:tc>
          <w:tcPr>
            <w:tcW w:w="3040" w:type="pct"/>
            <w:tcBorders>
              <w:top w:val="single" w:color="000000" w:sz="4" w:space="0"/>
              <w:left w:val="single" w:color="000000" w:sz="4" w:space="0"/>
              <w:bottom w:val="single" w:color="000000" w:sz="4" w:space="0"/>
              <w:right w:val="single" w:color="000000" w:sz="4" w:space="0"/>
            </w:tcBorders>
            <w:vAlign w:val="center"/>
          </w:tcPr>
          <w:p>
            <w:pPr>
              <w:widowControl/>
              <w:spacing w:line="560" w:lineRule="exact"/>
              <w:jc w:val="center"/>
              <w:textAlignment w:val="cente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工资发放</w:t>
            </w:r>
          </w:p>
        </w:tc>
        <w:tc>
          <w:tcPr>
            <w:tcW w:w="458" w:type="pct"/>
            <w:tcBorders>
              <w:top w:val="single" w:color="000000" w:sz="4" w:space="0"/>
              <w:left w:val="single" w:color="000000" w:sz="4" w:space="0"/>
              <w:bottom w:val="single" w:color="000000" w:sz="4" w:space="0"/>
              <w:right w:val="single" w:color="000000" w:sz="4" w:space="0"/>
            </w:tcBorders>
            <w:vAlign w:val="center"/>
          </w:tcPr>
          <w:p>
            <w:pPr>
              <w:widowControl/>
              <w:spacing w:line="560" w:lineRule="exact"/>
              <w:jc w:val="center"/>
              <w:textAlignment w:val="cente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10</w:t>
            </w:r>
          </w:p>
        </w:tc>
        <w:tc>
          <w:tcPr>
            <w:tcW w:w="540" w:type="pct"/>
            <w:tcBorders>
              <w:top w:val="single" w:color="000000" w:sz="4" w:space="0"/>
              <w:left w:val="single" w:color="000000" w:sz="4" w:space="0"/>
              <w:bottom w:val="single" w:color="000000" w:sz="4" w:space="0"/>
              <w:right w:val="single" w:color="000000" w:sz="4" w:space="0"/>
            </w:tcBorders>
            <w:vAlign w:val="center"/>
          </w:tcPr>
          <w:p>
            <w:pPr>
              <w:widowControl/>
              <w:spacing w:line="560" w:lineRule="exact"/>
              <w:jc w:val="center"/>
              <w:textAlignment w:val="center"/>
              <w:rPr>
                <w:rFonts w:ascii="仿宋" w:hAnsi="仿宋" w:eastAsia="仿宋" w:cs="仿宋"/>
                <w:color w:val="000000"/>
                <w:sz w:val="24"/>
                <w:szCs w:val="24"/>
                <w:highlight w:val="none"/>
              </w:rPr>
            </w:pPr>
          </w:p>
        </w:tc>
        <w:tc>
          <w:tcPr>
            <w:tcW w:w="530" w:type="pct"/>
            <w:tcBorders>
              <w:top w:val="single" w:color="000000" w:sz="4" w:space="0"/>
              <w:left w:val="single" w:color="000000" w:sz="4" w:space="0"/>
              <w:bottom w:val="single" w:color="000000" w:sz="4" w:space="0"/>
              <w:right w:val="single" w:color="000000" w:sz="4" w:space="0"/>
            </w:tcBorders>
            <w:vAlign w:val="center"/>
          </w:tcPr>
          <w:p>
            <w:pPr>
              <w:widowControl/>
              <w:spacing w:line="560" w:lineRule="exact"/>
              <w:jc w:val="center"/>
              <w:textAlignment w:val="center"/>
              <w:rPr>
                <w:rFonts w:ascii="仿宋" w:hAnsi="仿宋" w:eastAsia="仿宋" w:cs="仿宋"/>
                <w:color w:val="000000"/>
                <w:sz w:val="24"/>
                <w:szCs w:val="24"/>
                <w:highlight w:val="none"/>
              </w:rPr>
            </w:pPr>
          </w:p>
        </w:tc>
        <w:tc>
          <w:tcPr>
            <w:tcW w:w="430" w:type="pct"/>
            <w:tcBorders>
              <w:top w:val="single" w:color="000000" w:sz="4" w:space="0"/>
              <w:left w:val="single" w:color="000000" w:sz="4" w:space="0"/>
              <w:bottom w:val="single" w:color="000000" w:sz="4" w:space="0"/>
              <w:right w:val="single" w:color="000000" w:sz="4" w:space="0"/>
            </w:tcBorders>
            <w:vAlign w:val="center"/>
          </w:tcPr>
          <w:p>
            <w:pPr>
              <w:widowControl/>
              <w:spacing w:line="560" w:lineRule="exact"/>
              <w:jc w:val="center"/>
              <w:textAlignment w:val="cente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10</w:t>
            </w:r>
          </w:p>
        </w:tc>
      </w:tr>
      <w:tr>
        <w:tblPrEx>
          <w:tblCellMar>
            <w:top w:w="15" w:type="dxa"/>
            <w:left w:w="15" w:type="dxa"/>
            <w:bottom w:w="15" w:type="dxa"/>
            <w:right w:w="15" w:type="dxa"/>
          </w:tblCellMar>
        </w:tblPrEx>
        <w:trPr>
          <w:trHeight w:val="90" w:hRule="atLeast"/>
          <w:jc w:val="center"/>
        </w:trPr>
        <w:tc>
          <w:tcPr>
            <w:tcW w:w="3040" w:type="pct"/>
            <w:tcBorders>
              <w:top w:val="single" w:color="000000" w:sz="4" w:space="0"/>
              <w:left w:val="single" w:color="000000" w:sz="4" w:space="0"/>
              <w:bottom w:val="single" w:color="000000" w:sz="4" w:space="0"/>
              <w:right w:val="single" w:color="000000" w:sz="4" w:space="0"/>
            </w:tcBorders>
            <w:vAlign w:val="center"/>
          </w:tcPr>
          <w:p>
            <w:pPr>
              <w:widowControl/>
              <w:spacing w:line="560" w:lineRule="exact"/>
              <w:jc w:val="center"/>
              <w:textAlignment w:val="center"/>
              <w:rPr>
                <w:rFonts w:ascii="仿宋" w:hAnsi="仿宋" w:eastAsia="仿宋" w:cs="仿宋"/>
                <w:sz w:val="24"/>
                <w:szCs w:val="24"/>
                <w:highlight w:val="none"/>
              </w:rPr>
            </w:pPr>
            <w:r>
              <w:rPr>
                <w:rFonts w:hint="eastAsia" w:ascii="仿宋" w:hAnsi="仿宋" w:eastAsia="仿宋" w:cs="仿宋"/>
                <w:color w:val="000000"/>
                <w:sz w:val="24"/>
                <w:szCs w:val="24"/>
                <w:highlight w:val="none"/>
              </w:rPr>
              <w:t>福利待遇</w:t>
            </w:r>
          </w:p>
        </w:tc>
        <w:tc>
          <w:tcPr>
            <w:tcW w:w="458" w:type="pct"/>
            <w:tcBorders>
              <w:top w:val="single" w:color="000000" w:sz="4" w:space="0"/>
              <w:left w:val="single" w:color="000000" w:sz="4" w:space="0"/>
              <w:bottom w:val="single" w:color="000000" w:sz="4" w:space="0"/>
              <w:right w:val="single" w:color="000000" w:sz="4" w:space="0"/>
            </w:tcBorders>
            <w:vAlign w:val="center"/>
          </w:tcPr>
          <w:p>
            <w:pPr>
              <w:widowControl/>
              <w:spacing w:line="560" w:lineRule="exact"/>
              <w:jc w:val="center"/>
              <w:textAlignment w:val="cente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10</w:t>
            </w:r>
          </w:p>
        </w:tc>
        <w:tc>
          <w:tcPr>
            <w:tcW w:w="540" w:type="pct"/>
            <w:tcBorders>
              <w:top w:val="single" w:color="000000" w:sz="4" w:space="0"/>
              <w:left w:val="single" w:color="000000" w:sz="4" w:space="0"/>
              <w:bottom w:val="single" w:color="000000" w:sz="4" w:space="0"/>
              <w:right w:val="single" w:color="000000" w:sz="4" w:space="0"/>
            </w:tcBorders>
            <w:vAlign w:val="center"/>
          </w:tcPr>
          <w:p>
            <w:pPr>
              <w:widowControl/>
              <w:spacing w:line="560" w:lineRule="exact"/>
              <w:jc w:val="center"/>
              <w:textAlignment w:val="center"/>
              <w:rPr>
                <w:rFonts w:ascii="仿宋" w:hAnsi="仿宋" w:eastAsia="仿宋" w:cs="仿宋"/>
                <w:color w:val="000000"/>
                <w:sz w:val="24"/>
                <w:szCs w:val="24"/>
                <w:highlight w:val="none"/>
              </w:rPr>
            </w:pPr>
          </w:p>
        </w:tc>
        <w:tc>
          <w:tcPr>
            <w:tcW w:w="530" w:type="pct"/>
            <w:tcBorders>
              <w:top w:val="single" w:color="000000" w:sz="4" w:space="0"/>
              <w:left w:val="single" w:color="000000" w:sz="4" w:space="0"/>
              <w:bottom w:val="single" w:color="000000" w:sz="4" w:space="0"/>
              <w:right w:val="single" w:color="000000" w:sz="4" w:space="0"/>
            </w:tcBorders>
            <w:vAlign w:val="center"/>
          </w:tcPr>
          <w:p>
            <w:pPr>
              <w:widowControl/>
              <w:spacing w:line="560" w:lineRule="exact"/>
              <w:jc w:val="center"/>
              <w:textAlignment w:val="center"/>
              <w:rPr>
                <w:rFonts w:ascii="仿宋" w:hAnsi="仿宋" w:eastAsia="仿宋" w:cs="仿宋"/>
                <w:color w:val="000000"/>
                <w:sz w:val="24"/>
                <w:szCs w:val="24"/>
                <w:highlight w:val="none"/>
              </w:rPr>
            </w:pPr>
          </w:p>
        </w:tc>
        <w:tc>
          <w:tcPr>
            <w:tcW w:w="430" w:type="pct"/>
            <w:tcBorders>
              <w:top w:val="single" w:color="000000" w:sz="4" w:space="0"/>
              <w:left w:val="single" w:color="000000" w:sz="4" w:space="0"/>
              <w:bottom w:val="single" w:color="000000" w:sz="4" w:space="0"/>
              <w:right w:val="single" w:color="000000" w:sz="4" w:space="0"/>
            </w:tcBorders>
            <w:vAlign w:val="center"/>
          </w:tcPr>
          <w:p>
            <w:pPr>
              <w:widowControl/>
              <w:spacing w:line="560" w:lineRule="exact"/>
              <w:jc w:val="center"/>
              <w:textAlignment w:val="cente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10</w:t>
            </w:r>
          </w:p>
        </w:tc>
      </w:tr>
      <w:tr>
        <w:tblPrEx>
          <w:tblCellMar>
            <w:top w:w="15" w:type="dxa"/>
            <w:left w:w="15" w:type="dxa"/>
            <w:bottom w:w="15" w:type="dxa"/>
            <w:right w:w="15" w:type="dxa"/>
          </w:tblCellMar>
        </w:tblPrEx>
        <w:trPr>
          <w:trHeight w:val="90" w:hRule="atLeast"/>
          <w:jc w:val="center"/>
        </w:trPr>
        <w:tc>
          <w:tcPr>
            <w:tcW w:w="3040" w:type="pct"/>
            <w:tcBorders>
              <w:top w:val="single" w:color="000000" w:sz="4" w:space="0"/>
              <w:left w:val="single" w:color="000000" w:sz="4" w:space="0"/>
              <w:bottom w:val="single" w:color="000000" w:sz="4" w:space="0"/>
              <w:right w:val="single" w:color="000000" w:sz="4" w:space="0"/>
            </w:tcBorders>
            <w:vAlign w:val="center"/>
          </w:tcPr>
          <w:p>
            <w:pPr>
              <w:widowControl/>
              <w:spacing w:line="560" w:lineRule="exact"/>
              <w:jc w:val="center"/>
              <w:textAlignment w:val="cente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社会待遇</w:t>
            </w:r>
          </w:p>
        </w:tc>
        <w:tc>
          <w:tcPr>
            <w:tcW w:w="458" w:type="pct"/>
            <w:tcBorders>
              <w:top w:val="single" w:color="000000" w:sz="4" w:space="0"/>
              <w:left w:val="single" w:color="000000" w:sz="4" w:space="0"/>
              <w:bottom w:val="single" w:color="000000" w:sz="4" w:space="0"/>
              <w:right w:val="single" w:color="000000" w:sz="4" w:space="0"/>
            </w:tcBorders>
            <w:vAlign w:val="center"/>
          </w:tcPr>
          <w:p>
            <w:pPr>
              <w:widowControl/>
              <w:spacing w:line="560" w:lineRule="exact"/>
              <w:jc w:val="center"/>
              <w:textAlignment w:val="cente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10</w:t>
            </w:r>
          </w:p>
        </w:tc>
        <w:tc>
          <w:tcPr>
            <w:tcW w:w="540" w:type="pct"/>
            <w:tcBorders>
              <w:top w:val="single" w:color="000000" w:sz="4" w:space="0"/>
              <w:left w:val="single" w:color="000000" w:sz="4" w:space="0"/>
              <w:bottom w:val="single" w:color="000000" w:sz="4" w:space="0"/>
              <w:right w:val="single" w:color="000000" w:sz="4" w:space="0"/>
            </w:tcBorders>
            <w:vAlign w:val="center"/>
          </w:tcPr>
          <w:p>
            <w:pPr>
              <w:widowControl/>
              <w:spacing w:line="560" w:lineRule="exact"/>
              <w:jc w:val="center"/>
              <w:textAlignment w:val="center"/>
              <w:rPr>
                <w:rFonts w:ascii="仿宋" w:hAnsi="仿宋" w:eastAsia="仿宋" w:cs="仿宋"/>
                <w:color w:val="000000"/>
                <w:sz w:val="24"/>
                <w:szCs w:val="24"/>
                <w:highlight w:val="none"/>
              </w:rPr>
            </w:pPr>
          </w:p>
        </w:tc>
        <w:tc>
          <w:tcPr>
            <w:tcW w:w="530" w:type="pct"/>
            <w:tcBorders>
              <w:top w:val="single" w:color="000000" w:sz="4" w:space="0"/>
              <w:left w:val="single" w:color="000000" w:sz="4" w:space="0"/>
              <w:bottom w:val="single" w:color="000000" w:sz="4" w:space="0"/>
              <w:right w:val="single" w:color="000000" w:sz="4" w:space="0"/>
            </w:tcBorders>
            <w:vAlign w:val="center"/>
          </w:tcPr>
          <w:p>
            <w:pPr>
              <w:widowControl/>
              <w:spacing w:line="560" w:lineRule="exact"/>
              <w:jc w:val="center"/>
              <w:textAlignment w:val="center"/>
              <w:rPr>
                <w:rFonts w:ascii="仿宋" w:hAnsi="仿宋" w:eastAsia="仿宋" w:cs="仿宋"/>
                <w:color w:val="000000"/>
                <w:sz w:val="24"/>
                <w:szCs w:val="24"/>
                <w:highlight w:val="none"/>
              </w:rPr>
            </w:pPr>
          </w:p>
        </w:tc>
        <w:tc>
          <w:tcPr>
            <w:tcW w:w="430" w:type="pct"/>
            <w:tcBorders>
              <w:top w:val="single" w:color="000000" w:sz="4" w:space="0"/>
              <w:left w:val="single" w:color="000000" w:sz="4" w:space="0"/>
              <w:bottom w:val="single" w:color="000000" w:sz="4" w:space="0"/>
              <w:right w:val="single" w:color="000000" w:sz="4" w:space="0"/>
            </w:tcBorders>
            <w:vAlign w:val="center"/>
          </w:tcPr>
          <w:p>
            <w:pPr>
              <w:widowControl/>
              <w:spacing w:line="560" w:lineRule="exact"/>
              <w:jc w:val="center"/>
              <w:textAlignment w:val="cente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10</w:t>
            </w:r>
          </w:p>
        </w:tc>
      </w:tr>
    </w:tbl>
    <w:p>
      <w:pPr>
        <w:spacing w:line="360" w:lineRule="auto"/>
        <w:ind w:firstLine="640" w:firstLineChars="200"/>
        <w:textAlignment w:val="baseline"/>
        <w:rPr>
          <w:rFonts w:ascii="仿宋_GB2312" w:eastAsia="仿宋_GB2312" w:hAnsiTheme="minorEastAsia"/>
          <w:sz w:val="32"/>
          <w:szCs w:val="32"/>
          <w:highlight w:val="none"/>
          <w:u w:color="000000"/>
        </w:rPr>
      </w:pPr>
      <w:r>
        <w:rPr>
          <w:rFonts w:hint="eastAsia" w:ascii="仿宋_GB2312" w:eastAsia="仿宋_GB2312" w:hAnsiTheme="minorEastAsia"/>
          <w:sz w:val="32"/>
          <w:szCs w:val="32"/>
          <w:highlight w:val="none"/>
          <w:u w:color="000000"/>
        </w:rPr>
        <w:t>调查问卷共分为3个单项，每个单项满分为10分。其中：每一单项满分为10分：满意为10分，一般为5分，不满意为0分。</w:t>
      </w:r>
    </w:p>
    <w:p>
      <w:pPr>
        <w:spacing w:line="360" w:lineRule="auto"/>
        <w:ind w:firstLine="640" w:firstLineChars="200"/>
        <w:textAlignment w:val="baseline"/>
        <w:rPr>
          <w:rFonts w:ascii="仿宋_GB2312" w:eastAsia="仿宋_GB2312" w:hAnsiTheme="minorEastAsia"/>
          <w:sz w:val="32"/>
          <w:szCs w:val="32"/>
          <w:highlight w:val="none"/>
          <w:u w:color="000000"/>
        </w:rPr>
      </w:pPr>
      <w:r>
        <w:rPr>
          <w:rFonts w:hint="eastAsia" w:ascii="仿宋_GB2312" w:eastAsia="仿宋_GB2312" w:hAnsiTheme="minorEastAsia"/>
          <w:sz w:val="32"/>
          <w:szCs w:val="32"/>
          <w:highlight w:val="none"/>
          <w:u w:color="000000"/>
        </w:rPr>
        <w:t>单项满意度得分=总分数/总人数</w:t>
      </w:r>
    </w:p>
    <w:p>
      <w:pPr>
        <w:spacing w:line="360" w:lineRule="auto"/>
        <w:ind w:firstLine="640" w:firstLineChars="200"/>
        <w:textAlignment w:val="baseline"/>
        <w:rPr>
          <w:rFonts w:ascii="仿宋_GB2312" w:eastAsia="仿宋_GB2312" w:hAnsiTheme="minorEastAsia"/>
          <w:sz w:val="32"/>
          <w:szCs w:val="32"/>
          <w:highlight w:val="none"/>
          <w:u w:color="000000"/>
        </w:rPr>
      </w:pPr>
      <w:r>
        <w:rPr>
          <w:rFonts w:hint="eastAsia" w:ascii="仿宋_GB2312" w:eastAsia="仿宋_GB2312" w:hAnsiTheme="minorEastAsia"/>
          <w:sz w:val="32"/>
          <w:szCs w:val="32"/>
          <w:highlight w:val="none"/>
          <w:u w:color="000000"/>
        </w:rPr>
        <w:t>总体满意度得分=∑1/3各单项满意度得分</w:t>
      </w:r>
    </w:p>
    <w:p>
      <w:pPr>
        <w:spacing w:line="360" w:lineRule="auto"/>
        <w:ind w:firstLine="640" w:firstLineChars="200"/>
        <w:textAlignment w:val="baseline"/>
        <w:rPr>
          <w:rFonts w:ascii="仿宋_GB2312" w:eastAsia="仿宋_GB2312" w:hAnsiTheme="minorEastAsia"/>
          <w:sz w:val="32"/>
          <w:szCs w:val="32"/>
          <w:highlight w:val="none"/>
          <w:u w:color="000000"/>
        </w:rPr>
      </w:pPr>
      <w:r>
        <w:rPr>
          <w:rFonts w:hint="eastAsia" w:ascii="仿宋_GB2312" w:eastAsia="仿宋_GB2312" w:hAnsiTheme="minorEastAsia"/>
          <w:sz w:val="32"/>
          <w:szCs w:val="32"/>
          <w:highlight w:val="none"/>
          <w:u w:color="000000"/>
        </w:rPr>
        <w:t>经计算，总体得分为10分。</w:t>
      </w:r>
    </w:p>
    <w:p>
      <w:pPr>
        <w:spacing w:line="360" w:lineRule="auto"/>
        <w:ind w:firstLine="640" w:firstLineChars="200"/>
        <w:rPr>
          <w:rFonts w:ascii="仿宋" w:hAnsi="仿宋" w:eastAsia="仿宋" w:cs="仿宋"/>
          <w:sz w:val="30"/>
          <w:szCs w:val="30"/>
          <w:highlight w:val="none"/>
        </w:rPr>
      </w:pPr>
      <w:r>
        <w:rPr>
          <w:rFonts w:hint="eastAsia" w:ascii="仿宋_GB2312" w:eastAsia="仿宋_GB2312" w:hAnsiTheme="minorEastAsia"/>
          <w:sz w:val="32"/>
          <w:szCs w:val="32"/>
          <w:highlight w:val="none"/>
          <w:u w:color="000000"/>
        </w:rPr>
        <w:t>该指标实际得</w:t>
      </w:r>
      <w:r>
        <w:rPr>
          <w:rFonts w:hint="eastAsia" w:ascii="仿宋_GB2312" w:eastAsia="仿宋_GB2312" w:hAnsiTheme="minorEastAsia"/>
          <w:sz w:val="32"/>
          <w:szCs w:val="32"/>
          <w:highlight w:val="none"/>
          <w:u w:color="000000"/>
          <w:lang w:val="en-US" w:eastAsia="zh-CN"/>
        </w:rPr>
        <w:t>10</w:t>
      </w:r>
      <w:r>
        <w:rPr>
          <w:rFonts w:hint="eastAsia" w:ascii="仿宋_GB2312" w:eastAsia="仿宋_GB2312" w:hAnsiTheme="minorEastAsia"/>
          <w:sz w:val="32"/>
          <w:szCs w:val="32"/>
          <w:highlight w:val="none"/>
          <w:u w:color="000000"/>
        </w:rPr>
        <w:t>分。</w:t>
      </w:r>
    </w:p>
    <w:p>
      <w:pPr>
        <w:spacing w:line="560" w:lineRule="exact"/>
        <w:ind w:firstLine="643" w:firstLineChars="200"/>
        <w:jc w:val="left"/>
        <w:outlineLvl w:val="0"/>
        <w:rPr>
          <w:rFonts w:ascii="仿宋" w:hAnsi="仿宋" w:eastAsia="仿宋" w:cs="仿宋"/>
          <w:b/>
          <w:bCs/>
          <w:sz w:val="32"/>
          <w:szCs w:val="32"/>
          <w:highlight w:val="none"/>
        </w:rPr>
      </w:pPr>
      <w:bookmarkStart w:id="63" w:name="_Toc30943"/>
      <w:bookmarkStart w:id="64" w:name="_Toc6602"/>
      <w:bookmarkStart w:id="65" w:name="_Toc501368363"/>
      <w:bookmarkStart w:id="66" w:name="_Toc83630434"/>
      <w:bookmarkStart w:id="67" w:name="_Toc12802"/>
      <w:bookmarkStart w:id="68" w:name="_Toc10985"/>
      <w:bookmarkStart w:id="69" w:name="_Toc83631048"/>
      <w:r>
        <w:rPr>
          <w:rFonts w:hint="eastAsia" w:ascii="仿宋" w:hAnsi="仿宋" w:eastAsia="仿宋" w:cs="仿宋"/>
          <w:b/>
          <w:bCs/>
          <w:sz w:val="32"/>
          <w:szCs w:val="32"/>
          <w:highlight w:val="none"/>
        </w:rPr>
        <w:t>五、绩效评价依据</w:t>
      </w:r>
      <w:bookmarkEnd w:id="63"/>
    </w:p>
    <w:p>
      <w:pPr>
        <w:spacing w:line="560" w:lineRule="exact"/>
        <w:ind w:firstLine="600" w:firstLineChars="200"/>
        <w:rPr>
          <w:rFonts w:hint="eastAsia" w:ascii="仿宋" w:hAnsi="仿宋" w:eastAsia="仿宋" w:cs="仿宋"/>
          <w:sz w:val="30"/>
          <w:szCs w:val="30"/>
          <w:highlight w:val="none"/>
          <w:lang w:eastAsia="zh-CN"/>
        </w:rPr>
      </w:pPr>
      <w:r>
        <w:rPr>
          <w:rFonts w:hint="eastAsia" w:ascii="仿宋" w:hAnsi="仿宋" w:eastAsia="仿宋" w:cs="仿宋"/>
          <w:sz w:val="30"/>
          <w:szCs w:val="30"/>
          <w:highlight w:val="none"/>
        </w:rPr>
        <w:t>（1）《中华人民共和国预算法》(主席令第21号)；</w:t>
      </w:r>
    </w:p>
    <w:p>
      <w:pPr>
        <w:spacing w:line="560" w:lineRule="exact"/>
        <w:ind w:firstLine="600" w:firstLineChars="200"/>
        <w:rPr>
          <w:rFonts w:ascii="仿宋" w:hAnsi="仿宋" w:eastAsia="仿宋" w:cs="仿宋"/>
          <w:sz w:val="30"/>
          <w:szCs w:val="30"/>
          <w:highlight w:val="none"/>
        </w:rPr>
      </w:pPr>
      <w:r>
        <w:rPr>
          <w:rFonts w:hint="eastAsia" w:ascii="仿宋" w:hAnsi="仿宋" w:eastAsia="仿宋" w:cs="仿宋"/>
          <w:sz w:val="30"/>
          <w:szCs w:val="30"/>
          <w:highlight w:val="none"/>
        </w:rPr>
        <w:t>（2）《河北省财政支出绩效评价管理办法》（冀财预〔2011〕68号）；</w:t>
      </w:r>
    </w:p>
    <w:p>
      <w:pPr>
        <w:spacing w:line="560" w:lineRule="exact"/>
        <w:ind w:firstLine="600" w:firstLineChars="200"/>
        <w:rPr>
          <w:rFonts w:hint="eastAsia" w:ascii="仿宋" w:hAnsi="仿宋" w:eastAsia="仿宋" w:cs="仿宋"/>
          <w:sz w:val="30"/>
          <w:szCs w:val="30"/>
          <w:highlight w:val="none"/>
          <w:lang w:eastAsia="zh-CN"/>
        </w:rPr>
      </w:pPr>
      <w:r>
        <w:rPr>
          <w:rFonts w:hint="eastAsia" w:ascii="仿宋" w:hAnsi="仿宋" w:eastAsia="仿宋" w:cs="仿宋"/>
          <w:sz w:val="30"/>
          <w:szCs w:val="30"/>
          <w:highlight w:val="none"/>
        </w:rPr>
        <w:t>（3）《关于印发〈财政支出绩效评价管理暂行办法〉的通知》（财预〔2011〕285号）；</w:t>
      </w:r>
    </w:p>
    <w:p>
      <w:pPr>
        <w:spacing w:line="560" w:lineRule="exact"/>
        <w:ind w:firstLine="600" w:firstLineChars="200"/>
        <w:rPr>
          <w:rFonts w:ascii="仿宋" w:hAnsi="仿宋" w:eastAsia="仿宋" w:cs="仿宋"/>
          <w:sz w:val="30"/>
          <w:szCs w:val="30"/>
          <w:highlight w:val="none"/>
        </w:rPr>
      </w:pPr>
      <w:r>
        <w:rPr>
          <w:rFonts w:hint="eastAsia" w:ascii="仿宋" w:hAnsi="仿宋" w:eastAsia="仿宋" w:cs="仿宋"/>
          <w:sz w:val="30"/>
          <w:szCs w:val="30"/>
          <w:highlight w:val="none"/>
        </w:rPr>
        <w:t xml:space="preserve">（4）《关于印发&lt;预算绩效评价共性指标体系框架&gt;的通知》（财预〔2013〕53号）； </w:t>
      </w:r>
    </w:p>
    <w:p>
      <w:pPr>
        <w:spacing w:line="560" w:lineRule="exact"/>
        <w:ind w:firstLine="600" w:firstLineChars="200"/>
        <w:rPr>
          <w:rFonts w:ascii="仿宋" w:hAnsi="仿宋" w:eastAsia="仿宋" w:cs="仿宋"/>
          <w:sz w:val="30"/>
          <w:szCs w:val="30"/>
          <w:highlight w:val="none"/>
        </w:rPr>
      </w:pPr>
      <w:r>
        <w:rPr>
          <w:rFonts w:hint="eastAsia" w:ascii="仿宋" w:hAnsi="仿宋" w:eastAsia="仿宋" w:cs="仿宋"/>
          <w:sz w:val="30"/>
          <w:szCs w:val="30"/>
          <w:highlight w:val="none"/>
        </w:rPr>
        <w:t>（5）《河北省项目支出绩效指标框架体系》（冀财预[2016]92号）；</w:t>
      </w:r>
    </w:p>
    <w:p>
      <w:pPr>
        <w:spacing w:line="560" w:lineRule="exact"/>
        <w:ind w:left="559" w:leftChars="266"/>
        <w:outlineLvl w:val="0"/>
        <w:rPr>
          <w:rFonts w:ascii="仿宋" w:hAnsi="仿宋" w:eastAsia="仿宋" w:cs="仿宋"/>
          <w:sz w:val="30"/>
          <w:szCs w:val="30"/>
          <w:highlight w:val="none"/>
        </w:rPr>
      </w:pPr>
      <w:bookmarkStart w:id="70" w:name="_Toc3143"/>
      <w:bookmarkStart w:id="71" w:name="_Toc83630326"/>
      <w:bookmarkStart w:id="72" w:name="_Toc83630422"/>
      <w:bookmarkStart w:id="73" w:name="_Toc83631036"/>
      <w:bookmarkStart w:id="74" w:name="_Toc14814"/>
      <w:r>
        <w:rPr>
          <w:rFonts w:hint="eastAsia" w:ascii="仿宋" w:hAnsi="仿宋" w:eastAsia="仿宋" w:cs="仿宋"/>
          <w:sz w:val="30"/>
          <w:szCs w:val="30"/>
          <w:highlight w:val="none"/>
        </w:rPr>
        <w:t>（6）《关于做好2021年农村义务教育阶段学校教师特设岗位计划实施工作的通知》（教师厅[2021]1号）；</w:t>
      </w:r>
      <w:bookmarkEnd w:id="70"/>
      <w:bookmarkEnd w:id="71"/>
      <w:bookmarkEnd w:id="72"/>
      <w:bookmarkEnd w:id="73"/>
      <w:bookmarkEnd w:id="74"/>
    </w:p>
    <w:p>
      <w:pPr>
        <w:spacing w:line="560" w:lineRule="exact"/>
        <w:ind w:firstLine="600" w:firstLineChars="200"/>
        <w:rPr>
          <w:rFonts w:ascii="仿宋" w:hAnsi="仿宋" w:eastAsia="仿宋" w:cs="仿宋"/>
          <w:sz w:val="30"/>
          <w:szCs w:val="30"/>
          <w:highlight w:val="none"/>
        </w:rPr>
      </w:pPr>
      <w:r>
        <w:rPr>
          <w:rFonts w:hint="eastAsia" w:ascii="仿宋" w:hAnsi="仿宋" w:eastAsia="仿宋" w:cs="仿宋"/>
          <w:sz w:val="30"/>
          <w:szCs w:val="30"/>
          <w:highlight w:val="none"/>
        </w:rPr>
        <w:t>（7）《人力资源社会保障部办公厅 教育部办公厅关于做好2021年中小学幼儿园教师公开招聘工作的通知》；</w:t>
      </w:r>
    </w:p>
    <w:p>
      <w:pPr>
        <w:spacing w:line="560" w:lineRule="exact"/>
        <w:ind w:firstLine="600" w:firstLineChars="200"/>
        <w:rPr>
          <w:rFonts w:ascii="仿宋" w:hAnsi="仿宋" w:eastAsia="仿宋" w:cs="仿宋"/>
          <w:sz w:val="30"/>
          <w:szCs w:val="30"/>
          <w:highlight w:val="none"/>
        </w:rPr>
      </w:pPr>
      <w:r>
        <w:rPr>
          <w:rFonts w:hint="eastAsia" w:ascii="仿宋" w:hAnsi="仿宋" w:eastAsia="仿宋" w:cs="仿宋"/>
          <w:sz w:val="30"/>
          <w:szCs w:val="30"/>
          <w:highlight w:val="none"/>
        </w:rPr>
        <w:t>（8）河北省教育厅 河北省财政厅《关于做好河北省2021年农村义务教育阶段学校教师特设岗位计划实施工作的通知》（冀教师[2021]11号）；</w:t>
      </w:r>
    </w:p>
    <w:p>
      <w:pPr>
        <w:spacing w:line="560" w:lineRule="exact"/>
        <w:ind w:firstLine="600" w:firstLineChars="200"/>
        <w:rPr>
          <w:rFonts w:hint="eastAsia" w:ascii="仿宋" w:hAnsi="仿宋" w:eastAsia="仿宋" w:cs="仿宋"/>
          <w:sz w:val="30"/>
          <w:szCs w:val="30"/>
          <w:highlight w:val="none"/>
        </w:rPr>
      </w:pPr>
      <w:r>
        <w:rPr>
          <w:rFonts w:hint="eastAsia" w:ascii="仿宋" w:hAnsi="仿宋" w:eastAsia="仿宋" w:cs="仿宋"/>
          <w:sz w:val="30"/>
          <w:szCs w:val="30"/>
          <w:highlight w:val="none"/>
        </w:rPr>
        <w:t>（9）河北省财政厅河北省教育厅《关于提前下达 2021年城乡义务教育中央补助经费预算(直达资金)的通知》冀财教[2020]154号；</w:t>
      </w:r>
    </w:p>
    <w:p>
      <w:pPr>
        <w:spacing w:line="560" w:lineRule="exact"/>
        <w:ind w:firstLine="600" w:firstLineChars="200"/>
        <w:rPr>
          <w:rFonts w:hint="eastAsia" w:eastAsia="仿宋"/>
          <w:lang w:eastAsia="zh-CN"/>
        </w:rPr>
      </w:pPr>
      <w:r>
        <w:rPr>
          <w:rFonts w:hint="eastAsia" w:ascii="仿宋" w:hAnsi="仿宋" w:eastAsia="仿宋" w:cs="仿宋"/>
          <w:sz w:val="30"/>
          <w:szCs w:val="30"/>
          <w:highlight w:val="none"/>
          <w:lang w:eastAsia="zh-CN"/>
        </w:rPr>
        <w:t>（</w:t>
      </w:r>
      <w:r>
        <w:rPr>
          <w:rFonts w:hint="eastAsia" w:ascii="仿宋" w:hAnsi="仿宋" w:eastAsia="仿宋" w:cs="仿宋"/>
          <w:sz w:val="30"/>
          <w:szCs w:val="30"/>
          <w:highlight w:val="none"/>
          <w:lang w:val="en-US" w:eastAsia="zh-CN"/>
        </w:rPr>
        <w:t>10</w:t>
      </w:r>
      <w:r>
        <w:rPr>
          <w:rFonts w:hint="eastAsia" w:ascii="仿宋" w:hAnsi="仿宋" w:eastAsia="仿宋" w:cs="仿宋"/>
          <w:sz w:val="30"/>
          <w:szCs w:val="30"/>
          <w:highlight w:val="none"/>
          <w:lang w:eastAsia="zh-CN"/>
        </w:rPr>
        <w:t>）</w:t>
      </w:r>
      <w:r>
        <w:rPr>
          <w:rFonts w:hint="eastAsia" w:ascii="仿宋" w:hAnsi="仿宋" w:eastAsia="仿宋" w:cs="仿宋"/>
          <w:sz w:val="30"/>
          <w:szCs w:val="30"/>
        </w:rPr>
        <w:t>《曲阳县财政局关于印发2023年县级财政重点绩效评价计划的通知》（曲财[2023]15号）；</w:t>
      </w:r>
    </w:p>
    <w:p>
      <w:pPr>
        <w:spacing w:line="560" w:lineRule="exact"/>
        <w:ind w:firstLine="600" w:firstLineChars="200"/>
        <w:jc w:val="left"/>
        <w:rPr>
          <w:rFonts w:ascii="仿宋" w:hAnsi="仿宋" w:eastAsia="仿宋" w:cs="仿宋"/>
          <w:sz w:val="30"/>
          <w:szCs w:val="30"/>
          <w:highlight w:val="none"/>
        </w:rPr>
      </w:pPr>
      <w:r>
        <w:rPr>
          <w:rFonts w:hint="eastAsia" w:ascii="仿宋" w:hAnsi="仿宋" w:eastAsia="仿宋" w:cs="仿宋"/>
          <w:sz w:val="30"/>
          <w:szCs w:val="30"/>
          <w:highlight w:val="none"/>
        </w:rPr>
        <w:t>（</w:t>
      </w:r>
      <w:r>
        <w:rPr>
          <w:rFonts w:hint="eastAsia" w:ascii="仿宋" w:hAnsi="仿宋" w:eastAsia="仿宋" w:cs="仿宋"/>
          <w:sz w:val="30"/>
          <w:szCs w:val="30"/>
          <w:highlight w:val="none"/>
          <w:lang w:val="en-US" w:eastAsia="zh-CN"/>
        </w:rPr>
        <w:t>11</w:t>
      </w:r>
      <w:r>
        <w:rPr>
          <w:rFonts w:hint="eastAsia" w:ascii="仿宋" w:hAnsi="仿宋" w:eastAsia="仿宋" w:cs="仿宋"/>
          <w:sz w:val="30"/>
          <w:szCs w:val="30"/>
          <w:highlight w:val="none"/>
        </w:rPr>
        <w:t>）该项目其他相关资料。</w:t>
      </w:r>
    </w:p>
    <w:p>
      <w:pPr>
        <w:pStyle w:val="3"/>
        <w:spacing w:beforeAutospacing="0" w:afterAutospacing="0" w:line="560" w:lineRule="exact"/>
        <w:ind w:firstLine="643" w:firstLineChars="200"/>
        <w:rPr>
          <w:rFonts w:hint="default" w:ascii="仿宋" w:hAnsi="仿宋" w:eastAsia="仿宋" w:cs="仿宋"/>
          <w:sz w:val="32"/>
          <w:szCs w:val="32"/>
          <w:highlight w:val="none"/>
        </w:rPr>
      </w:pPr>
      <w:bookmarkStart w:id="75" w:name="_Toc24878"/>
      <w:r>
        <w:rPr>
          <w:rFonts w:ascii="仿宋" w:hAnsi="仿宋" w:eastAsia="仿宋" w:cs="仿宋"/>
          <w:sz w:val="32"/>
          <w:szCs w:val="32"/>
          <w:highlight w:val="none"/>
        </w:rPr>
        <w:t>六、项目综合评价</w:t>
      </w:r>
      <w:bookmarkEnd w:id="64"/>
      <w:bookmarkEnd w:id="65"/>
      <w:r>
        <w:rPr>
          <w:rFonts w:ascii="仿宋" w:hAnsi="仿宋" w:eastAsia="仿宋" w:cs="仿宋"/>
          <w:sz w:val="32"/>
          <w:szCs w:val="32"/>
          <w:highlight w:val="none"/>
        </w:rPr>
        <w:t>结论和评价等级</w:t>
      </w:r>
      <w:bookmarkEnd w:id="66"/>
      <w:bookmarkEnd w:id="67"/>
      <w:bookmarkEnd w:id="68"/>
      <w:bookmarkEnd w:id="69"/>
      <w:bookmarkEnd w:id="75"/>
    </w:p>
    <w:p>
      <w:pPr>
        <w:spacing w:line="560" w:lineRule="exact"/>
        <w:ind w:firstLine="600" w:firstLineChars="200"/>
        <w:rPr>
          <w:rFonts w:ascii="仿宋" w:hAnsi="仿宋" w:eastAsia="仿宋" w:cs="仿宋"/>
          <w:sz w:val="30"/>
          <w:szCs w:val="30"/>
          <w:highlight w:val="none"/>
        </w:rPr>
      </w:pPr>
      <w:bookmarkStart w:id="76" w:name="_Toc501368364"/>
      <w:r>
        <w:rPr>
          <w:rFonts w:hint="eastAsia" w:ascii="仿宋" w:hAnsi="仿宋" w:eastAsia="仿宋" w:cs="仿宋"/>
          <w:sz w:val="30"/>
          <w:szCs w:val="30"/>
          <w:highlight w:val="none"/>
        </w:rPr>
        <w:t>1.确定评</w:t>
      </w:r>
      <w:bookmarkEnd w:id="76"/>
      <w:r>
        <w:rPr>
          <w:rFonts w:hint="eastAsia" w:ascii="仿宋" w:hAnsi="仿宋" w:eastAsia="仿宋" w:cs="仿宋"/>
          <w:sz w:val="30"/>
          <w:szCs w:val="30"/>
          <w:highlight w:val="none"/>
        </w:rPr>
        <w:t>价分值：</w:t>
      </w:r>
      <w:r>
        <w:rPr>
          <w:rFonts w:hint="eastAsia" w:ascii="仿宋" w:hAnsi="仿宋" w:eastAsia="仿宋" w:cs="仿宋"/>
          <w:sz w:val="30"/>
          <w:szCs w:val="30"/>
          <w:highlight w:val="none"/>
          <w:lang w:val="en-US" w:eastAsia="zh-CN"/>
        </w:rPr>
        <w:t>95</w:t>
      </w:r>
      <w:r>
        <w:rPr>
          <w:rFonts w:hint="eastAsia" w:ascii="仿宋" w:hAnsi="仿宋" w:eastAsia="仿宋" w:cs="仿宋"/>
          <w:sz w:val="30"/>
          <w:szCs w:val="30"/>
          <w:highlight w:val="none"/>
        </w:rPr>
        <w:t>分</w:t>
      </w:r>
    </w:p>
    <w:p>
      <w:pPr>
        <w:spacing w:line="560" w:lineRule="exact"/>
        <w:ind w:firstLine="600" w:firstLineChars="200"/>
        <w:jc w:val="left"/>
        <w:rPr>
          <w:rFonts w:ascii="仿宋" w:hAnsi="仿宋" w:eastAsia="仿宋" w:cs="仿宋"/>
          <w:sz w:val="30"/>
          <w:szCs w:val="30"/>
          <w:highlight w:val="none"/>
        </w:rPr>
      </w:pPr>
      <w:r>
        <w:rPr>
          <w:rFonts w:hint="eastAsia" w:ascii="仿宋" w:hAnsi="仿宋" w:eastAsia="仿宋" w:cs="仿宋"/>
          <w:sz w:val="30"/>
          <w:szCs w:val="30"/>
          <w:highlight w:val="none"/>
        </w:rPr>
        <w:t>2.评价等级：优</w:t>
      </w:r>
    </w:p>
    <w:p>
      <w:pPr>
        <w:spacing w:line="560" w:lineRule="exact"/>
        <w:ind w:firstLine="600" w:firstLineChars="200"/>
        <w:jc w:val="left"/>
        <w:rPr>
          <w:rFonts w:ascii="仿宋" w:hAnsi="仿宋" w:eastAsia="仿宋" w:cs="仿宋"/>
          <w:sz w:val="30"/>
          <w:szCs w:val="30"/>
          <w:highlight w:val="none"/>
        </w:rPr>
      </w:pPr>
      <w:r>
        <w:rPr>
          <w:rFonts w:hint="eastAsia" w:ascii="仿宋" w:hAnsi="仿宋" w:eastAsia="仿宋" w:cs="仿宋"/>
          <w:sz w:val="30"/>
          <w:szCs w:val="30"/>
          <w:highlight w:val="none"/>
        </w:rPr>
        <w:t>3.项目综合评价结论</w:t>
      </w:r>
    </w:p>
    <w:p>
      <w:pPr>
        <w:spacing w:line="560" w:lineRule="exact"/>
        <w:ind w:firstLine="588" w:firstLineChars="196"/>
        <w:outlineLvl w:val="0"/>
        <w:rPr>
          <w:rFonts w:ascii="仿宋" w:hAnsi="仿宋" w:eastAsia="仿宋" w:cs="仿宋"/>
          <w:sz w:val="30"/>
          <w:szCs w:val="30"/>
          <w:highlight w:val="none"/>
        </w:rPr>
      </w:pPr>
      <w:bookmarkStart w:id="77" w:name="_Toc28969"/>
      <w:bookmarkStart w:id="78" w:name="_Toc83631049"/>
      <w:bookmarkStart w:id="79" w:name="_Toc25027"/>
      <w:bookmarkStart w:id="80" w:name="_Toc83630435"/>
      <w:r>
        <w:rPr>
          <w:rFonts w:hint="eastAsia" w:ascii="仿宋" w:hAnsi="仿宋" w:eastAsia="仿宋" w:cs="仿宋"/>
          <w:sz w:val="30"/>
          <w:szCs w:val="30"/>
          <w:highlight w:val="none"/>
        </w:rPr>
        <w:t>该项目严格资金使用管理，专款专用，项目受益对象明确，特岗教师的生活水平和满意度逐步提高，更多的高校毕业生开始从事农村义务教育工作</w:t>
      </w:r>
      <w:bookmarkEnd w:id="77"/>
      <w:bookmarkEnd w:id="78"/>
      <w:bookmarkEnd w:id="79"/>
      <w:bookmarkEnd w:id="80"/>
      <w:r>
        <w:rPr>
          <w:rFonts w:hint="eastAsia" w:ascii="仿宋" w:hAnsi="仿宋" w:eastAsia="仿宋" w:cs="仿宋"/>
          <w:sz w:val="30"/>
          <w:szCs w:val="30"/>
          <w:highlight w:val="none"/>
        </w:rPr>
        <w:t>，提高了农村教师队伍的整体素质和农村教育教学质量，缩小了城乡教育差距。</w:t>
      </w:r>
    </w:p>
    <w:p>
      <w:pPr>
        <w:pStyle w:val="3"/>
        <w:spacing w:beforeAutospacing="0" w:afterAutospacing="0" w:line="560" w:lineRule="exact"/>
        <w:ind w:firstLine="643" w:firstLineChars="200"/>
        <w:rPr>
          <w:rFonts w:hint="default" w:ascii="仿宋" w:hAnsi="仿宋" w:eastAsia="仿宋" w:cs="仿宋"/>
          <w:bCs/>
          <w:sz w:val="32"/>
          <w:szCs w:val="32"/>
          <w:highlight w:val="none"/>
        </w:rPr>
      </w:pPr>
      <w:bookmarkStart w:id="81" w:name="_Toc22941"/>
      <w:bookmarkStart w:id="82" w:name="_Toc27278"/>
      <w:bookmarkStart w:id="83" w:name="_Toc83630436"/>
      <w:bookmarkStart w:id="84" w:name="_Toc83631050"/>
      <w:bookmarkStart w:id="85" w:name="_Toc7207"/>
      <w:r>
        <w:rPr>
          <w:rFonts w:ascii="仿宋" w:hAnsi="仿宋" w:eastAsia="仿宋" w:cs="仿宋"/>
          <w:bCs/>
          <w:sz w:val="32"/>
          <w:szCs w:val="32"/>
          <w:highlight w:val="none"/>
        </w:rPr>
        <w:t>七、存在的问题及改进措施</w:t>
      </w:r>
      <w:bookmarkEnd w:id="81"/>
      <w:bookmarkEnd w:id="82"/>
      <w:bookmarkEnd w:id="83"/>
      <w:bookmarkEnd w:id="84"/>
      <w:bookmarkEnd w:id="85"/>
    </w:p>
    <w:p>
      <w:pPr>
        <w:spacing w:line="560" w:lineRule="exact"/>
        <w:ind w:firstLine="645" w:firstLineChars="215"/>
        <w:rPr>
          <w:highlight w:val="none"/>
        </w:rPr>
      </w:pPr>
      <w:r>
        <w:rPr>
          <w:rFonts w:hint="eastAsia" w:ascii="仿宋" w:hAnsi="仿宋" w:eastAsia="仿宋" w:cs="仿宋"/>
          <w:sz w:val="30"/>
          <w:szCs w:val="30"/>
          <w:highlight w:val="none"/>
        </w:rPr>
        <w:t>（一）该项目取得的成绩是肯定的，但在实现绩效目标过程中也存在一些不足之处，具体归纳为：</w:t>
      </w:r>
    </w:p>
    <w:p>
      <w:pPr>
        <w:pStyle w:val="11"/>
        <w:ind w:leftChars="105" w:firstLine="600" w:firstLineChars="200"/>
        <w:rPr>
          <w:rFonts w:hint="default" w:ascii="仿宋" w:hAnsi="仿宋" w:eastAsia="仿宋" w:cs="仿宋"/>
          <w:kern w:val="2"/>
          <w:sz w:val="30"/>
          <w:szCs w:val="30"/>
          <w:highlight w:val="none"/>
          <w:lang w:val="en-US" w:eastAsia="zh-CN" w:bidi="ar-SA"/>
        </w:rPr>
      </w:pPr>
      <w:r>
        <w:rPr>
          <w:rFonts w:hint="eastAsia" w:ascii="仿宋" w:hAnsi="仿宋" w:eastAsia="仿宋" w:cs="仿宋"/>
          <w:kern w:val="2"/>
          <w:sz w:val="30"/>
          <w:szCs w:val="30"/>
          <w:highlight w:val="none"/>
          <w:lang w:val="en-US" w:eastAsia="zh-CN" w:bidi="ar-SA"/>
        </w:rPr>
        <w:t>1.项目资金支付及时性有待提高。2022年3月9日拨付特岗调标、绩效奖金256.958024万元实际于2022年7月8日发放，资金支付进度较为缓慢。</w:t>
      </w:r>
    </w:p>
    <w:p>
      <w:pPr>
        <w:spacing w:line="560" w:lineRule="exact"/>
        <w:ind w:firstLine="600" w:firstLineChars="200"/>
        <w:rPr>
          <w:rFonts w:ascii="仿宋" w:hAnsi="仿宋" w:eastAsia="仿宋" w:cs="仿宋"/>
          <w:sz w:val="30"/>
          <w:szCs w:val="30"/>
          <w:highlight w:val="none"/>
        </w:rPr>
      </w:pPr>
      <w:r>
        <w:rPr>
          <w:rFonts w:hint="eastAsia" w:ascii="仿宋" w:hAnsi="仿宋" w:eastAsia="仿宋" w:cs="仿宋"/>
          <w:sz w:val="30"/>
          <w:szCs w:val="30"/>
          <w:highlight w:val="none"/>
        </w:rPr>
        <w:t>（二）意见和建议</w:t>
      </w:r>
    </w:p>
    <w:p>
      <w:pPr>
        <w:spacing w:line="560" w:lineRule="exact"/>
        <w:ind w:firstLine="645" w:firstLineChars="215"/>
        <w:rPr>
          <w:rFonts w:ascii="仿宋" w:hAnsi="仿宋" w:eastAsia="仿宋" w:cs="仿宋"/>
          <w:sz w:val="30"/>
          <w:szCs w:val="30"/>
          <w:highlight w:val="none"/>
        </w:rPr>
      </w:pPr>
      <w:r>
        <w:rPr>
          <w:rFonts w:hint="eastAsia" w:ascii="仿宋" w:hAnsi="仿宋" w:eastAsia="仿宋" w:cs="仿宋"/>
          <w:sz w:val="30"/>
          <w:szCs w:val="30"/>
          <w:highlight w:val="none"/>
        </w:rPr>
        <w:t>通过本次的绩效评价工作，找出了项目管理过程中的亮点和缺陷，总结出项目绩效管理经验，对于以后相似项目的管理工作起到很好的借鉴作用。同时，本次绩效评价工作对于安排以后的资金预算，考核项目管理效果也将起到示范作用。同时，使国家财政资金得到安全保障，更好的发挥效应。通过评价工作，我们分析了该项目存在的问题并提出相应的意见和建议：</w:t>
      </w:r>
    </w:p>
    <w:p>
      <w:pPr>
        <w:spacing w:line="560" w:lineRule="exact"/>
        <w:ind w:firstLine="645" w:firstLineChars="215"/>
        <w:rPr>
          <w:rFonts w:hint="eastAsia" w:ascii="仿宋" w:hAnsi="仿宋" w:eastAsia="仿宋" w:cs="仿宋"/>
          <w:sz w:val="30"/>
          <w:szCs w:val="30"/>
          <w:highlight w:val="none"/>
        </w:rPr>
      </w:pPr>
      <w:r>
        <w:rPr>
          <w:rFonts w:hint="eastAsia" w:ascii="仿宋" w:hAnsi="仿宋" w:eastAsia="仿宋" w:cs="仿宋"/>
          <w:sz w:val="30"/>
          <w:szCs w:val="30"/>
          <w:highlight w:val="none"/>
          <w:lang w:val="en-US" w:eastAsia="zh-CN"/>
        </w:rPr>
        <w:t>1.</w:t>
      </w:r>
      <w:r>
        <w:rPr>
          <w:rFonts w:hint="eastAsia" w:ascii="仿宋" w:hAnsi="仿宋" w:eastAsia="仿宋" w:cs="仿宋"/>
          <w:sz w:val="30"/>
          <w:szCs w:val="30"/>
          <w:highlight w:val="none"/>
        </w:rPr>
        <w:t xml:space="preserve"> 针对项目资金发放延迟问题，建议项目实施单位提高资金</w:t>
      </w:r>
      <w:r>
        <w:rPr>
          <w:rFonts w:hint="eastAsia" w:ascii="仿宋" w:hAnsi="仿宋" w:eastAsia="仿宋" w:cs="仿宋"/>
          <w:sz w:val="30"/>
          <w:szCs w:val="30"/>
          <w:highlight w:val="none"/>
          <w:lang w:val="en-US" w:eastAsia="zh-CN"/>
        </w:rPr>
        <w:t>的使用效率，</w:t>
      </w:r>
      <w:r>
        <w:rPr>
          <w:rFonts w:hint="eastAsia" w:ascii="仿宋" w:hAnsi="仿宋" w:eastAsia="仿宋" w:cs="仿宋"/>
          <w:sz w:val="30"/>
          <w:szCs w:val="30"/>
          <w:highlight w:val="none"/>
        </w:rPr>
        <w:t>确保特岗教师工资按时足额发放，</w:t>
      </w:r>
    </w:p>
    <w:p>
      <w:pPr>
        <w:spacing w:line="560" w:lineRule="exact"/>
        <w:ind w:firstLine="645" w:firstLineChars="215"/>
        <w:rPr>
          <w:rFonts w:hint="eastAsia" w:ascii="仿宋" w:hAnsi="仿宋" w:eastAsia="仿宋" w:cs="仿宋"/>
          <w:sz w:val="30"/>
          <w:szCs w:val="30"/>
          <w:highlight w:val="none"/>
        </w:rPr>
      </w:pPr>
    </w:p>
    <w:p>
      <w:pPr>
        <w:pStyle w:val="6"/>
        <w:spacing w:line="560" w:lineRule="exact"/>
        <w:ind w:right="210" w:rightChars="100"/>
        <w:rPr>
          <w:rFonts w:ascii="仿宋" w:hAnsi="仿宋" w:eastAsia="仿宋" w:cs="仿宋"/>
          <w:sz w:val="30"/>
          <w:szCs w:val="30"/>
          <w:highlight w:val="none"/>
        </w:rPr>
      </w:pPr>
      <w:bookmarkStart w:id="86" w:name="_Toc83630437"/>
      <w:bookmarkStart w:id="87" w:name="_Toc6530"/>
      <w:bookmarkStart w:id="88" w:name="_Toc83631051"/>
      <w:r>
        <w:rPr>
          <w:rFonts w:hint="eastAsia" w:ascii="仿宋" w:hAnsi="仿宋" w:eastAsia="仿宋" w:cs="仿宋"/>
          <w:sz w:val="30"/>
          <w:szCs w:val="30"/>
          <w:highlight w:val="none"/>
        </w:rPr>
        <w:t>附件：绩效评价指标体系及评分情况表</w:t>
      </w:r>
      <w:bookmarkEnd w:id="86"/>
      <w:bookmarkEnd w:id="87"/>
      <w:bookmarkEnd w:id="88"/>
    </w:p>
    <w:p>
      <w:pPr>
        <w:rPr>
          <w:highlight w:val="none"/>
        </w:rPr>
      </w:pPr>
    </w:p>
    <w:p>
      <w:pPr>
        <w:rPr>
          <w:highlight w:val="none"/>
        </w:rPr>
      </w:pPr>
    </w:p>
    <w:p>
      <w:pPr>
        <w:spacing w:line="560" w:lineRule="exact"/>
        <w:ind w:firstLine="6300" w:firstLineChars="2100"/>
        <w:rPr>
          <w:rFonts w:ascii="仿宋" w:hAnsi="仿宋" w:eastAsia="仿宋" w:cs="仿宋"/>
          <w:sz w:val="30"/>
          <w:szCs w:val="30"/>
          <w:highlight w:val="none"/>
        </w:rPr>
      </w:pPr>
      <w:bookmarkStart w:id="89" w:name="_GoBack"/>
      <w:bookmarkEnd w:id="89"/>
    </w:p>
    <w:p>
      <w:pPr>
        <w:pStyle w:val="2"/>
      </w:pPr>
    </w:p>
    <w:p>
      <w:pPr>
        <w:spacing w:line="560" w:lineRule="exact"/>
        <w:ind w:firstLine="6300" w:firstLineChars="2100"/>
        <w:rPr>
          <w:rFonts w:hint="eastAsia" w:ascii="仿宋" w:hAnsi="仿宋" w:eastAsia="仿宋" w:cs="仿宋"/>
          <w:sz w:val="30"/>
          <w:szCs w:val="30"/>
          <w:highlight w:val="none"/>
          <w:lang w:eastAsia="zh-CN"/>
        </w:rPr>
      </w:pPr>
      <w:r>
        <w:rPr>
          <w:rFonts w:hint="eastAsia" w:ascii="仿宋" w:hAnsi="仿宋" w:eastAsia="仿宋" w:cs="仿宋"/>
          <w:sz w:val="30"/>
          <w:szCs w:val="30"/>
          <w:highlight w:val="none"/>
          <w:lang w:eastAsia="zh-CN"/>
        </w:rPr>
        <w:t>曲阳县财政局</w:t>
      </w:r>
    </w:p>
    <w:p>
      <w:pPr>
        <w:spacing w:line="560" w:lineRule="exact"/>
        <w:ind w:firstLine="6300" w:firstLineChars="2100"/>
        <w:rPr>
          <w:rFonts w:ascii="仿宋" w:hAnsi="仿宋" w:eastAsia="仿宋" w:cs="仿宋"/>
          <w:sz w:val="30"/>
          <w:szCs w:val="30"/>
          <w:highlight w:val="none"/>
        </w:rPr>
      </w:pPr>
      <w:r>
        <w:rPr>
          <w:rFonts w:hint="eastAsia" w:ascii="仿宋" w:hAnsi="仿宋" w:eastAsia="仿宋" w:cs="仿宋"/>
          <w:sz w:val="30"/>
          <w:szCs w:val="30"/>
          <w:highlight w:val="none"/>
        </w:rPr>
        <w:t>2023年</w:t>
      </w:r>
      <w:r>
        <w:rPr>
          <w:rFonts w:hint="eastAsia" w:ascii="仿宋" w:hAnsi="仿宋" w:eastAsia="仿宋" w:cs="仿宋"/>
          <w:sz w:val="30"/>
          <w:szCs w:val="30"/>
          <w:highlight w:val="none"/>
          <w:lang w:val="en-US" w:eastAsia="zh-CN"/>
        </w:rPr>
        <w:t>9</w:t>
      </w:r>
      <w:r>
        <w:rPr>
          <w:rFonts w:hint="eastAsia" w:ascii="仿宋" w:hAnsi="仿宋" w:eastAsia="仿宋" w:cs="仿宋"/>
          <w:sz w:val="30"/>
          <w:szCs w:val="30"/>
          <w:highlight w:val="none"/>
        </w:rPr>
        <w:t>月</w:t>
      </w:r>
      <w:r>
        <w:rPr>
          <w:rFonts w:hint="eastAsia" w:ascii="仿宋" w:hAnsi="仿宋" w:eastAsia="仿宋" w:cs="仿宋"/>
          <w:sz w:val="30"/>
          <w:szCs w:val="30"/>
          <w:highlight w:val="none"/>
          <w:lang w:val="en-US" w:eastAsia="zh-CN"/>
        </w:rPr>
        <w:t>25</w:t>
      </w:r>
      <w:r>
        <w:rPr>
          <w:rFonts w:hint="eastAsia" w:ascii="仿宋" w:hAnsi="仿宋" w:eastAsia="仿宋" w:cs="仿宋"/>
          <w:sz w:val="30"/>
          <w:szCs w:val="30"/>
          <w:highlight w:val="none"/>
        </w:rPr>
        <w:t>日</w:t>
      </w:r>
    </w:p>
    <w:p>
      <w:pPr>
        <w:rPr>
          <w:highlight w:val="none"/>
        </w:rPr>
      </w:pPr>
    </w:p>
    <w:sectPr>
      <w:pgSz w:w="11906" w:h="16838"/>
      <w:pgMar w:top="964" w:right="1134" w:bottom="964" w:left="1134" w:header="1134" w:footer="680" w:gutter="0"/>
      <w:pgNumType w:start="1"/>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隶书">
    <w:panose1 w:val="0201050906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319868D"/>
    <w:multiLevelType w:val="singleLevel"/>
    <w:tmpl w:val="D319868D"/>
    <w:lvl w:ilvl="0" w:tentative="0">
      <w:start w:val="1"/>
      <w:numFmt w:val="decimal"/>
      <w:suff w:val="nothing"/>
      <w:lvlText w:val="（%1）"/>
      <w:lvlJc w:val="left"/>
    </w:lvl>
  </w:abstractNum>
  <w:abstractNum w:abstractNumId="1">
    <w:nsid w:val="061C7303"/>
    <w:multiLevelType w:val="singleLevel"/>
    <w:tmpl w:val="061C7303"/>
    <w:lvl w:ilvl="0" w:tentative="0">
      <w:start w:val="1"/>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jAzMDZhNmU2ZmU0NGZlYWJjNGYxYjFiZjE0YWM4NTgifQ=="/>
  </w:docVars>
  <w:rsids>
    <w:rsidRoot w:val="003E566A"/>
    <w:rsid w:val="0013575A"/>
    <w:rsid w:val="00156E62"/>
    <w:rsid w:val="002C29E0"/>
    <w:rsid w:val="003E566A"/>
    <w:rsid w:val="00546ACD"/>
    <w:rsid w:val="006E0A0D"/>
    <w:rsid w:val="0078692C"/>
    <w:rsid w:val="009B799C"/>
    <w:rsid w:val="00A54D0E"/>
    <w:rsid w:val="00C0106B"/>
    <w:rsid w:val="00C839F5"/>
    <w:rsid w:val="00C86D05"/>
    <w:rsid w:val="00EF7D4A"/>
    <w:rsid w:val="00FF2240"/>
    <w:rsid w:val="00FF6AAB"/>
    <w:rsid w:val="04481095"/>
    <w:rsid w:val="2B47300D"/>
    <w:rsid w:val="45BF02C0"/>
    <w:rsid w:val="56DF1AEC"/>
    <w:rsid w:val="6B9556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0"/>
      <w:lang w:val="en-US" w:eastAsia="zh-CN" w:bidi="ar-SA"/>
    </w:rPr>
  </w:style>
  <w:style w:type="paragraph" w:styleId="3">
    <w:name w:val="heading 1"/>
    <w:basedOn w:val="1"/>
    <w:next w:val="1"/>
    <w:link w:val="16"/>
    <w:qFormat/>
    <w:uiPriority w:val="0"/>
    <w:pPr>
      <w:spacing w:beforeAutospacing="1" w:afterAutospacing="1"/>
      <w:jc w:val="left"/>
      <w:outlineLvl w:val="0"/>
    </w:pPr>
    <w:rPr>
      <w:rFonts w:hint="eastAsia" w:ascii="宋体" w:hAnsi="宋体"/>
      <w:b/>
      <w:kern w:val="44"/>
      <w:sz w:val="48"/>
      <w:szCs w:val="48"/>
    </w:rPr>
  </w:style>
  <w:style w:type="paragraph" w:styleId="4">
    <w:name w:val="heading 2"/>
    <w:basedOn w:val="1"/>
    <w:next w:val="1"/>
    <w:link w:val="17"/>
    <w:qFormat/>
    <w:uiPriority w:val="0"/>
    <w:pPr>
      <w:keepNext/>
      <w:keepLines/>
      <w:spacing w:before="260" w:after="260" w:line="416" w:lineRule="auto"/>
      <w:outlineLvl w:val="1"/>
    </w:pPr>
    <w:rPr>
      <w:rFonts w:ascii="Cambria" w:hAnsi="Cambria"/>
      <w:b/>
      <w:bCs/>
      <w:sz w:val="32"/>
      <w:szCs w:val="32"/>
    </w:rPr>
  </w:style>
  <w:style w:type="character" w:default="1" w:styleId="13">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customStyle="1" w:styleId="2">
    <w:name w:val="Default"/>
    <w:basedOn w:val="1"/>
    <w:next w:val="1"/>
    <w:qFormat/>
    <w:uiPriority w:val="0"/>
    <w:pPr>
      <w:autoSpaceDE w:val="0"/>
      <w:autoSpaceDN w:val="0"/>
      <w:adjustRightInd w:val="0"/>
      <w:jc w:val="left"/>
    </w:pPr>
    <w:rPr>
      <w:rFonts w:ascii="宋体" w:hAnsi="宋体" w:cs="宋体"/>
      <w:kern w:val="0"/>
    </w:rPr>
  </w:style>
  <w:style w:type="paragraph" w:styleId="5">
    <w:name w:val="Body Text"/>
    <w:basedOn w:val="1"/>
    <w:link w:val="18"/>
    <w:unhideWhenUsed/>
    <w:qFormat/>
    <w:uiPriority w:val="1"/>
    <w:pPr>
      <w:spacing w:before="41"/>
      <w:ind w:left="121"/>
      <w:jc w:val="left"/>
    </w:pPr>
    <w:rPr>
      <w:rFonts w:ascii="仿宋" w:hAnsi="仿宋" w:eastAsia="仿宋"/>
      <w:kern w:val="0"/>
      <w:sz w:val="28"/>
      <w:szCs w:val="28"/>
      <w:lang w:eastAsia="en-US"/>
    </w:rPr>
  </w:style>
  <w:style w:type="paragraph" w:styleId="6">
    <w:name w:val="Plain Text"/>
    <w:basedOn w:val="1"/>
    <w:link w:val="19"/>
    <w:qFormat/>
    <w:uiPriority w:val="0"/>
    <w:rPr>
      <w:rFonts w:ascii="宋体" w:hAnsi="Courier New" w:cs="Courier New"/>
      <w:szCs w:val="21"/>
    </w:rPr>
  </w:style>
  <w:style w:type="paragraph" w:styleId="7">
    <w:name w:val="Balloon Text"/>
    <w:basedOn w:val="1"/>
    <w:link w:val="21"/>
    <w:semiHidden/>
    <w:unhideWhenUsed/>
    <w:qFormat/>
    <w:uiPriority w:val="99"/>
    <w:rPr>
      <w:sz w:val="18"/>
      <w:szCs w:val="18"/>
    </w:rPr>
  </w:style>
  <w:style w:type="paragraph" w:styleId="8">
    <w:name w:val="footer"/>
    <w:basedOn w:val="1"/>
    <w:link w:val="15"/>
    <w:unhideWhenUsed/>
    <w:qFormat/>
    <w:uiPriority w:val="99"/>
    <w:pPr>
      <w:tabs>
        <w:tab w:val="center" w:pos="4153"/>
        <w:tab w:val="right" w:pos="8306"/>
      </w:tabs>
      <w:snapToGrid w:val="0"/>
      <w:jc w:val="left"/>
    </w:pPr>
    <w:rPr>
      <w:sz w:val="18"/>
      <w:szCs w:val="18"/>
    </w:rPr>
  </w:style>
  <w:style w:type="paragraph" w:styleId="9">
    <w:name w:val="header"/>
    <w:basedOn w:val="1"/>
    <w:link w:val="14"/>
    <w:unhideWhenUsed/>
    <w:qFormat/>
    <w:uiPriority w:val="99"/>
    <w:pPr>
      <w:pBdr>
        <w:bottom w:val="single" w:color="auto" w:sz="6" w:space="1"/>
      </w:pBdr>
      <w:tabs>
        <w:tab w:val="center" w:pos="4153"/>
        <w:tab w:val="right" w:pos="8306"/>
      </w:tabs>
      <w:snapToGrid w:val="0"/>
      <w:jc w:val="center"/>
    </w:pPr>
    <w:rPr>
      <w:sz w:val="18"/>
      <w:szCs w:val="18"/>
    </w:rPr>
  </w:style>
  <w:style w:type="paragraph" w:styleId="10">
    <w:name w:val="toc 1"/>
    <w:basedOn w:val="1"/>
    <w:next w:val="1"/>
    <w:unhideWhenUsed/>
    <w:qFormat/>
    <w:uiPriority w:val="39"/>
  </w:style>
  <w:style w:type="paragraph" w:styleId="11">
    <w:name w:val="toc 2"/>
    <w:basedOn w:val="1"/>
    <w:next w:val="1"/>
    <w:unhideWhenUsed/>
    <w:qFormat/>
    <w:uiPriority w:val="39"/>
    <w:pPr>
      <w:widowControl/>
      <w:spacing w:after="100" w:line="276" w:lineRule="auto"/>
      <w:ind w:left="220"/>
      <w:jc w:val="left"/>
    </w:pPr>
    <w:rPr>
      <w:rFonts w:ascii="Calibri" w:hAnsi="Calibri"/>
      <w:kern w:val="0"/>
      <w:sz w:val="22"/>
    </w:rPr>
  </w:style>
  <w:style w:type="character" w:customStyle="1" w:styleId="14">
    <w:name w:val="页眉 Char"/>
    <w:basedOn w:val="13"/>
    <w:link w:val="9"/>
    <w:qFormat/>
    <w:uiPriority w:val="99"/>
    <w:rPr>
      <w:sz w:val="18"/>
      <w:szCs w:val="18"/>
    </w:rPr>
  </w:style>
  <w:style w:type="character" w:customStyle="1" w:styleId="15">
    <w:name w:val="页脚 Char"/>
    <w:basedOn w:val="13"/>
    <w:link w:val="8"/>
    <w:qFormat/>
    <w:uiPriority w:val="99"/>
    <w:rPr>
      <w:sz w:val="18"/>
      <w:szCs w:val="18"/>
    </w:rPr>
  </w:style>
  <w:style w:type="character" w:customStyle="1" w:styleId="16">
    <w:name w:val="标题 1 Char"/>
    <w:basedOn w:val="13"/>
    <w:link w:val="3"/>
    <w:qFormat/>
    <w:uiPriority w:val="0"/>
    <w:rPr>
      <w:rFonts w:ascii="宋体" w:hAnsi="宋体" w:eastAsia="宋体" w:cs="Times New Roman"/>
      <w:b/>
      <w:kern w:val="44"/>
      <w:sz w:val="48"/>
      <w:szCs w:val="48"/>
    </w:rPr>
  </w:style>
  <w:style w:type="character" w:customStyle="1" w:styleId="17">
    <w:name w:val="标题 2 Char"/>
    <w:basedOn w:val="13"/>
    <w:link w:val="4"/>
    <w:qFormat/>
    <w:uiPriority w:val="0"/>
    <w:rPr>
      <w:rFonts w:ascii="Cambria" w:hAnsi="Cambria" w:eastAsia="宋体" w:cs="Times New Roman"/>
      <w:b/>
      <w:bCs/>
      <w:sz w:val="32"/>
      <w:szCs w:val="32"/>
    </w:rPr>
  </w:style>
  <w:style w:type="character" w:customStyle="1" w:styleId="18">
    <w:name w:val="正文文本 Char"/>
    <w:basedOn w:val="13"/>
    <w:link w:val="5"/>
    <w:qFormat/>
    <w:uiPriority w:val="1"/>
    <w:rPr>
      <w:rFonts w:ascii="仿宋" w:hAnsi="仿宋" w:eastAsia="仿宋" w:cs="Times New Roman"/>
      <w:kern w:val="0"/>
      <w:sz w:val="28"/>
      <w:szCs w:val="28"/>
      <w:lang w:eastAsia="en-US"/>
    </w:rPr>
  </w:style>
  <w:style w:type="character" w:customStyle="1" w:styleId="19">
    <w:name w:val="纯文本 Char"/>
    <w:basedOn w:val="13"/>
    <w:link w:val="6"/>
    <w:qFormat/>
    <w:uiPriority w:val="0"/>
    <w:rPr>
      <w:rFonts w:ascii="宋体" w:hAnsi="Courier New" w:eastAsia="宋体" w:cs="Courier New"/>
      <w:szCs w:val="21"/>
    </w:rPr>
  </w:style>
  <w:style w:type="paragraph" w:customStyle="1" w:styleId="20">
    <w:name w:val="WPSOffice手动目录 1"/>
    <w:qFormat/>
    <w:uiPriority w:val="0"/>
    <w:rPr>
      <w:rFonts w:asciiTheme="minorHAnsi" w:hAnsiTheme="minorHAnsi" w:eastAsiaTheme="minorEastAsia" w:cstheme="minorBidi"/>
      <w:kern w:val="0"/>
      <w:sz w:val="20"/>
      <w:szCs w:val="20"/>
      <w:lang w:val="en-US" w:eastAsia="zh-CN" w:bidi="ar-SA"/>
    </w:rPr>
  </w:style>
  <w:style w:type="character" w:customStyle="1" w:styleId="21">
    <w:name w:val="批注框文本 Char"/>
    <w:basedOn w:val="13"/>
    <w:link w:val="7"/>
    <w:semiHidden/>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12</Pages>
  <Words>5183</Words>
  <Characters>5517</Characters>
  <Lines>47</Lines>
  <Paragraphs>13</Paragraphs>
  <TotalTime>2</TotalTime>
  <ScaleCrop>false</ScaleCrop>
  <LinksUpToDate>false</LinksUpToDate>
  <CharactersWithSpaces>5598</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2023-08-09T08:12:00Z</dcterms:created>
  <dc:creator>China</dc:creator>
  <cp:lastModifiedBy>Administrator</cp:lastModifiedBy>
  <dcterms:modified xsi:type="dcterms:W3CDTF">2023-10-11T01:47:08Z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CFD74938B2EE4252BC78F19DC400F7B9_12</vt:lpwstr>
  </property>
</Properties>
</file>