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spacing w:line="760" w:lineRule="exact"/>
        <w:jc w:val="center"/>
        <w:rPr>
          <w:rFonts w:hint="eastAsia" w:ascii="宋体" w:hAnsi="宋体" w:eastAsia="宋体" w:cs="宋体"/>
          <w:b/>
          <w:sz w:val="44"/>
          <w:szCs w:val="44"/>
          <w:highlight w:val="none"/>
          <w:lang w:eastAsia="zh-CN"/>
        </w:rPr>
      </w:pPr>
      <w:r>
        <w:rPr>
          <w:rFonts w:hint="eastAsia" w:ascii="宋体" w:hAnsi="宋体" w:cs="宋体"/>
          <w:b/>
          <w:sz w:val="44"/>
          <w:szCs w:val="44"/>
          <w:highlight w:val="none"/>
          <w:lang w:eastAsia="zh-CN"/>
        </w:rPr>
        <w:t>定窑遗址安防升级改造工程</w:t>
      </w:r>
    </w:p>
    <w:p>
      <w:pPr>
        <w:pStyle w:val="16"/>
        <w:rPr>
          <w:highlight w:val="none"/>
        </w:rPr>
      </w:pPr>
    </w:p>
    <w:p>
      <w:pPr>
        <w:spacing w:line="760" w:lineRule="exact"/>
        <w:jc w:val="center"/>
        <w:rPr>
          <w:rFonts w:ascii="宋体" w:hAnsi="宋体" w:cs="宋体"/>
          <w:b/>
          <w:sz w:val="44"/>
          <w:szCs w:val="44"/>
          <w:highlight w:val="none"/>
        </w:rPr>
      </w:pPr>
      <w:r>
        <w:rPr>
          <w:rFonts w:hint="eastAsia" w:ascii="宋体" w:hAnsi="宋体" w:cs="宋体"/>
          <w:b/>
          <w:sz w:val="44"/>
          <w:szCs w:val="44"/>
          <w:highlight w:val="none"/>
          <w:lang w:eastAsia="zh-CN"/>
        </w:rPr>
        <w:t>重点</w:t>
      </w:r>
      <w:r>
        <w:rPr>
          <w:rFonts w:hint="eastAsia" w:ascii="宋体" w:hAnsi="宋体" w:cs="宋体"/>
          <w:b/>
          <w:sz w:val="44"/>
          <w:szCs w:val="44"/>
          <w:highlight w:val="none"/>
        </w:rPr>
        <w:t>绩效</w:t>
      </w:r>
      <w:r>
        <w:rPr>
          <w:rFonts w:hint="eastAsia" w:ascii="宋体" w:hAnsi="宋体" w:cs="宋体"/>
          <w:b/>
          <w:sz w:val="44"/>
          <w:szCs w:val="44"/>
          <w:highlight w:val="none"/>
          <w:lang w:eastAsia="zh-CN"/>
        </w:rPr>
        <w:t>评价</w:t>
      </w:r>
      <w:r>
        <w:rPr>
          <w:rFonts w:hint="eastAsia" w:ascii="宋体" w:hAnsi="宋体" w:cs="宋体"/>
          <w:b/>
          <w:sz w:val="44"/>
          <w:szCs w:val="44"/>
          <w:highlight w:val="none"/>
        </w:rPr>
        <w:t>报告</w:t>
      </w:r>
    </w:p>
    <w:p>
      <w:pPr>
        <w:pStyle w:val="16"/>
        <w:ind w:left="0"/>
        <w:rPr>
          <w:highlight w:val="none"/>
        </w:rPr>
      </w:pPr>
    </w:p>
    <w:p>
      <w:pPr>
        <w:pStyle w:val="16"/>
        <w:rPr>
          <w:highlight w:val="none"/>
        </w:rPr>
      </w:pPr>
    </w:p>
    <w:p>
      <w:pPr>
        <w:rPr>
          <w:highlight w:val="none"/>
        </w:rPr>
      </w:pPr>
    </w:p>
    <w:p>
      <w:pPr>
        <w:pStyle w:val="16"/>
        <w:rPr>
          <w:highlight w:val="none"/>
        </w:rPr>
      </w:pPr>
    </w:p>
    <w:p>
      <w:pPr>
        <w:rPr>
          <w:highlight w:val="none"/>
        </w:rPr>
      </w:pP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lang w:eastAsia="zh-CN"/>
        </w:rPr>
        <w:t>评价单位</w:t>
      </w:r>
      <w:r>
        <w:rPr>
          <w:rFonts w:hint="eastAsia" w:ascii="仿宋" w:hAnsi="仿宋" w:eastAsia="仿宋" w:cs="仿宋"/>
          <w:sz w:val="32"/>
          <w:szCs w:val="32"/>
          <w:highlight w:val="none"/>
        </w:rPr>
        <w:t>：曲阳县财政局</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河北中盛信达会计师事务所有限公司</w:t>
      </w:r>
    </w:p>
    <w:p>
      <w:pPr>
        <w:spacing w:line="760" w:lineRule="exact"/>
        <w:rPr>
          <w:rFonts w:hint="eastAsia" w:ascii="宋体" w:hAnsi="宋体" w:eastAsia="仿宋" w:cs="宋体"/>
          <w:b/>
          <w:sz w:val="44"/>
          <w:szCs w:val="44"/>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定窑遗址安防升级改造工程</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项目承担部门：曲阳县定窑遗址文物保管所</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项目实施主体：曲阳县定窑遗址文物保管所</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评 估 日 期：2023年8月8日</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报 告 日 期：2023年</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rPr>
        <w:t>日</w:t>
      </w:r>
    </w:p>
    <w:p>
      <w:pPr>
        <w:rPr>
          <w:rFonts w:ascii="仿宋" w:hAnsi="仿宋" w:eastAsia="仿宋" w:cs="仿宋"/>
          <w:sz w:val="30"/>
          <w:szCs w:val="30"/>
          <w:highlight w:val="none"/>
        </w:rPr>
      </w:pPr>
    </w:p>
    <w:p>
      <w:pPr>
        <w:pStyle w:val="16"/>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pPr>
    </w:p>
    <w:p>
      <w:pPr>
        <w:pStyle w:val="16"/>
        <w:rPr>
          <w:highlight w:val="none"/>
        </w:rPr>
      </w:pPr>
    </w:p>
    <w:p>
      <w:pPr>
        <w:spacing w:line="560" w:lineRule="exact"/>
        <w:jc w:val="center"/>
        <w:outlineLvl w:val="0"/>
        <w:rPr>
          <w:rFonts w:hint="eastAsia" w:ascii="仿宋" w:hAnsi="仿宋" w:eastAsia="仿宋" w:cs="仿宋"/>
          <w:sz w:val="32"/>
          <w:szCs w:val="32"/>
          <w:highlight w:val="none"/>
          <w:lang w:eastAsia="zh-CN"/>
        </w:rPr>
      </w:pPr>
      <w:r>
        <w:rPr>
          <w:rFonts w:hint="eastAsia" w:ascii="仿宋" w:hAnsi="仿宋" w:eastAsia="仿宋" w:cs="仿宋"/>
          <w:b/>
          <w:sz w:val="36"/>
          <w:szCs w:val="36"/>
          <w:highlight w:val="none"/>
          <w:lang w:eastAsia="zh-CN"/>
        </w:rPr>
        <w:t>定窑遗址安防升级改造工程</w:t>
      </w:r>
    </w:p>
    <w:p>
      <w:pPr>
        <w:spacing w:line="560" w:lineRule="exact"/>
        <w:jc w:val="center"/>
        <w:outlineLvl w:val="0"/>
        <w:rPr>
          <w:rFonts w:ascii="仿宋" w:hAnsi="仿宋" w:eastAsia="仿宋" w:cs="仿宋"/>
          <w:b/>
          <w:sz w:val="36"/>
          <w:szCs w:val="36"/>
          <w:highlight w:val="none"/>
        </w:rPr>
      </w:pPr>
      <w:r>
        <w:rPr>
          <w:rFonts w:hint="eastAsia" w:ascii="仿宋" w:hAnsi="仿宋" w:eastAsia="仿宋" w:cs="仿宋"/>
          <w:b/>
          <w:sz w:val="36"/>
          <w:szCs w:val="36"/>
          <w:highlight w:val="none"/>
          <w:lang w:eastAsia="zh-CN"/>
        </w:rPr>
        <w:t>重点</w:t>
      </w:r>
      <w:r>
        <w:rPr>
          <w:rFonts w:hint="eastAsia" w:ascii="仿宋" w:hAnsi="仿宋" w:eastAsia="仿宋" w:cs="仿宋"/>
          <w:b/>
          <w:sz w:val="36"/>
          <w:szCs w:val="36"/>
          <w:highlight w:val="none"/>
        </w:rPr>
        <w:t>绩效</w:t>
      </w:r>
      <w:r>
        <w:rPr>
          <w:rFonts w:hint="eastAsia" w:ascii="仿宋" w:hAnsi="仿宋" w:eastAsia="仿宋" w:cs="仿宋"/>
          <w:b/>
          <w:sz w:val="36"/>
          <w:szCs w:val="36"/>
          <w:highlight w:val="none"/>
          <w:lang w:eastAsia="zh-CN"/>
        </w:rPr>
        <w:t>评价</w:t>
      </w:r>
      <w:r>
        <w:rPr>
          <w:rFonts w:hint="eastAsia" w:ascii="仿宋" w:hAnsi="仿宋" w:eastAsia="仿宋" w:cs="仿宋"/>
          <w:b/>
          <w:sz w:val="36"/>
          <w:szCs w:val="36"/>
          <w:highlight w:val="none"/>
        </w:rPr>
        <w:t>报告</w:t>
      </w:r>
    </w:p>
    <w:p>
      <w:pPr>
        <w:spacing w:afterLines="50" w:line="560" w:lineRule="exact"/>
        <w:ind w:firstLine="1422" w:firstLineChars="590"/>
        <w:jc w:val="right"/>
        <w:rPr>
          <w:rFonts w:ascii="仿宋" w:hAnsi="仿宋" w:eastAsia="仿宋" w:cs="仿宋"/>
          <w:sz w:val="24"/>
          <w:szCs w:val="24"/>
          <w:highlight w:val="none"/>
        </w:rPr>
      </w:pPr>
      <w:r>
        <w:rPr>
          <w:rFonts w:hint="eastAsia" w:ascii="仿宋" w:hAnsi="仿宋" w:eastAsia="仿宋" w:cs="仿宋"/>
          <w:b/>
          <w:sz w:val="24"/>
          <w:szCs w:val="24"/>
          <w:highlight w:val="none"/>
        </w:rPr>
        <w:t xml:space="preserve">                  </w:t>
      </w:r>
    </w:p>
    <w:p>
      <w:pPr>
        <w:spacing w:line="560" w:lineRule="exact"/>
        <w:ind w:firstLine="640" w:firstLineChars="200"/>
        <w:rPr>
          <w:rFonts w:hint="eastAsia" w:ascii="仿宋" w:hAnsi="仿宋" w:eastAsia="仿宋" w:cs="仿宋"/>
          <w:sz w:val="30"/>
          <w:szCs w:val="30"/>
          <w:highlight w:val="none"/>
          <w:lang w:eastAsia="zh-CN"/>
        </w:rPr>
      </w:pPr>
      <w:r>
        <w:rPr>
          <w:rFonts w:hint="eastAsia" w:ascii="仿宋_GB2312" w:eastAsia="仿宋_GB2312" w:cs="仿宋_GB2312"/>
          <w:sz w:val="32"/>
          <w:szCs w:val="32"/>
          <w:lang w:eastAsia="zh-CN"/>
        </w:rPr>
        <w:t>按照</w:t>
      </w:r>
      <w:r>
        <w:rPr>
          <w:rFonts w:hint="eastAsia" w:ascii="仿宋_GB2312" w:eastAsia="仿宋_GB2312" w:cs="仿宋_GB2312"/>
          <w:sz w:val="32"/>
          <w:szCs w:val="32"/>
        </w:rPr>
        <w:t>《曲阳县财政局关于印发202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年县级财政重点绩效评价计划的通知》的</w:t>
      </w:r>
      <w:r>
        <w:rPr>
          <w:rFonts w:ascii="仿宋_GB2312" w:eastAsia="仿宋_GB2312" w:cs="仿宋_GB2312"/>
          <w:sz w:val="32"/>
          <w:szCs w:val="32"/>
        </w:rPr>
        <w:t>要求</w:t>
      </w:r>
      <w:r>
        <w:rPr>
          <w:rFonts w:hint="eastAsia" w:ascii="仿宋_GB2312" w:eastAsia="仿宋_GB2312" w:cs="仿宋_GB2312"/>
          <w:sz w:val="32"/>
          <w:szCs w:val="32"/>
          <w:lang w:eastAsia="zh-CN"/>
        </w:rPr>
        <w:t>，由财政局监督评价会计股牵头第三方协助，</w:t>
      </w:r>
      <w:r>
        <w:rPr>
          <w:rFonts w:hint="eastAsia" w:ascii="仿宋" w:hAnsi="仿宋" w:eastAsia="仿宋" w:cs="仿宋"/>
          <w:sz w:val="30"/>
          <w:szCs w:val="30"/>
          <w:highlight w:val="none"/>
        </w:rPr>
        <w:t>对曲阳县定窑遗址文物保管所承担的</w:t>
      </w:r>
      <w:r>
        <w:rPr>
          <w:rFonts w:hint="eastAsia" w:ascii="仿宋" w:hAnsi="仿宋" w:eastAsia="仿宋" w:cs="仿宋"/>
          <w:sz w:val="30"/>
          <w:szCs w:val="30"/>
          <w:highlight w:val="none"/>
          <w:lang w:eastAsia="zh-CN"/>
        </w:rPr>
        <w:t>定窑遗址安防升级改造工程</w:t>
      </w:r>
      <w:r>
        <w:rPr>
          <w:rFonts w:hint="eastAsia" w:ascii="仿宋" w:hAnsi="仿宋" w:eastAsia="仿宋" w:cs="仿宋"/>
          <w:sz w:val="30"/>
          <w:szCs w:val="30"/>
          <w:highlight w:val="none"/>
        </w:rPr>
        <w:t>（以下简称“该项目”）2022年度</w:t>
      </w:r>
      <w:r>
        <w:rPr>
          <w:rFonts w:hint="eastAsia" w:ascii="仿宋" w:hAnsi="仿宋" w:eastAsia="仿宋" w:cs="仿宋"/>
          <w:sz w:val="30"/>
          <w:szCs w:val="30"/>
          <w:highlight w:val="none"/>
          <w:lang w:eastAsia="zh-CN"/>
        </w:rPr>
        <w:t>下达</w:t>
      </w:r>
      <w:r>
        <w:rPr>
          <w:rFonts w:hint="eastAsia" w:ascii="仿宋" w:hAnsi="仿宋" w:eastAsia="仿宋" w:cs="仿宋"/>
          <w:sz w:val="30"/>
          <w:szCs w:val="30"/>
          <w:highlight w:val="none"/>
        </w:rPr>
        <w:t>专项资金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使用情况进行了绩效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。曲阳县定窑遗址文物保管所和相关单位提供与绩效</w:t>
      </w:r>
      <w:r>
        <w:rPr>
          <w:rFonts w:hint="eastAsia" w:ascii="仿宋" w:hAnsi="仿宋" w:eastAsia="仿宋" w:cs="仿宋"/>
          <w:sz w:val="30"/>
          <w:szCs w:val="30"/>
          <w:highlight w:val="none"/>
          <w:lang w:eastAsia="zh-CN"/>
        </w:rPr>
        <w:t>评价有关的项目资料，并对其真实性、完整性、合法性负责，根据项目相关资料，对该项目的项目投入、项目过程管理、项目产出和项目效益四个方面和执行国家法律、法规的情况发表评价意见。</w:t>
      </w:r>
    </w:p>
    <w:p>
      <w:pPr>
        <w:spacing w:line="560" w:lineRule="exact"/>
        <w:ind w:firstLine="643" w:firstLineChars="200"/>
        <w:outlineLvl w:val="0"/>
        <w:rPr>
          <w:rFonts w:hint="eastAsia" w:ascii="仿宋" w:hAnsi="仿宋" w:eastAsia="仿宋" w:cs="仿宋"/>
          <w:b/>
          <w:bCs/>
          <w:sz w:val="32"/>
          <w:szCs w:val="32"/>
          <w:highlight w:val="none"/>
          <w:lang w:val="en-US" w:eastAsia="zh-CN"/>
        </w:rPr>
      </w:pPr>
      <w:bookmarkStart w:id="0" w:name="_Toc83630317"/>
      <w:bookmarkStart w:id="1" w:name="_Toc30480"/>
      <w:bookmarkStart w:id="2" w:name="_Toc8967"/>
      <w:bookmarkStart w:id="3" w:name="_Toc83631027"/>
      <w:r>
        <w:rPr>
          <w:rFonts w:hint="eastAsia" w:ascii="仿宋" w:hAnsi="仿宋" w:eastAsia="仿宋" w:cs="仿宋"/>
          <w:b/>
          <w:bCs/>
          <w:sz w:val="32"/>
          <w:szCs w:val="32"/>
          <w:highlight w:val="none"/>
        </w:rPr>
        <w:t>一、项目</w:t>
      </w:r>
      <w:bookmarkEnd w:id="0"/>
      <w:bookmarkEnd w:id="1"/>
      <w:bookmarkEnd w:id="2"/>
      <w:bookmarkEnd w:id="3"/>
      <w:r>
        <w:rPr>
          <w:rFonts w:hint="eastAsia" w:ascii="仿宋" w:hAnsi="仿宋" w:eastAsia="仿宋" w:cs="仿宋"/>
          <w:b/>
          <w:bCs/>
          <w:sz w:val="32"/>
          <w:szCs w:val="32"/>
          <w:highlight w:val="none"/>
          <w:lang w:val="en-US" w:eastAsia="zh-CN"/>
        </w:rPr>
        <w:t>建设背景</w:t>
      </w:r>
    </w:p>
    <w:p>
      <w:pPr>
        <w:spacing w:line="560" w:lineRule="exact"/>
        <w:ind w:firstLine="600" w:firstLineChars="200"/>
        <w:rPr>
          <w:rFonts w:ascii="仿宋" w:hAnsi="仿宋" w:eastAsia="仿宋" w:cs="仿宋"/>
          <w:sz w:val="30"/>
          <w:szCs w:val="30"/>
          <w:highlight w:val="none"/>
        </w:rPr>
      </w:pPr>
      <w:bookmarkStart w:id="4" w:name="_Toc22022"/>
      <w:bookmarkStart w:id="5" w:name="_Toc83631028"/>
      <w:bookmarkStart w:id="6" w:name="_Toc19822"/>
      <w:bookmarkStart w:id="7" w:name="_Toc25381"/>
      <w:bookmarkStart w:id="8" w:name="_Toc22961"/>
      <w:bookmarkStart w:id="9" w:name="_Toc83630318"/>
      <w:r>
        <w:rPr>
          <w:rFonts w:ascii="仿宋" w:hAnsi="仿宋" w:eastAsia="仿宋" w:cs="仿宋"/>
          <w:sz w:val="30"/>
          <w:szCs w:val="30"/>
          <w:highlight w:val="none"/>
        </w:rPr>
        <w:t>定窑是宋代五大名窑之一。窑址位于今河北省曲阳县涧磁、燕川村一带，分布在东起北镇村东通天河，西至燕川村西山麓，东西长达10公里，南北宽2公里，总面达10余平方公里。定窑遗址遗存十分丰富，现保存完好瓷片堆13个，文化层堆积厚达10余米。定窑遗址是中国制瓷历史的缩影和重要见证，具有极高的考古和科研价值。</w:t>
      </w:r>
    </w:p>
    <w:p>
      <w:pPr>
        <w:pStyle w:val="16"/>
        <w:spacing w:line="560" w:lineRule="exact"/>
        <w:ind w:left="0" w:firstLine="600" w:firstLineChars="200"/>
        <w:jc w:val="both"/>
        <w:rPr>
          <w:rFonts w:ascii="仿宋" w:hAnsi="仿宋" w:eastAsia="仿宋" w:cs="仿宋"/>
          <w:kern w:val="2"/>
          <w:sz w:val="30"/>
          <w:szCs w:val="30"/>
          <w:highlight w:val="none"/>
        </w:rPr>
      </w:pPr>
      <w:r>
        <w:rPr>
          <w:rFonts w:ascii="仿宋" w:hAnsi="仿宋" w:eastAsia="仿宋" w:cs="仿宋"/>
          <w:kern w:val="2"/>
          <w:sz w:val="30"/>
          <w:szCs w:val="30"/>
          <w:highlight w:val="none"/>
        </w:rPr>
        <w:t>定窑遗址安防现状：</w:t>
      </w:r>
      <w:r>
        <w:rPr>
          <w:rFonts w:hint="eastAsia" w:ascii="仿宋" w:hAnsi="仿宋" w:eastAsia="仿宋" w:cs="仿宋"/>
          <w:kern w:val="2"/>
          <w:sz w:val="30"/>
          <w:szCs w:val="30"/>
          <w:highlight w:val="none"/>
        </w:rPr>
        <w:t>1.</w:t>
      </w:r>
      <w:r>
        <w:rPr>
          <w:rFonts w:ascii="仿宋" w:hAnsi="仿宋" w:eastAsia="仿宋" w:cs="仿宋"/>
          <w:kern w:val="2"/>
          <w:sz w:val="30"/>
          <w:szCs w:val="30"/>
          <w:highlight w:val="none"/>
        </w:rPr>
        <w:t>现有安防系统老化严重</w:t>
      </w:r>
      <w:r>
        <w:rPr>
          <w:rFonts w:hint="eastAsia" w:ascii="仿宋" w:hAnsi="仿宋" w:eastAsia="仿宋" w:cs="仿宋"/>
          <w:kern w:val="2"/>
          <w:sz w:val="30"/>
          <w:szCs w:val="30"/>
          <w:highlight w:val="none"/>
        </w:rPr>
        <w:t>。</w:t>
      </w:r>
      <w:r>
        <w:rPr>
          <w:rFonts w:ascii="仿宋" w:hAnsi="仿宋" w:eastAsia="仿宋" w:cs="仿宋"/>
          <w:kern w:val="2"/>
          <w:sz w:val="30"/>
          <w:szCs w:val="30"/>
          <w:highlight w:val="none"/>
        </w:rPr>
        <w:t>现有定窑遗址安防工程修建于2007 年，至今已有13个年头。安防设施 24 小时开启，设备损耗非常大。经常出现无法启动、不稳定、死机、摄像头故障等状况；同时，探头、管道、线路等日常消耗性设施也亟需维修、更换，已经达不到文物保护的需求。</w:t>
      </w:r>
      <w:r>
        <w:rPr>
          <w:rFonts w:hint="eastAsia" w:ascii="仿宋" w:hAnsi="仿宋" w:eastAsia="仿宋" w:cs="仿宋"/>
          <w:kern w:val="2"/>
          <w:sz w:val="30"/>
          <w:szCs w:val="30"/>
          <w:highlight w:val="none"/>
        </w:rPr>
        <w:t>2.</w:t>
      </w:r>
      <w:r>
        <w:rPr>
          <w:rFonts w:ascii="仿宋" w:hAnsi="仿宋" w:eastAsia="仿宋" w:cs="仿宋"/>
          <w:kern w:val="2"/>
          <w:sz w:val="30"/>
          <w:szCs w:val="30"/>
          <w:highlight w:val="none"/>
        </w:rPr>
        <w:t>设备落后。现有定窑遗址安防工程均为模拟系统，存在清晰度低、技术落后、安全性差等问题，急需进行升级改造。3</w:t>
      </w:r>
      <w:r>
        <w:rPr>
          <w:rFonts w:hint="eastAsia" w:ascii="仿宋" w:hAnsi="仿宋" w:eastAsia="仿宋" w:cs="仿宋"/>
          <w:kern w:val="2"/>
          <w:sz w:val="30"/>
          <w:szCs w:val="30"/>
          <w:highlight w:val="none"/>
        </w:rPr>
        <w:t>.</w:t>
      </w:r>
      <w:r>
        <w:rPr>
          <w:rFonts w:ascii="仿宋" w:hAnsi="仿宋" w:eastAsia="仿宋" w:cs="仿宋"/>
          <w:kern w:val="2"/>
          <w:sz w:val="30"/>
          <w:szCs w:val="30"/>
          <w:highlight w:val="none"/>
        </w:rPr>
        <w:t>安全隐患大。由于资金限制，现有安防系统只涉及到文物保管所及保护棚，且只对部分高风险部位进行了防护，而涧磁岭区包括13个大型“瓷片堆”均无任何安防设施，存在很大的安全隐患。</w:t>
      </w:r>
    </w:p>
    <w:p>
      <w:pPr>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近几年，定窑遗址及周边地区发生的破坏遗址、盗掘坟墓等违法犯罪现象有所减少，但没有被完全遏制，文物安全形势依然严峻。遗址区面积很大，保管人员较少，给遗址的有效保护和管理带来了很大困难。因此，要消除破坏遗址的违法犯罪活动仍是一项长期而艰苦的任务。由于地处边远山区，比较封闭，地方财政又很困难，设施简陋和经费困难问题日益突出。定窑遗址文物保管所的办公用房和库房都已成为危房，大量文物堆积在库房中，文物安全受到了很大威胁。200</w:t>
      </w:r>
      <w:r>
        <w:rPr>
          <w:rFonts w:hint="eastAsia" w:ascii="仿宋" w:hAnsi="仿宋" w:eastAsia="仿宋" w:cs="仿宋"/>
          <w:sz w:val="30"/>
          <w:szCs w:val="30"/>
          <w:highlight w:val="none"/>
        </w:rPr>
        <w:t>7</w:t>
      </w:r>
      <w:r>
        <w:rPr>
          <w:rFonts w:ascii="仿宋" w:hAnsi="仿宋" w:eastAsia="仿宋" w:cs="仿宋"/>
          <w:sz w:val="30"/>
          <w:szCs w:val="30"/>
          <w:highlight w:val="none"/>
        </w:rPr>
        <w:t>年，利用国家专项补助经费修建了部分安防和消防设施，大大提高了文物防盗和防火能力，但现在设备老化严重，经常出现死机、无法启动或损坏无法维修等问题，文物安全存在极大的风险。</w:t>
      </w:r>
    </w:p>
    <w:p>
      <w:pPr>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 xml:space="preserve">定窑遗址文物保管所编制人员共有 6 名，既要保护和管理好遗址，进行保护设施建设，又要合理利用文物价值，促进文物利用步伐，工作任务极其繁重，从未休过双休日、节假日。人员少，遗址面积大，很难对遗址整体进行有效管理，再加上设施简陋使文物安全形势更加严峻，也影响了定窑今后的开发和利用工作的开展。 </w:t>
      </w:r>
    </w:p>
    <w:p>
      <w:pPr>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鉴于以上情况，在定窑遗址采取现代化的防护技术刻不容缓。 当下为更好的保护定窑遗址的安全，须对现有的安防设施进行升级改造，实时监控定窑遗址的状况。在文物遭到破坏或被盗时能第一时间发现，以便安保人员及时做出判断采取相应措施，有效的把犯罪活动制止于初始阶段，保障文物的安全，也为安保人员人身安全提供更加稳定的安全保障。</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因此，</w:t>
      </w:r>
      <w:r>
        <w:rPr>
          <w:rFonts w:hint="eastAsia" w:ascii="仿宋" w:hAnsi="仿宋" w:eastAsia="仿宋" w:cs="仿宋"/>
          <w:sz w:val="32"/>
          <w:szCs w:val="32"/>
          <w:highlight w:val="none"/>
        </w:rPr>
        <w:t>曲阳县定窑遗址文物保管所</w:t>
      </w:r>
      <w:r>
        <w:rPr>
          <w:rFonts w:hint="eastAsia" w:ascii="仿宋" w:hAnsi="仿宋" w:eastAsia="仿宋" w:cs="仿宋"/>
          <w:sz w:val="30"/>
          <w:szCs w:val="30"/>
          <w:highlight w:val="none"/>
        </w:rPr>
        <w:t>计划开展</w:t>
      </w:r>
      <w:r>
        <w:rPr>
          <w:rFonts w:hint="eastAsia" w:ascii="仿宋" w:hAnsi="仿宋" w:eastAsia="仿宋" w:cs="仿宋"/>
          <w:sz w:val="32"/>
          <w:szCs w:val="32"/>
          <w:highlight w:val="none"/>
          <w:lang w:eastAsia="zh-CN"/>
        </w:rPr>
        <w:t>定窑遗址安防升级改造工程</w:t>
      </w:r>
      <w:r>
        <w:rPr>
          <w:rFonts w:hint="eastAsia" w:ascii="仿宋" w:hAnsi="仿宋" w:eastAsia="仿宋" w:cs="仿宋"/>
          <w:sz w:val="30"/>
          <w:szCs w:val="30"/>
          <w:highlight w:val="none"/>
        </w:rPr>
        <w:t>。</w:t>
      </w:r>
    </w:p>
    <w:p>
      <w:pPr>
        <w:spacing w:line="560" w:lineRule="exact"/>
        <w:ind w:firstLine="643" w:firstLineChars="200"/>
        <w:rPr>
          <w:rFonts w:ascii="仿宋" w:hAnsi="仿宋" w:eastAsia="仿宋" w:cs="仿宋"/>
          <w:b/>
          <w:bCs/>
          <w:sz w:val="32"/>
          <w:szCs w:val="32"/>
          <w:highlight w:val="none"/>
        </w:rPr>
      </w:pPr>
      <w:r>
        <w:rPr>
          <w:rFonts w:hint="eastAsia" w:ascii="仿宋" w:hAnsi="仿宋" w:eastAsia="仿宋" w:cs="仿宋"/>
          <w:b/>
          <w:bCs/>
          <w:sz w:val="32"/>
          <w:szCs w:val="32"/>
          <w:highlight w:val="none"/>
        </w:rPr>
        <w:t>二、项目实施内容和范围</w:t>
      </w:r>
      <w:bookmarkEnd w:id="4"/>
      <w:bookmarkEnd w:id="5"/>
      <w:bookmarkEnd w:id="6"/>
      <w:bookmarkEnd w:id="7"/>
      <w:bookmarkEnd w:id="8"/>
      <w:bookmarkEnd w:id="9"/>
    </w:p>
    <w:p>
      <w:pPr>
        <w:spacing w:line="560" w:lineRule="exact"/>
        <w:ind w:firstLine="600" w:firstLineChars="200"/>
        <w:rPr>
          <w:rFonts w:ascii="仿宋" w:hAnsi="仿宋" w:eastAsia="仿宋" w:cs="仿宋"/>
          <w:sz w:val="32"/>
          <w:szCs w:val="32"/>
          <w:highlight w:val="none"/>
        </w:rPr>
      </w:pPr>
      <w:bookmarkStart w:id="10" w:name="_Toc83630319"/>
      <w:bookmarkStart w:id="11" w:name="_Toc8527"/>
      <w:bookmarkStart w:id="12" w:name="_Toc17013"/>
      <w:bookmarkStart w:id="13" w:name="_Toc83631029"/>
      <w:bookmarkStart w:id="14" w:name="_Toc1525"/>
      <w:bookmarkStart w:id="15" w:name="_Toc24391"/>
      <w:r>
        <w:rPr>
          <w:rFonts w:hint="eastAsia" w:ascii="仿宋" w:hAnsi="仿宋" w:eastAsia="仿宋" w:cs="仿宋"/>
          <w:sz w:val="30"/>
          <w:szCs w:val="30"/>
          <w:highlight w:val="none"/>
        </w:rPr>
        <w:t>（一）项目承担部门：</w:t>
      </w:r>
      <w:r>
        <w:rPr>
          <w:rFonts w:hint="eastAsia" w:ascii="仿宋" w:hAnsi="仿宋" w:eastAsia="仿宋" w:cs="仿宋"/>
          <w:sz w:val="32"/>
          <w:szCs w:val="32"/>
          <w:highlight w:val="none"/>
        </w:rPr>
        <w:t>曲阳县定窑遗址文物保管所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（二）项目实施主体：</w:t>
      </w:r>
      <w:r>
        <w:rPr>
          <w:rFonts w:hint="eastAsia" w:ascii="仿宋" w:hAnsi="仿宋" w:eastAsia="仿宋" w:cs="仿宋"/>
          <w:sz w:val="32"/>
          <w:szCs w:val="32"/>
          <w:highlight w:val="none"/>
        </w:rPr>
        <w:t>曲阳县定窑遗址文物保管所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（三）项目建设地点:</w:t>
      </w:r>
      <w:r>
        <w:rPr>
          <w:highlight w:val="none"/>
        </w:rPr>
        <w:t xml:space="preserve"> </w:t>
      </w:r>
      <w:r>
        <w:rPr>
          <w:rFonts w:ascii="仿宋" w:hAnsi="仿宋" w:eastAsia="仿宋" w:cs="仿宋"/>
          <w:sz w:val="30"/>
          <w:szCs w:val="30"/>
          <w:highlight w:val="none"/>
        </w:rPr>
        <w:t>河北省保定市曲阳县灵山镇涧磁村定窑遗址</w:t>
      </w:r>
      <w:r>
        <w:rPr>
          <w:rFonts w:hint="eastAsia" w:ascii="仿宋" w:hAnsi="仿宋" w:eastAsia="仿宋" w:cs="仿宋"/>
          <w:sz w:val="30"/>
          <w:szCs w:val="30"/>
          <w:highlight w:val="none"/>
        </w:rPr>
        <w:t>。</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（四）主要建设内容及规模：</w:t>
      </w:r>
      <w:r>
        <w:rPr>
          <w:rFonts w:ascii="仿宋" w:hAnsi="仿宋" w:eastAsia="仿宋" w:cs="仿宋"/>
          <w:sz w:val="30"/>
          <w:szCs w:val="30"/>
          <w:highlight w:val="none"/>
        </w:rPr>
        <w:t>建设视频监控系统、入侵报警探测系统、紧急广播系统、门禁系统、接地与防雷系统、信号传输系统、监控中心系统等</w:t>
      </w:r>
      <w:r>
        <w:rPr>
          <w:rFonts w:hint="eastAsia" w:ascii="仿宋" w:hAnsi="仿宋" w:eastAsia="仿宋" w:cs="仿宋"/>
          <w:sz w:val="30"/>
          <w:szCs w:val="30"/>
          <w:highlight w:val="none"/>
        </w:rPr>
        <w:t>。</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（五）投资规模:项目估算总投资为353.00万元，资金来源为中央下达文物保护专项资金。</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（六）项目计划</w:t>
      </w:r>
      <w:r>
        <w:rPr>
          <w:rFonts w:ascii="仿宋" w:hAnsi="仿宋" w:eastAsia="仿宋" w:cs="仿宋"/>
          <w:sz w:val="30"/>
          <w:szCs w:val="30"/>
          <w:highlight w:val="none"/>
        </w:rPr>
        <w:t>建设期限:</w:t>
      </w:r>
      <w:r>
        <w:rPr>
          <w:rFonts w:hint="eastAsia" w:ascii="仿宋" w:hAnsi="仿宋" w:eastAsia="仿宋" w:cs="仿宋"/>
          <w:sz w:val="30"/>
          <w:szCs w:val="30"/>
          <w:highlight w:val="none"/>
        </w:rPr>
        <w:t>2022年5月20日签订的项目施工合同显示计划工期为2022年5月23日至2022年8月15日（85日历天）。</w:t>
      </w:r>
    </w:p>
    <w:p>
      <w:pPr>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（七）项目绩效目标：</w:t>
      </w:r>
      <w:r>
        <w:rPr>
          <w:rFonts w:hint="eastAsia" w:ascii="仿宋" w:hAnsi="仿宋" w:eastAsia="仿宋" w:cs="仿宋"/>
          <w:sz w:val="30"/>
          <w:szCs w:val="30"/>
          <w:highlight w:val="none"/>
          <w:lang w:eastAsia="zh-CN"/>
        </w:rPr>
        <w:t>通过安防系统升级改造，使文物得到更好的保护，不断提升文物保护水平，文物保护工作得以继续发展。</w:t>
      </w:r>
    </w:p>
    <w:p>
      <w:pPr>
        <w:spacing w:line="560" w:lineRule="exact"/>
        <w:ind w:firstLine="643" w:firstLineChars="200"/>
        <w:rPr>
          <w:rFonts w:ascii="仿宋" w:hAnsi="仿宋" w:eastAsia="仿宋" w:cs="仿宋"/>
          <w:sz w:val="30"/>
          <w:szCs w:val="30"/>
          <w:highlight w:val="none"/>
        </w:rPr>
      </w:pPr>
      <w:r>
        <w:rPr>
          <w:rFonts w:hint="eastAsia" w:ascii="仿宋" w:hAnsi="仿宋" w:eastAsia="仿宋" w:cs="仿宋"/>
          <w:b/>
          <w:bCs/>
          <w:sz w:val="32"/>
          <w:szCs w:val="32"/>
          <w:highlight w:val="none"/>
        </w:rPr>
        <w:t>三、项目资金使用情况</w:t>
      </w:r>
      <w:bookmarkEnd w:id="10"/>
      <w:bookmarkEnd w:id="11"/>
      <w:bookmarkEnd w:id="12"/>
      <w:bookmarkEnd w:id="13"/>
      <w:bookmarkEnd w:id="14"/>
      <w:bookmarkEnd w:id="15"/>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该项目2022年度</w:t>
      </w:r>
      <w:r>
        <w:rPr>
          <w:rFonts w:hint="eastAsia" w:ascii="仿宋" w:hAnsi="仿宋" w:eastAsia="仿宋" w:cs="仿宋"/>
          <w:sz w:val="30"/>
          <w:szCs w:val="30"/>
          <w:highlight w:val="none"/>
          <w:lang w:val="en-US" w:eastAsia="zh-CN"/>
        </w:rPr>
        <w:t>下达国家文物保护专项资金</w:t>
      </w:r>
      <w:r>
        <w:rPr>
          <w:rFonts w:hint="eastAsia" w:ascii="仿宋" w:hAnsi="仿宋" w:eastAsia="仿宋" w:cs="仿宋"/>
          <w:sz w:val="30"/>
          <w:szCs w:val="30"/>
          <w:highlight w:val="none"/>
        </w:rPr>
        <w:t>353.00万元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额度达到至</w:t>
      </w:r>
      <w:r>
        <w:rPr>
          <w:rFonts w:hint="eastAsia" w:ascii="仿宋" w:hAnsi="仿宋" w:eastAsia="仿宋" w:cs="仿宋"/>
          <w:sz w:val="32"/>
          <w:szCs w:val="32"/>
          <w:highlight w:val="none"/>
        </w:rPr>
        <w:t>曲阳县定窑遗址文物保管所</w:t>
      </w:r>
      <w:r>
        <w:rPr>
          <w:rFonts w:hint="eastAsia" w:ascii="仿宋" w:hAnsi="仿宋" w:eastAsia="仿宋" w:cs="仿宋"/>
          <w:sz w:val="32"/>
          <w:szCs w:val="32"/>
          <w:highlight w:val="none"/>
          <w:lang w:eastAsia="zh-CN"/>
        </w:rPr>
        <w:t>，</w:t>
      </w:r>
      <w:r>
        <w:rPr>
          <w:rFonts w:hint="eastAsia" w:ascii="仿宋" w:hAnsi="仿宋" w:eastAsia="仿宋" w:cs="仿宋"/>
          <w:sz w:val="30"/>
          <w:szCs w:val="30"/>
          <w:highlight w:val="none"/>
          <w:lang w:val="en-US" w:eastAsia="zh-CN"/>
        </w:rPr>
        <w:t>2022年度该项目实际支出</w:t>
      </w:r>
      <w:r>
        <w:rPr>
          <w:rFonts w:hint="eastAsia" w:ascii="仿宋" w:hAnsi="仿宋" w:eastAsia="仿宋" w:cs="仿宋"/>
          <w:sz w:val="30"/>
          <w:szCs w:val="30"/>
          <w:highlight w:val="none"/>
        </w:rPr>
        <w:t>金额336.62万元，</w:t>
      </w:r>
      <w:r>
        <w:rPr>
          <w:rFonts w:hint="eastAsia" w:ascii="仿宋" w:hAnsi="仿宋" w:eastAsia="仿宋" w:cs="仿宋"/>
          <w:sz w:val="30"/>
          <w:szCs w:val="30"/>
          <w:highlight w:val="none"/>
          <w:lang w:val="en-US" w:eastAsia="zh-CN"/>
        </w:rPr>
        <w:t>资金通过国库集中支付，无结余资金。</w:t>
      </w:r>
      <w:r>
        <w:rPr>
          <w:rFonts w:hint="eastAsia" w:ascii="仿宋" w:hAnsi="仿宋" w:eastAsia="仿宋" w:cs="仿宋"/>
          <w:sz w:val="30"/>
          <w:szCs w:val="30"/>
          <w:highlight w:val="none"/>
        </w:rPr>
        <w:t>具体见下表：</w:t>
      </w:r>
    </w:p>
    <w:p>
      <w:pPr>
        <w:spacing w:line="560" w:lineRule="exact"/>
        <w:jc w:val="center"/>
        <w:rPr>
          <w:rFonts w:ascii="仿宋_GB2312" w:eastAsia="仿宋_GB2312"/>
          <w:color w:val="000000"/>
          <w:sz w:val="24"/>
          <w:szCs w:val="24"/>
          <w:highlight w:val="none"/>
        </w:rPr>
      </w:pPr>
      <w:r>
        <w:rPr>
          <w:rFonts w:hint="eastAsia" w:ascii="仿宋" w:hAnsi="仿宋" w:eastAsia="仿宋" w:cs="仿宋"/>
          <w:sz w:val="30"/>
          <w:szCs w:val="30"/>
          <w:highlight w:val="none"/>
        </w:rPr>
        <w:t>曲阳县定窑遗址文物保管所定窑遗址安防升级改造项目支出明细表</w:t>
      </w:r>
    </w:p>
    <w:p>
      <w:pPr>
        <w:widowControl/>
        <w:spacing w:line="560" w:lineRule="exact"/>
        <w:jc w:val="right"/>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 xml:space="preserve">  单位：万元</w:t>
      </w:r>
    </w:p>
    <w:tbl>
      <w:tblPr>
        <w:tblStyle w:val="20"/>
        <w:tblW w:w="0" w:type="auto"/>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1985"/>
        <w:gridCol w:w="4076"/>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vAlign w:val="center"/>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序号</w:t>
            </w:r>
          </w:p>
        </w:tc>
        <w:tc>
          <w:tcPr>
            <w:tcW w:w="1985" w:type="dxa"/>
            <w:vAlign w:val="center"/>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内容</w:t>
            </w:r>
          </w:p>
        </w:tc>
        <w:tc>
          <w:tcPr>
            <w:tcW w:w="4076" w:type="dxa"/>
            <w:vAlign w:val="center"/>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公司名称</w:t>
            </w:r>
          </w:p>
        </w:tc>
        <w:tc>
          <w:tcPr>
            <w:tcW w:w="2409" w:type="dxa"/>
            <w:vAlign w:val="center"/>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累计支付金额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1</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工程款</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河北泰嘉智能科技有限公司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307.00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咨询费</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河北道简工程项目管理有限公司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0.63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监理费</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河北卓众工程项目管理有限公司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10.45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4</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设计费</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河北佐元安防工程有限公司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13.65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5</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审计费</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秦皇岛益邦工程造价咨询有限公司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1.88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6</w:t>
            </w:r>
          </w:p>
        </w:tc>
        <w:tc>
          <w:tcPr>
            <w:tcW w:w="1985"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升级改造检测费</w:t>
            </w:r>
          </w:p>
        </w:tc>
        <w:tc>
          <w:tcPr>
            <w:tcW w:w="4076"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河北乾翔检测技术服务有限公司</w:t>
            </w:r>
          </w:p>
        </w:tc>
        <w:tc>
          <w:tcPr>
            <w:tcW w:w="2409" w:type="dxa"/>
            <w:vAlign w:val="center"/>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5" w:type="dxa"/>
            <w:gridSpan w:val="3"/>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合计</w:t>
            </w:r>
          </w:p>
        </w:tc>
        <w:tc>
          <w:tcPr>
            <w:tcW w:w="2409" w:type="dxa"/>
          </w:tcPr>
          <w:p>
            <w:pPr>
              <w:widowControl/>
              <w:jc w:val="center"/>
              <w:textAlignment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         336.62</w:t>
            </w:r>
          </w:p>
        </w:tc>
      </w:tr>
    </w:tbl>
    <w:p>
      <w:pPr>
        <w:pStyle w:val="16"/>
        <w:ind w:left="0"/>
        <w:rPr>
          <w:highlight w:val="none"/>
        </w:rPr>
      </w:pP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根据河北省财政厅《关于提前下达2022年国家文物保护专项资金预算的通知》（冀财教〔2021〕135号）文件显示，</w:t>
      </w:r>
      <w:r>
        <w:rPr>
          <w:rFonts w:hint="eastAsia" w:ascii="仿宋" w:hAnsi="仿宋" w:eastAsia="仿宋" w:cs="仿宋"/>
          <w:sz w:val="30"/>
          <w:szCs w:val="30"/>
          <w:highlight w:val="none"/>
          <w:lang w:eastAsia="zh-CN"/>
        </w:rPr>
        <w:t>定窑遗址安防升级改造工程</w:t>
      </w:r>
      <w:r>
        <w:rPr>
          <w:rFonts w:hint="eastAsia" w:ascii="仿宋" w:hAnsi="仿宋" w:eastAsia="仿宋" w:cs="仿宋"/>
          <w:sz w:val="30"/>
          <w:szCs w:val="30"/>
          <w:highlight w:val="none"/>
          <w:lang w:val="en-US" w:eastAsia="zh-CN"/>
        </w:rPr>
        <w:t>共安排国家文物保护</w:t>
      </w:r>
      <w:r>
        <w:rPr>
          <w:rFonts w:hint="eastAsia" w:ascii="仿宋" w:hAnsi="仿宋" w:eastAsia="仿宋" w:cs="仿宋"/>
          <w:sz w:val="30"/>
          <w:szCs w:val="30"/>
          <w:highlight w:val="none"/>
        </w:rPr>
        <w:t>专项资金353.00万元，预算下达到曲阳县定窑遗址文物保管所，并由曲阳县定窑遗址文物保管所进行集中支付。</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2022年度，该项目共计收到专项资金353.00万元，实际支出336.62万元。收支明细详见下表：</w:t>
      </w:r>
    </w:p>
    <w:p>
      <w:pPr>
        <w:spacing w:line="560" w:lineRule="exact"/>
        <w:jc w:val="center"/>
        <w:rPr>
          <w:rFonts w:ascii="仿宋" w:hAnsi="仿宋" w:eastAsia="仿宋" w:cs="仿宋"/>
          <w:sz w:val="30"/>
          <w:szCs w:val="30"/>
          <w:highlight w:val="none"/>
        </w:rPr>
      </w:pPr>
      <w:r>
        <w:rPr>
          <w:rFonts w:hint="eastAsia" w:ascii="仿宋" w:hAnsi="仿宋" w:eastAsia="仿宋" w:cs="仿宋"/>
          <w:sz w:val="30"/>
          <w:szCs w:val="30"/>
          <w:highlight w:val="none"/>
        </w:rPr>
        <w:t>专项资金收支明细表</w:t>
      </w:r>
    </w:p>
    <w:p>
      <w:pPr>
        <w:pStyle w:val="36"/>
        <w:tabs>
          <w:tab w:val="left" w:pos="312"/>
        </w:tabs>
        <w:spacing w:line="560" w:lineRule="exact"/>
        <w:ind w:left="120" w:firstLine="480"/>
        <w:jc w:val="righ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单位：万元</w:t>
      </w:r>
    </w:p>
    <w:tbl>
      <w:tblPr>
        <w:tblStyle w:val="20"/>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622"/>
        <w:gridCol w:w="1622"/>
        <w:gridCol w:w="1622"/>
        <w:gridCol w:w="1623"/>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6" w:type="dxa"/>
            <w:gridSpan w:val="3"/>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收入</w:t>
            </w:r>
          </w:p>
        </w:tc>
        <w:tc>
          <w:tcPr>
            <w:tcW w:w="4868" w:type="dxa"/>
            <w:gridSpan w:val="3"/>
          </w:tcPr>
          <w:p>
            <w:pPr>
              <w:widowControl/>
              <w:jc w:val="center"/>
              <w:rPr>
                <w:rFonts w:ascii="仿宋_GB2312" w:eastAsia="仿宋_GB2312"/>
                <w:b/>
                <w:bCs/>
                <w:color w:val="000000"/>
                <w:sz w:val="24"/>
                <w:szCs w:val="24"/>
                <w:highlight w:val="none"/>
              </w:rPr>
            </w:pPr>
            <w:r>
              <w:rPr>
                <w:rFonts w:hint="eastAsia" w:ascii="仿宋_GB2312" w:eastAsia="仿宋_GB2312"/>
                <w:b/>
                <w:bCs/>
                <w:color w:val="000000"/>
                <w:sz w:val="24"/>
                <w:szCs w:val="24"/>
                <w:highlight w:val="none"/>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名称</w:t>
            </w:r>
          </w:p>
        </w:tc>
        <w:tc>
          <w:tcPr>
            <w:tcW w:w="1622"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日期</w:t>
            </w:r>
          </w:p>
        </w:tc>
        <w:tc>
          <w:tcPr>
            <w:tcW w:w="1622"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金额</w:t>
            </w:r>
          </w:p>
        </w:tc>
        <w:tc>
          <w:tcPr>
            <w:tcW w:w="1622"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名称</w:t>
            </w:r>
          </w:p>
        </w:tc>
        <w:tc>
          <w:tcPr>
            <w:tcW w:w="1623"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日期</w:t>
            </w:r>
          </w:p>
        </w:tc>
        <w:tc>
          <w:tcPr>
            <w:tcW w:w="1623" w:type="dxa"/>
            <w:vAlign w:val="center"/>
          </w:tcPr>
          <w:p>
            <w:pPr>
              <w:widowControl/>
              <w:jc w:val="center"/>
              <w:textAlignment w:val="center"/>
              <w:rPr>
                <w:rFonts w:ascii="仿宋" w:hAnsi="仿宋" w:eastAsia="仿宋" w:cs="仿宋"/>
                <w:kern w:val="0"/>
                <w:sz w:val="22"/>
                <w:szCs w:val="22"/>
                <w:highlight w:val="none"/>
              </w:rPr>
            </w:pPr>
            <w:r>
              <w:rPr>
                <w:rFonts w:hint="eastAsia" w:ascii="仿宋" w:hAnsi="仿宋" w:eastAsia="仿宋" w:cs="仿宋"/>
                <w:color w:val="000000"/>
                <w:kern w:val="0"/>
                <w:sz w:val="22"/>
                <w:szCs w:val="22"/>
                <w:highlight w:val="none"/>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restart"/>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专项资金</w:t>
            </w:r>
          </w:p>
        </w:tc>
        <w:tc>
          <w:tcPr>
            <w:tcW w:w="1622" w:type="dxa"/>
            <w:vMerge w:val="restart"/>
            <w:vAlign w:val="center"/>
          </w:tcPr>
          <w:p>
            <w:pPr>
              <w:widowControl/>
              <w:jc w:val="center"/>
              <w:textAlignment w:val="center"/>
              <w:rPr>
                <w:rFonts w:hint="eastAsia" w:ascii="仿宋_GB2312" w:eastAsia="仿宋_GB2312"/>
                <w:color w:val="000000"/>
                <w:sz w:val="24"/>
                <w:szCs w:val="24"/>
                <w:highlight w:val="none"/>
              </w:rPr>
            </w:pPr>
          </w:p>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2022/6/27</w:t>
            </w:r>
          </w:p>
          <w:p>
            <w:pPr>
              <w:widowControl/>
              <w:jc w:val="center"/>
              <w:textAlignment w:val="center"/>
              <w:rPr>
                <w:rFonts w:ascii="仿宋_GB2312" w:eastAsia="仿宋_GB2312"/>
                <w:color w:val="000000"/>
                <w:sz w:val="24"/>
                <w:szCs w:val="24"/>
                <w:highlight w:val="none"/>
              </w:rPr>
            </w:pPr>
          </w:p>
        </w:tc>
        <w:tc>
          <w:tcPr>
            <w:tcW w:w="1622" w:type="dxa"/>
            <w:vMerge w:val="restart"/>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333.62</w:t>
            </w: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工程款</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2022/6/27</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continue"/>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咨询费</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2022/6/28</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continue"/>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监理费</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2022/6/28</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continue"/>
          </w:tcPr>
          <w:p>
            <w:pPr>
              <w:widowControl/>
              <w:jc w:val="center"/>
              <w:textAlignment w:val="center"/>
              <w:rPr>
                <w:rFonts w:ascii="仿宋_GB2312" w:eastAsia="仿宋_GB2312"/>
                <w:color w:val="000000"/>
                <w:sz w:val="24"/>
                <w:szCs w:val="24"/>
                <w:highlight w:val="none"/>
              </w:rPr>
            </w:pPr>
          </w:p>
        </w:tc>
        <w:tc>
          <w:tcPr>
            <w:tcW w:w="1622" w:type="dxa"/>
            <w:vMerge w:val="restart"/>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2022/12/20</w:t>
            </w:r>
          </w:p>
        </w:tc>
        <w:tc>
          <w:tcPr>
            <w:tcW w:w="1622" w:type="dxa"/>
            <w:vMerge w:val="restart"/>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3.00</w:t>
            </w: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设计费</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2022/7/13</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13.65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continue"/>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审计费</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2022/7/18</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2" w:type="dxa"/>
            <w:vMerge w:val="continue"/>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Merge w:val="continue"/>
            <w:vAlign w:val="center"/>
          </w:tcPr>
          <w:p>
            <w:pPr>
              <w:widowControl/>
              <w:jc w:val="center"/>
              <w:textAlignment w:val="center"/>
              <w:rPr>
                <w:rFonts w:ascii="仿宋_GB2312" w:eastAsia="仿宋_GB2312"/>
                <w:color w:val="000000"/>
                <w:sz w:val="24"/>
                <w:szCs w:val="24"/>
                <w:highlight w:val="none"/>
              </w:rPr>
            </w:pP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升级改造检测费</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2022/12/26</w:t>
            </w:r>
          </w:p>
        </w:tc>
        <w:tc>
          <w:tcPr>
            <w:tcW w:w="1623"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gridSpan w:val="2"/>
            <w:vAlign w:val="center"/>
          </w:tcPr>
          <w:p>
            <w:pPr>
              <w:widowControl/>
              <w:jc w:val="center"/>
              <w:textAlignment w:val="center"/>
              <w:rPr>
                <w:rFonts w:ascii="仿宋_GB2312" w:eastAsia="仿宋_GB2312"/>
                <w:color w:val="000000"/>
                <w:sz w:val="24"/>
                <w:szCs w:val="24"/>
                <w:highlight w:val="none"/>
              </w:rPr>
            </w:pPr>
            <w:r>
              <w:rPr>
                <w:rFonts w:ascii="仿宋_GB2312" w:eastAsia="仿宋_GB2312"/>
                <w:color w:val="000000"/>
                <w:sz w:val="24"/>
                <w:szCs w:val="24"/>
                <w:highlight w:val="none"/>
              </w:rPr>
              <w:t>合计</w:t>
            </w:r>
          </w:p>
        </w:tc>
        <w:tc>
          <w:tcPr>
            <w:tcW w:w="1622" w:type="dxa"/>
            <w:vAlign w:val="center"/>
          </w:tcPr>
          <w:p>
            <w:pPr>
              <w:widowControl/>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336.62</w:t>
            </w:r>
          </w:p>
        </w:tc>
        <w:tc>
          <w:tcPr>
            <w:tcW w:w="3245" w:type="dxa"/>
            <w:gridSpan w:val="2"/>
            <w:vAlign w:val="center"/>
          </w:tcPr>
          <w:p>
            <w:pPr>
              <w:widowControl/>
              <w:jc w:val="center"/>
              <w:textAlignment w:val="center"/>
              <w:rPr>
                <w:rFonts w:ascii="仿宋_GB2312" w:eastAsia="仿宋_GB2312"/>
                <w:color w:val="000000"/>
                <w:sz w:val="24"/>
                <w:szCs w:val="24"/>
                <w:highlight w:val="none"/>
              </w:rPr>
            </w:pPr>
            <w:r>
              <w:rPr>
                <w:rFonts w:ascii="仿宋_GB2312" w:eastAsia="仿宋_GB2312"/>
                <w:color w:val="000000"/>
                <w:sz w:val="24"/>
                <w:szCs w:val="24"/>
                <w:highlight w:val="none"/>
              </w:rPr>
              <w:t>合计</w:t>
            </w:r>
          </w:p>
        </w:tc>
        <w:tc>
          <w:tcPr>
            <w:tcW w:w="1623" w:type="dxa"/>
            <w:vAlign w:val="center"/>
          </w:tcPr>
          <w:p>
            <w:pPr>
              <w:pStyle w:val="36"/>
              <w:widowControl/>
              <w:tabs>
                <w:tab w:val="left" w:pos="312"/>
              </w:tabs>
              <w:spacing w:line="560" w:lineRule="exact"/>
              <w:ind w:firstLine="0" w:firstLineChars="0"/>
              <w:jc w:val="center"/>
              <w:textAlignment w:val="center"/>
              <w:rPr>
                <w:rFonts w:ascii="仿宋_GB2312" w:eastAsia="仿宋_GB2312"/>
                <w:color w:val="000000"/>
                <w:sz w:val="24"/>
                <w:szCs w:val="24"/>
                <w:highlight w:val="none"/>
              </w:rPr>
            </w:pPr>
            <w:r>
              <w:rPr>
                <w:rFonts w:hint="eastAsia" w:ascii="仿宋_GB2312" w:eastAsia="仿宋_GB2312"/>
                <w:color w:val="000000"/>
                <w:sz w:val="24"/>
                <w:szCs w:val="24"/>
                <w:highlight w:val="none"/>
              </w:rPr>
              <w:t>336.62</w:t>
            </w:r>
          </w:p>
        </w:tc>
      </w:tr>
    </w:tbl>
    <w:p>
      <w:pPr>
        <w:pStyle w:val="16"/>
        <w:ind w:left="0"/>
        <w:rPr>
          <w:highlight w:val="none"/>
        </w:rPr>
      </w:pPr>
    </w:p>
    <w:p>
      <w:pPr>
        <w:spacing w:line="560" w:lineRule="atLeast"/>
        <w:ind w:left="562"/>
        <w:jc w:val="left"/>
        <w:rPr>
          <w:rFonts w:ascii="仿宋" w:hAnsi="仿宋" w:eastAsia="仿宋" w:cs="仿宋"/>
          <w:b/>
          <w:bCs/>
          <w:sz w:val="30"/>
          <w:szCs w:val="30"/>
          <w:highlight w:val="none"/>
        </w:rPr>
      </w:pPr>
      <w:bookmarkStart w:id="16" w:name="_Toc83630320"/>
      <w:bookmarkStart w:id="17" w:name="_Toc18734"/>
      <w:bookmarkStart w:id="18" w:name="_Toc14351"/>
      <w:bookmarkStart w:id="19" w:name="_Toc21403"/>
      <w:bookmarkStart w:id="20" w:name="_Toc83631030"/>
      <w:bookmarkStart w:id="21" w:name="_Toc21592"/>
      <w:r>
        <w:rPr>
          <w:rFonts w:hint="eastAsia" w:ascii="仿宋" w:hAnsi="仿宋" w:eastAsia="仿宋" w:cs="仿宋"/>
          <w:b/>
          <w:bCs/>
          <w:sz w:val="30"/>
          <w:szCs w:val="30"/>
          <w:highlight w:val="none"/>
        </w:rPr>
        <w:t>四、绩效</w:t>
      </w:r>
      <w:r>
        <w:rPr>
          <w:rFonts w:hint="eastAsia" w:ascii="仿宋" w:hAnsi="仿宋" w:eastAsia="仿宋" w:cs="仿宋"/>
          <w:b/>
          <w:bCs/>
          <w:sz w:val="30"/>
          <w:szCs w:val="30"/>
          <w:highlight w:val="none"/>
          <w:lang w:eastAsia="zh-CN"/>
        </w:rPr>
        <w:t>评价</w:t>
      </w:r>
      <w:r>
        <w:rPr>
          <w:rFonts w:hint="eastAsia" w:ascii="仿宋" w:hAnsi="仿宋" w:eastAsia="仿宋" w:cs="仿宋"/>
          <w:b/>
          <w:bCs/>
          <w:sz w:val="30"/>
          <w:szCs w:val="30"/>
          <w:highlight w:val="none"/>
        </w:rPr>
        <w:t>工作开展情况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目的</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为了进一步强化部门支出责任，提高部门绩效意识，优化资源配置，控制节约成本，切实提供项目资金管理水平和使用效益，及时掌握项目在执行过程中产生的效果和存在的不足，特别是在资金使用方面，将</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结果与当年预算安排挂钩，作为预算合法有效执行的重要保障，并作为完善政策、分配资金、改善管理的重要依据。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设计过程</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1.收集资料</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工作组在项目实施单位收集、整理被</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项目基础资料及相关信息，对项目情况进行初步了解。</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具体实施</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我们通过查看项目相关政策文件，项目的相关管理制度、档案资料、资金收付明细账等相关资料，</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项目实施的效果，并按照</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指标体系对相应事项进行分数评定。</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3.撰写绩效报告</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工作组根据现场核实、数据分析情况，撰写绩效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报告，经过内部讨论、与项目实施单位交换沟通，形成绩效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项目报告初稿。</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框架</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原则</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（1）价值导向原则：财政支出绩效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体系应能够反映财政支出的经济性、效益性、有效性原则，体现财政部门和项目主管部门的价值导向。</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（2）重要性原则：根据指标在整个指标体系的地位和作用进行筛选，选择最具代表性、最能反映</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要求的指标。</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（3）可比性原则：在相似项目之间有共同的指标，不同项目之间的衡量结果可以相互比较。</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（4）综合性原则：将定性指标和定量指标相结合，定性分析是定量分析的基础，定量分析是定性分析的深化，两者相结合系统反映财政支出所产生的社会效益。</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（5）经济性原则：指标的选取要考虑现实条件及可操作性，数据的获得应符合成本效益原则，在合理成本的基础上收集信息。</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的</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方法</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本次</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采取定量和定性</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相结合、综合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相结合的方式，运用审查法和现场查勘法开展绩效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工作。</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（1）审查法：通过审查被</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单位的项目档案、项目管理制度、资金支付凭证、资金支付明细账等项目资料，分析资金支出的合理性和合规性。</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（2）现场查勘法：通过对项目的现场查勘，了解目标的实施情况，进而</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项目绩效目标的完成情况。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标准：是指衡量财政支出绩效目标完成程度的尺度，绩效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标准。具体包括：</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（1）计划标准：是指以预先制定的目标、计划、预算、标准等数据作为</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的标准。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（2）行业标准：是指参照国家权威部门公布的行业指标数据制定的</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（3）历史标准：是指参照同类指标的历史数据制定的</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（4）其他标准：其他有参考价值的标准。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4.绩效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依据</w:t>
      </w:r>
    </w:p>
    <w:p>
      <w:pPr>
        <w:spacing w:line="560" w:lineRule="exact"/>
        <w:ind w:firstLine="600" w:firstLineChars="200"/>
        <w:rPr>
          <w:rFonts w:ascii="仿宋" w:hAnsi="仿宋" w:eastAsia="仿宋" w:cs="仿宋"/>
          <w:sz w:val="30"/>
          <w:szCs w:val="30"/>
          <w:highlight w:val="none"/>
        </w:rPr>
      </w:pPr>
      <w:bookmarkStart w:id="22" w:name="_Toc5980"/>
      <w:bookmarkStart w:id="23" w:name="_Toc16243"/>
      <w:bookmarkStart w:id="24" w:name="_Toc12911"/>
      <w:r>
        <w:rPr>
          <w:rFonts w:hint="eastAsia" w:ascii="仿宋" w:hAnsi="仿宋" w:eastAsia="仿宋" w:cs="仿宋"/>
          <w:sz w:val="30"/>
          <w:szCs w:val="30"/>
          <w:highlight w:val="none"/>
        </w:rPr>
        <w:t>（1）《中华人民共和国预算法》(主席令第21号)；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 xml:space="preserve">（2）《中共中央国务院关于全面实施预算绩效管理的意见》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（3）《关于印发〈财政支出绩效评价管理暂行办法〉的通知》（财预〔2011〕285号）；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（4）《河北省财政支出绩效评价管理办法》（冀财预〔2011〕68号）；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 xml:space="preserve">（5）《关于印发&lt;预算绩效评价共性指标体系框架&gt;的通知》（财预〔2013〕53号）；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（6）《河北省项目支出绩效指标框架体系》（冀财预[2016]94号）；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（7）《项目支出绩效评价管理办法》(财预[2020]10号)；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（8）《曲阳县财政局关于印发2023年县级财政重点绩效评价计划的通知》（曲财[2023]15号）；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（9）相关预算指标文及其他文件依据。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5.绩效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指标体系</w:t>
      </w:r>
      <w:bookmarkEnd w:id="22"/>
      <w:bookmarkEnd w:id="23"/>
      <w:bookmarkEnd w:id="24"/>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（1）指标设定</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绩效指标指用于测量公共支出效果的指数或指数体系。绩效指标可以是某一独立指标，也可以是由多项指标组成的体系。科学的绩效指标是实现公共管理科学化的前提。</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指标体系是根据财政支出项目进行</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的目的、财政支出项目的绩效内容，以及财政支出指标体系的设计原则，采用适当的方法，确定财政支出项目的绩效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指标，然后，运用适当的方法，确定各个指标相对于项目总体绩效的重要性，并用数量化的方法表示出来，即赋予每个指标一定的权重；确定各个</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指标的参照标准，即明确指标的标准值。</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（2）指标权重设定</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该项目管理类指标占全部权重的</w:t>
      </w:r>
      <w:r>
        <w:rPr>
          <w:rFonts w:hint="eastAsia" w:ascii="仿宋" w:hAnsi="仿宋" w:eastAsia="仿宋" w:cs="仿宋"/>
          <w:sz w:val="30"/>
          <w:szCs w:val="30"/>
          <w:highlight w:val="none"/>
          <w:lang w:val="en-US" w:eastAsia="zh-CN"/>
        </w:rPr>
        <w:t>50</w:t>
      </w:r>
      <w:r>
        <w:rPr>
          <w:rFonts w:hint="eastAsia" w:ascii="仿宋" w:hAnsi="仿宋" w:eastAsia="仿宋" w:cs="仿宋"/>
          <w:sz w:val="30"/>
          <w:szCs w:val="30"/>
          <w:highlight w:val="none"/>
        </w:rPr>
        <w:t>%，包括项目立项、项目过程管理；项目绩效类指标占全部权重的</w:t>
      </w:r>
      <w:r>
        <w:rPr>
          <w:rFonts w:hint="eastAsia" w:ascii="仿宋" w:hAnsi="仿宋" w:eastAsia="仿宋" w:cs="仿宋"/>
          <w:sz w:val="30"/>
          <w:szCs w:val="30"/>
          <w:highlight w:val="none"/>
          <w:lang w:val="en-US" w:eastAsia="zh-CN"/>
        </w:rPr>
        <w:t>50</w:t>
      </w:r>
      <w:r>
        <w:rPr>
          <w:rFonts w:hint="eastAsia" w:ascii="仿宋" w:hAnsi="仿宋" w:eastAsia="仿宋" w:cs="仿宋"/>
          <w:sz w:val="30"/>
          <w:szCs w:val="30"/>
          <w:highlight w:val="none"/>
        </w:rPr>
        <w:t>%，其中项目产出类指标占</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0%，项目效果类指标占20%。</w:t>
      </w:r>
    </w:p>
    <w:p>
      <w:pPr>
        <w:spacing w:line="560" w:lineRule="exact"/>
        <w:ind w:firstLine="600" w:firstLineChars="200"/>
        <w:rPr>
          <w:rFonts w:ascii="仿宋" w:hAnsi="仿宋" w:eastAsia="仿宋" w:cs="仿宋"/>
          <w:sz w:val="30"/>
          <w:szCs w:val="30"/>
          <w:highlight w:val="none"/>
        </w:rPr>
      </w:pPr>
      <w:bookmarkStart w:id="25" w:name="_Toc6963"/>
      <w:bookmarkStart w:id="26" w:name="_Toc27907"/>
      <w:bookmarkStart w:id="27" w:name="_Toc22342"/>
      <w:r>
        <w:rPr>
          <w:rFonts w:hint="eastAsia" w:ascii="仿宋" w:hAnsi="仿宋" w:eastAsia="仿宋" w:cs="仿宋"/>
          <w:sz w:val="30"/>
          <w:szCs w:val="30"/>
          <w:highlight w:val="none"/>
        </w:rPr>
        <w:t>6.评分方法和评分等级</w:t>
      </w:r>
      <w:bookmarkEnd w:id="25"/>
      <w:bookmarkEnd w:id="26"/>
      <w:bookmarkEnd w:id="27"/>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（1）评分方法</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①按照《财政支出绩效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管理暂行办法》的相关要求和国务院、省、市、县出台的的相关规定作为</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标准，采取定量和定性</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相结合的方法，对项目资料进行审核、分析。</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②</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中做到重点突出</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在</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工作中，</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人员紧紧抓住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工作的重点环节，严格按照相关文件和</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方案的要求，实事求是、客观公正地进行绩效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工作，取得了详实、客观的</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资料。</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③客观分析</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首先，根据</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综合得分得出综合绩效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等级，依据各项</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结果，综合各方面因素，填写项目绩效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综合意见。</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等级</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指标体系设定满分为100分，绩效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分值≥90为优；80≤分值&lt;90为良；60≤分值&lt;80为合格；60分以下为不合格。按照绩效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指标对</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结果进行逐级、逐项分析，形成综合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得分及等级。</w:t>
      </w:r>
    </w:p>
    <w:p>
      <w:pPr>
        <w:spacing w:line="560" w:lineRule="exact"/>
        <w:ind w:firstLine="600" w:firstLineChars="200"/>
        <w:rPr>
          <w:rFonts w:ascii="仿宋" w:hAnsi="仿宋" w:eastAsia="仿宋" w:cs="仿宋"/>
          <w:sz w:val="30"/>
          <w:szCs w:val="30"/>
          <w:highlight w:val="none"/>
        </w:rPr>
      </w:pPr>
      <w:bookmarkStart w:id="28" w:name="_Toc5968"/>
      <w:bookmarkStart w:id="29" w:name="_Toc31732"/>
      <w:bookmarkStart w:id="30" w:name="_Toc12583"/>
      <w:bookmarkStart w:id="31" w:name="_Toc501368350"/>
      <w:r>
        <w:rPr>
          <w:rFonts w:hint="eastAsia" w:ascii="仿宋" w:hAnsi="仿宋" w:eastAsia="仿宋" w:cs="仿宋"/>
          <w:sz w:val="30"/>
          <w:szCs w:val="30"/>
          <w:highlight w:val="none"/>
        </w:rPr>
        <w:t>（四）</w:t>
      </w:r>
      <w:bookmarkEnd w:id="28"/>
      <w:bookmarkEnd w:id="29"/>
      <w:bookmarkEnd w:id="30"/>
      <w:bookmarkEnd w:id="31"/>
      <w:r>
        <w:rPr>
          <w:rFonts w:hint="eastAsia" w:ascii="仿宋" w:hAnsi="仿宋" w:eastAsia="仿宋" w:cs="仿宋"/>
          <w:sz w:val="30"/>
          <w:szCs w:val="30"/>
          <w:highlight w:val="none"/>
        </w:rPr>
        <w:t>证据收集方法</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小组对项目资料进行收集、整理，并进行分析，然后将获取的资料与从现场勘查中获得的资料汇集起来，对同一指标在不同文件资料中的证据进行对比、印证、核实和补充，经过验证和确定后得到了准确、可靠和有效的证据。最后，</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小组对证据进行了判断分析，形成</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依据。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实施过程</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前期准备阶段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主要是组建</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工作小组，了解</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项目基本情况，设计有关基础数据表格，下发项目执行单位需要准备的资料清单等。</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信息采集复核阶段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项目执行单位进行初步准备后，</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小组先后深入项目执行单位以实地察看、面访、查阅相关资料、核查财务凭证及账簿等多种形式采集信息，复核基础数据和</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证据，并多次就相关资料的补充、完善进行沟通。</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数据分析和报告形成阶段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完成系列基础性、前置性工作后，</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小组开始集中精力进行数据分析及指标计算比较，按规范格式撰写绩效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default" w:ascii="仿宋" w:hAnsi="仿宋" w:eastAsia="仿宋" w:cs="仿宋"/>
          <w:b w:val="0"/>
          <w:kern w:val="2"/>
          <w:sz w:val="30"/>
          <w:szCs w:val="30"/>
          <w:highlight w:val="none"/>
        </w:rPr>
      </w:pPr>
      <w:bookmarkStart w:id="32" w:name="_Toc32473"/>
      <w:bookmarkStart w:id="33" w:name="_Toc501368358"/>
      <w:bookmarkStart w:id="34" w:name="_Toc8822"/>
      <w:bookmarkStart w:id="35" w:name="_Toc28493"/>
      <w:bookmarkStart w:id="36" w:name="_Toc32445"/>
      <w:bookmarkStart w:id="37" w:name="_Toc12908"/>
      <w:bookmarkStart w:id="38" w:name="_Toc12058"/>
      <w:bookmarkStart w:id="39" w:name="_Toc83630330"/>
      <w:bookmarkStart w:id="40" w:name="_Toc501368359"/>
      <w:bookmarkStart w:id="41" w:name="_Toc83631040"/>
      <w:r>
        <w:rPr>
          <w:rFonts w:ascii="仿宋" w:hAnsi="仿宋" w:eastAsia="仿宋" w:cs="仿宋"/>
          <w:bCs/>
          <w:kern w:val="2"/>
          <w:sz w:val="30"/>
          <w:szCs w:val="30"/>
          <w:highlight w:val="none"/>
        </w:rPr>
        <w:t>五、项目执行及绩效实现情况</w:t>
      </w:r>
      <w:bookmarkEnd w:id="32"/>
      <w:bookmarkEnd w:id="33"/>
      <w:bookmarkEnd w:id="34"/>
      <w:bookmarkEnd w:id="35"/>
    </w:p>
    <w:p>
      <w:pPr>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通过对该单位提供的项目资料和现场实地检查，该项目综合得分</w:t>
      </w:r>
      <w:r>
        <w:rPr>
          <w:rFonts w:hint="eastAsia" w:ascii="仿宋" w:hAnsi="仿宋" w:eastAsia="仿宋" w:cs="仿宋"/>
          <w:sz w:val="30"/>
          <w:szCs w:val="30"/>
          <w:highlight w:val="none"/>
          <w:lang w:val="en-US" w:eastAsia="zh-CN"/>
        </w:rPr>
        <w:t>97</w:t>
      </w:r>
      <w:r>
        <w:rPr>
          <w:rFonts w:hint="eastAsia" w:ascii="仿宋" w:hAnsi="仿宋" w:eastAsia="仿宋" w:cs="仿宋"/>
          <w:sz w:val="30"/>
          <w:szCs w:val="30"/>
          <w:highlight w:val="none"/>
        </w:rPr>
        <w:t>分，</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等级为“优”。各项得分情况明细如下：</w:t>
      </w:r>
    </w:p>
    <w:p>
      <w:pPr>
        <w:pStyle w:val="4"/>
        <w:spacing w:before="0" w:after="0" w:line="560" w:lineRule="exact"/>
        <w:ind w:firstLine="600" w:firstLineChars="200"/>
        <w:rPr>
          <w:rFonts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（一）项目立项（20分）</w:t>
      </w:r>
      <w:bookmarkEnd w:id="36"/>
      <w:bookmarkEnd w:id="37"/>
      <w:bookmarkEnd w:id="38"/>
      <w:bookmarkEnd w:id="39"/>
      <w:bookmarkEnd w:id="40"/>
      <w:bookmarkEnd w:id="41"/>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9"/>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决策机制（12分）</w:t>
            </w:r>
          </w:p>
        </w:tc>
        <w:tc>
          <w:tcPr>
            <w:tcW w:w="123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项目设立规范性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绩效目标（8分）</w:t>
            </w:r>
          </w:p>
        </w:tc>
        <w:tc>
          <w:tcPr>
            <w:tcW w:w="123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p>
        </w:tc>
      </w:tr>
    </w:tbl>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1.决策机制（12分）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numPr>
          <w:ilvl w:val="0"/>
          <w:numId w:val="1"/>
        </w:numPr>
        <w:spacing w:line="560" w:lineRule="exact"/>
        <w:ind w:firstLine="300" w:firstLineChars="100"/>
        <w:jc w:val="left"/>
        <w:rPr>
          <w:rFonts w:ascii="仿宋" w:hAnsi="仿宋" w:eastAsia="仿宋" w:cs="仿宋"/>
          <w:sz w:val="30"/>
          <w:szCs w:val="30"/>
          <w:highlight w:val="none"/>
        </w:rPr>
      </w:pPr>
      <w:r>
        <w:rPr>
          <w:rFonts w:hint="eastAsia" w:ascii="仿宋" w:hAnsi="仿宋" w:eastAsia="仿宋" w:cs="仿宋"/>
          <w:sz w:val="30"/>
          <w:szCs w:val="30"/>
          <w:highlight w:val="none"/>
        </w:rPr>
        <w:t>项目设立规范性（6分）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该项目立项是否符合国家法规、政策规定，符合社会经济发展战略规划。</w:t>
      </w:r>
    </w:p>
    <w:p>
      <w:pPr>
        <w:spacing w:line="560" w:lineRule="exact"/>
        <w:ind w:firstLine="600" w:firstLineChars="200"/>
        <w:jc w:val="left"/>
        <w:rPr>
          <w:rFonts w:ascii="仿宋" w:hAnsi="仿宋" w:eastAsia="仿宋" w:cs="仿宋"/>
          <w:sz w:val="30"/>
          <w:szCs w:val="30"/>
          <w:highlight w:val="none"/>
        </w:rPr>
      </w:pPr>
      <w:bookmarkStart w:id="42" w:name="_Toc83630427"/>
      <w:bookmarkStart w:id="43" w:name="_Toc21059"/>
      <w:bookmarkStart w:id="44" w:name="_Toc25534"/>
      <w:bookmarkStart w:id="45" w:name="_Toc83630331"/>
      <w:bookmarkStart w:id="46" w:name="_Toc83631041"/>
      <w:r>
        <w:rPr>
          <w:rFonts w:hint="eastAsia" w:ascii="仿宋" w:hAnsi="仿宋" w:eastAsia="仿宋" w:cs="仿宋"/>
          <w:sz w:val="30"/>
          <w:szCs w:val="30"/>
          <w:highlight w:val="none"/>
        </w:rPr>
        <w:t>经检查，该项目设立的主要依据有：</w:t>
      </w:r>
      <w:bookmarkEnd w:id="42"/>
      <w:bookmarkEnd w:id="43"/>
      <w:bookmarkEnd w:id="44"/>
      <w:bookmarkEnd w:id="45"/>
      <w:bookmarkEnd w:id="46"/>
      <w:r>
        <w:rPr>
          <w:rFonts w:hint="eastAsia" w:ascii="仿宋" w:hAnsi="仿宋" w:eastAsia="仿宋" w:cs="仿宋"/>
          <w:sz w:val="30"/>
          <w:szCs w:val="30"/>
          <w:highlight w:val="none"/>
        </w:rPr>
        <w:t>河北省文物局《关于确认2021年度全国重点文物保护单位安防消防防雷工程项目实施计划的函》（冀文物函[2020]132号）；河北省财政厅《关于提前下达2022年国家文物保护专项资金预算的通知》（冀财教[2021]135号）；河北省文物局《关于定窑遗址安防升级改造工程设计方案的批复》（冀文物发[2021]245号）等。</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我们认为该项目设定依据充分，按照规定的程序申请设立，已经过必要的可行性研究、专家论证等。</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该指标实际得分6分。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（2）项目决策必要性（6分）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spacing w:line="560" w:lineRule="exact"/>
        <w:ind w:firstLine="600" w:firstLineChars="200"/>
        <w:jc w:val="left"/>
        <w:rPr>
          <w:rFonts w:hint="eastAsia" w:ascii="仿宋" w:hAnsi="仿宋" w:eastAsia="仿宋" w:cs="仿宋"/>
          <w:sz w:val="30"/>
          <w:szCs w:val="30"/>
          <w:highlight w:val="none"/>
        </w:rPr>
      </w:pPr>
      <w:bookmarkStart w:id="47" w:name="_Toc32149"/>
      <w:bookmarkStart w:id="48" w:name="_Toc83630428"/>
      <w:bookmarkStart w:id="49" w:name="_Toc83631042"/>
      <w:bookmarkStart w:id="50" w:name="_Toc24207"/>
      <w:bookmarkStart w:id="51" w:name="_Toc83630332"/>
      <w:r>
        <w:rPr>
          <w:rFonts w:ascii="仿宋" w:hAnsi="仿宋" w:eastAsia="仿宋" w:cs="仿宋"/>
          <w:sz w:val="30"/>
          <w:szCs w:val="30"/>
          <w:highlight w:val="none"/>
        </w:rPr>
        <w:t>现有定窑遗址安防工程修建于2007年，至今已有13个年头。 安防设施 24 小时开启，设备损耗非常大。经常出现无法启动、不稳定、死机、摄像头故障等状况；同时，探头、管道、线路等日常消耗性设施也亟需维修、更换，已经达不到文物保护的需求。现有定窑遗址安防工程均为模拟系统，存在清晰度低、技术落后、安全性差等问题，急需进行升级改造。现有安防系统只涉及到文物保管所及保护棚，且只对部分高风险部位进行了防护，而涧磁岭区包括 13 个大型“瓷片堆”均无任何安防设施，存在很大的安全隐患。</w:t>
      </w:r>
    </w:p>
    <w:p>
      <w:pPr>
        <w:spacing w:line="560" w:lineRule="exact"/>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鉴于现有定窑遗址技防设施，不足以防护整个遗址区域，很容易使不法分子有机可乘，一旦发生对文物的破坏、盗窃等情况，管理人员很难及时察觉，很难及时掌握企图破坏、盗窃人员的情况，会受到不可挽回的损失。因此升级现有安防系统显得尤为重要，使“人防”“物防”“技防”相结合，更好的动态监控人员流动与文物实时状况，建设一套技术先进、运行稳定、维护方便、操作简单、易于扩展、便捷高效的安全防范系统对文物本体及周边环境进行实时监控防护非常必要，也将是行之有效的。</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，该项目建设与社会需求相符，决策过程较为规范。</w:t>
      </w:r>
    </w:p>
    <w:bookmarkEnd w:id="47"/>
    <w:bookmarkEnd w:id="48"/>
    <w:bookmarkEnd w:id="49"/>
    <w:bookmarkEnd w:id="50"/>
    <w:bookmarkEnd w:id="51"/>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该指标实际得分6分。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2.绩效目标（8分）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项目绩效目标依据是否充分，项目绩效指标是否清晰、细化、量化、可衡量。</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（1）合理性（4分）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项目绩效目标依据是否充分，与客观实际相符的情况。</w:t>
      </w:r>
    </w:p>
    <w:p>
      <w:pPr>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经检查，该项目的绩效目标</w:t>
      </w:r>
      <w:r>
        <w:rPr>
          <w:rFonts w:hint="eastAsia" w:ascii="仿宋" w:hAnsi="仿宋" w:eastAsia="仿宋" w:cs="仿宋"/>
          <w:sz w:val="30"/>
          <w:szCs w:val="30"/>
          <w:highlight w:val="none"/>
          <w:lang w:val="en-US" w:eastAsia="zh-CN"/>
        </w:rPr>
        <w:t>为通过安防系统升级改造，使文物得到更好的保护，不断提升文物保护水平，文物保护工作得以继续发展。</w:t>
      </w:r>
    </w:p>
    <w:p>
      <w:pPr>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该项目绩效目标是依据项目设计方案文件内容设定的，绩效目标设置依据较为充分</w:t>
      </w:r>
      <w:r>
        <w:rPr>
          <w:rFonts w:hint="eastAsia" w:ascii="仿宋" w:hAnsi="仿宋" w:eastAsia="仿宋" w:cs="仿宋"/>
          <w:sz w:val="30"/>
          <w:szCs w:val="30"/>
          <w:highlight w:val="none"/>
          <w:lang w:eastAsia="zh-CN"/>
        </w:rPr>
        <w:t>。</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（2）明确性（4分）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项目绩效指标是否清晰、细化、量化、可衡量，及其与当年工作任务的匹配情况。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项目</w:t>
      </w:r>
      <w:r>
        <w:rPr>
          <w:rFonts w:hint="eastAsia" w:ascii="仿宋" w:hAnsi="仿宋" w:eastAsia="仿宋" w:cs="仿宋"/>
          <w:sz w:val="30"/>
          <w:szCs w:val="30"/>
          <w:highlight w:val="none"/>
        </w:rPr>
        <w:t>绩效目标表</w:t>
      </w:r>
      <w:r>
        <w:rPr>
          <w:rFonts w:hint="eastAsia" w:ascii="仿宋" w:hAnsi="仿宋" w:eastAsia="仿宋" w:cs="仿宋"/>
          <w:sz w:val="30"/>
          <w:szCs w:val="30"/>
          <w:highlight w:val="none"/>
          <w:lang w:val="en-US" w:eastAsia="zh-CN"/>
        </w:rPr>
        <w:t>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细化匹配了年度工作任务。</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该指标实际得分4分。</w:t>
      </w:r>
    </w:p>
    <w:p>
      <w:pPr>
        <w:pStyle w:val="4"/>
        <w:spacing w:before="0" w:after="0" w:line="560" w:lineRule="exact"/>
        <w:ind w:firstLine="600" w:firstLineChars="200"/>
        <w:rPr>
          <w:rFonts w:ascii="仿宋" w:hAnsi="仿宋" w:eastAsia="仿宋" w:cs="仿宋"/>
          <w:b w:val="0"/>
          <w:bCs w:val="0"/>
          <w:sz w:val="30"/>
          <w:szCs w:val="30"/>
          <w:highlight w:val="none"/>
        </w:rPr>
      </w:pPr>
      <w:bookmarkStart w:id="52" w:name="_Toc83630334"/>
      <w:bookmarkStart w:id="53" w:name="_Toc8907"/>
      <w:bookmarkStart w:id="54" w:name="_Toc21302"/>
      <w:bookmarkStart w:id="55" w:name="_Toc83631044"/>
      <w:bookmarkStart w:id="56" w:name="_Toc27328"/>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30</w:t>
      </w:r>
      <w:r>
        <w:rPr>
          <w:rFonts w:hint="eastAsia" w:ascii="仿宋" w:hAnsi="仿宋" w:eastAsia="仿宋" w:cs="仿宋"/>
          <w:b w:val="0"/>
          <w:bCs w:val="0"/>
          <w:sz w:val="30"/>
          <w:szCs w:val="30"/>
          <w:highlight w:val="none"/>
        </w:rPr>
        <w:t>分）</w:t>
      </w:r>
      <w:bookmarkEnd w:id="52"/>
      <w:bookmarkEnd w:id="53"/>
      <w:bookmarkEnd w:id="54"/>
      <w:bookmarkEnd w:id="55"/>
      <w:bookmarkEnd w:id="56"/>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16"/>
        <w:rPr>
          <w:highlight w:val="none"/>
        </w:rPr>
      </w:pPr>
    </w:p>
    <w:tbl>
      <w:tblPr>
        <w:tblStyle w:val="1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7" w:type="pct"/>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4" w:type="pct"/>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0分）</w:t>
            </w:r>
          </w:p>
        </w:tc>
        <w:tc>
          <w:tcPr>
            <w:tcW w:w="959" w:type="pct"/>
            <w:vMerge w:val="restar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（20分）</w:t>
            </w: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专项资金使用率</w:t>
            </w:r>
          </w:p>
        </w:tc>
        <w:tc>
          <w:tcPr>
            <w:tcW w:w="782"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spacing w:line="560" w:lineRule="exact"/>
              <w:jc w:val="center"/>
              <w:rPr>
                <w:rFonts w:ascii="仿宋" w:hAnsi="仿宋" w:eastAsia="仿宋" w:cs="仿宋"/>
                <w:color w:val="000000"/>
                <w:sz w:val="24"/>
                <w:szCs w:val="24"/>
                <w:highlight w:val="none"/>
              </w:rPr>
            </w:pPr>
          </w:p>
        </w:tc>
        <w:tc>
          <w:tcPr>
            <w:tcW w:w="959" w:type="pct"/>
            <w:vMerge w:val="continue"/>
            <w:vAlign w:val="center"/>
          </w:tcPr>
          <w:p>
            <w:pPr>
              <w:spacing w:line="560" w:lineRule="exact"/>
              <w:jc w:val="center"/>
              <w:rPr>
                <w:rFonts w:ascii="仿宋" w:hAnsi="仿宋" w:eastAsia="仿宋" w:cs="仿宋"/>
                <w:color w:val="000000"/>
                <w:sz w:val="24"/>
                <w:szCs w:val="24"/>
                <w:highlight w:val="none"/>
              </w:rPr>
            </w:pP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782"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7</w:t>
            </w:r>
          </w:p>
        </w:tc>
        <w:tc>
          <w:tcPr>
            <w:tcW w:w="714" w:type="pct"/>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spacing w:line="560" w:lineRule="exact"/>
              <w:jc w:val="center"/>
              <w:rPr>
                <w:rFonts w:ascii="仿宋" w:hAnsi="仿宋" w:eastAsia="仿宋" w:cs="仿宋"/>
                <w:color w:val="000000"/>
                <w:sz w:val="24"/>
                <w:szCs w:val="24"/>
                <w:highlight w:val="none"/>
              </w:rPr>
            </w:pPr>
          </w:p>
        </w:tc>
        <w:tc>
          <w:tcPr>
            <w:tcW w:w="959" w:type="pct"/>
            <w:vMerge w:val="continue"/>
            <w:vAlign w:val="center"/>
          </w:tcPr>
          <w:p>
            <w:pPr>
              <w:spacing w:line="560" w:lineRule="exact"/>
              <w:jc w:val="center"/>
              <w:rPr>
                <w:rFonts w:ascii="仿宋" w:hAnsi="仿宋" w:eastAsia="仿宋" w:cs="仿宋"/>
                <w:color w:val="000000"/>
                <w:sz w:val="24"/>
                <w:szCs w:val="24"/>
                <w:highlight w:val="none"/>
              </w:rPr>
            </w:pP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782"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7</w:t>
            </w:r>
          </w:p>
        </w:tc>
        <w:tc>
          <w:tcPr>
            <w:tcW w:w="714"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spacing w:line="560" w:lineRule="exact"/>
              <w:jc w:val="center"/>
              <w:rPr>
                <w:rFonts w:ascii="仿宋" w:hAnsi="仿宋" w:eastAsia="仿宋" w:cs="仿宋"/>
                <w:color w:val="000000"/>
                <w:sz w:val="24"/>
                <w:szCs w:val="24"/>
                <w:highlight w:val="none"/>
              </w:rPr>
            </w:pPr>
          </w:p>
        </w:tc>
        <w:tc>
          <w:tcPr>
            <w:tcW w:w="959" w:type="pct"/>
            <w:vMerge w:val="restar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10</w:t>
            </w:r>
            <w:r>
              <w:rPr>
                <w:rFonts w:hint="eastAsia" w:ascii="仿宋" w:hAnsi="仿宋" w:eastAsia="仿宋" w:cs="仿宋"/>
                <w:color w:val="000000"/>
                <w:kern w:val="0"/>
                <w:sz w:val="24"/>
                <w:szCs w:val="24"/>
                <w:highlight w:val="none"/>
              </w:rPr>
              <w:t>分）</w:t>
            </w: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管理制度是否健全</w:t>
            </w:r>
          </w:p>
        </w:tc>
        <w:tc>
          <w:tcPr>
            <w:tcW w:w="782"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3</w:t>
            </w:r>
          </w:p>
        </w:tc>
        <w:tc>
          <w:tcPr>
            <w:tcW w:w="714"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1" w:hRule="exact"/>
          <w:jc w:val="center"/>
        </w:trPr>
        <w:tc>
          <w:tcPr>
            <w:tcW w:w="1076" w:type="pct"/>
            <w:vMerge w:val="continue"/>
            <w:vAlign w:val="center"/>
          </w:tcPr>
          <w:p>
            <w:pPr>
              <w:spacing w:line="560" w:lineRule="exact"/>
              <w:jc w:val="center"/>
              <w:rPr>
                <w:rFonts w:ascii="仿宋" w:hAnsi="仿宋" w:eastAsia="仿宋" w:cs="仿宋"/>
                <w:color w:val="000000"/>
                <w:sz w:val="24"/>
                <w:szCs w:val="24"/>
                <w:highlight w:val="none"/>
              </w:rPr>
            </w:pPr>
          </w:p>
        </w:tc>
        <w:tc>
          <w:tcPr>
            <w:tcW w:w="959" w:type="pct"/>
            <w:vMerge w:val="continue"/>
            <w:vAlign w:val="center"/>
          </w:tcPr>
          <w:p>
            <w:pPr>
              <w:spacing w:line="560" w:lineRule="exact"/>
              <w:jc w:val="center"/>
              <w:rPr>
                <w:rFonts w:ascii="仿宋" w:hAnsi="仿宋" w:eastAsia="仿宋" w:cs="仿宋"/>
                <w:color w:val="000000"/>
                <w:sz w:val="24"/>
                <w:szCs w:val="24"/>
                <w:highlight w:val="none"/>
              </w:rPr>
            </w:pP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制度执行有效性</w:t>
            </w:r>
          </w:p>
        </w:tc>
        <w:tc>
          <w:tcPr>
            <w:tcW w:w="782"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2</w:t>
            </w:r>
          </w:p>
        </w:tc>
        <w:tc>
          <w:tcPr>
            <w:tcW w:w="714"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spacing w:line="560" w:lineRule="exact"/>
              <w:jc w:val="center"/>
              <w:rPr>
                <w:rFonts w:ascii="仿宋" w:hAnsi="仿宋" w:eastAsia="仿宋" w:cs="仿宋"/>
                <w:color w:val="000000"/>
                <w:sz w:val="24"/>
                <w:szCs w:val="24"/>
                <w:highlight w:val="none"/>
              </w:rPr>
            </w:pPr>
          </w:p>
        </w:tc>
        <w:tc>
          <w:tcPr>
            <w:tcW w:w="959" w:type="pct"/>
            <w:vMerge w:val="continue"/>
            <w:vAlign w:val="center"/>
          </w:tcPr>
          <w:p>
            <w:pPr>
              <w:spacing w:line="560" w:lineRule="exact"/>
              <w:jc w:val="center"/>
              <w:rPr>
                <w:rFonts w:ascii="仿宋" w:hAnsi="仿宋" w:eastAsia="仿宋" w:cs="仿宋"/>
                <w:color w:val="000000"/>
                <w:sz w:val="24"/>
                <w:szCs w:val="24"/>
                <w:highlight w:val="none"/>
              </w:rPr>
            </w:pPr>
          </w:p>
        </w:tc>
        <w:tc>
          <w:tcPr>
            <w:tcW w:w="1467" w:type="pct"/>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782"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5</w:t>
            </w:r>
          </w:p>
        </w:tc>
        <w:tc>
          <w:tcPr>
            <w:tcW w:w="714" w:type="pct"/>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30</w:t>
            </w:r>
          </w:p>
        </w:tc>
        <w:tc>
          <w:tcPr>
            <w:tcW w:w="714" w:type="pct"/>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27</w:t>
            </w:r>
          </w:p>
        </w:tc>
      </w:tr>
    </w:tbl>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1.项目财务管理（20分）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（1）专项资金使用率（</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实际使用专项资金数额占专项资金实际拨付额比例。</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经检查，该项目2022年度</w:t>
      </w:r>
      <w:r>
        <w:rPr>
          <w:rFonts w:hint="eastAsia" w:ascii="仿宋" w:hAnsi="仿宋" w:eastAsia="仿宋" w:cs="仿宋"/>
          <w:sz w:val="30"/>
          <w:szCs w:val="30"/>
          <w:highlight w:val="none"/>
          <w:lang w:val="en-US" w:eastAsia="zh-CN"/>
        </w:rPr>
        <w:t>下达国家文物保护专项资金</w:t>
      </w:r>
      <w:r>
        <w:rPr>
          <w:rFonts w:hint="eastAsia" w:ascii="仿宋" w:hAnsi="仿宋" w:eastAsia="仿宋" w:cs="仿宋"/>
          <w:sz w:val="30"/>
          <w:szCs w:val="30"/>
          <w:highlight w:val="none"/>
        </w:rPr>
        <w:t>353.00万元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额度达到至</w:t>
      </w:r>
      <w:r>
        <w:rPr>
          <w:rFonts w:hint="eastAsia" w:ascii="仿宋" w:hAnsi="仿宋" w:eastAsia="仿宋" w:cs="仿宋"/>
          <w:sz w:val="32"/>
          <w:szCs w:val="32"/>
          <w:highlight w:val="none"/>
        </w:rPr>
        <w:t>曲阳县定窑遗址文物保管所</w:t>
      </w:r>
      <w:r>
        <w:rPr>
          <w:rFonts w:hint="eastAsia" w:ascii="仿宋" w:hAnsi="仿宋" w:eastAsia="仿宋" w:cs="仿宋"/>
          <w:sz w:val="32"/>
          <w:szCs w:val="32"/>
          <w:highlight w:val="none"/>
          <w:lang w:eastAsia="zh-CN"/>
        </w:rPr>
        <w:t>，</w:t>
      </w:r>
      <w:r>
        <w:rPr>
          <w:rFonts w:hint="eastAsia" w:ascii="仿宋" w:hAnsi="仿宋" w:eastAsia="仿宋" w:cs="仿宋"/>
          <w:sz w:val="30"/>
          <w:szCs w:val="30"/>
          <w:highlight w:val="none"/>
          <w:lang w:val="en-US" w:eastAsia="zh-CN"/>
        </w:rPr>
        <w:t>2022年度该项目累计支出</w:t>
      </w:r>
      <w:r>
        <w:rPr>
          <w:rFonts w:hint="eastAsia" w:ascii="仿宋" w:hAnsi="仿宋" w:eastAsia="仿宋" w:cs="仿宋"/>
          <w:sz w:val="30"/>
          <w:szCs w:val="30"/>
          <w:highlight w:val="none"/>
        </w:rPr>
        <w:t>金额336.62万元，</w:t>
      </w:r>
      <w:r>
        <w:rPr>
          <w:rFonts w:hint="eastAsia" w:ascii="仿宋" w:hAnsi="仿宋" w:eastAsia="仿宋" w:cs="仿宋"/>
          <w:sz w:val="30"/>
          <w:szCs w:val="30"/>
          <w:highlight w:val="none"/>
          <w:lang w:val="en-US" w:eastAsia="zh-CN"/>
        </w:rPr>
        <w:t>项目资金均通过国库集中支付，无结余资金</w:t>
      </w:r>
      <w:r>
        <w:rPr>
          <w:rFonts w:hint="eastAsia" w:ascii="仿宋" w:hAnsi="仿宋" w:eastAsia="仿宋" w:cs="仿宋"/>
          <w:sz w:val="30"/>
          <w:szCs w:val="30"/>
          <w:highlight w:val="none"/>
        </w:rPr>
        <w:t>。</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该单位</w:t>
      </w:r>
      <w:r>
        <w:rPr>
          <w:rFonts w:hint="eastAsia" w:ascii="仿宋" w:hAnsi="仿宋" w:eastAsia="仿宋" w:cs="仿宋"/>
          <w:sz w:val="30"/>
          <w:szCs w:val="30"/>
          <w:highlight w:val="none"/>
        </w:rPr>
        <w:t>会计核算严格遵守有关法规及制度规定，会计核算规范；各项资金的支付申报、审批流程</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完善。</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（3）资金支出合规性（7分）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专项资金是否严格按照资金管理办法的用途支出，是否有截留、挤占、挪用等违规行为。</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经检查，该项目专项资金专款专用，资金通过国库集中支付，不存在截留、挤占、挪用等违规行为。</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该指标实际得分7分。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0分）</w:t>
      </w:r>
    </w:p>
    <w:p>
      <w:pPr>
        <w:spacing w:line="560" w:lineRule="exact"/>
        <w:ind w:firstLine="600" w:firstLineChars="200"/>
        <w:jc w:val="left"/>
        <w:rPr>
          <w:rFonts w:ascii="仿宋" w:hAnsi="仿宋" w:eastAsia="仿宋" w:cs="仿宋"/>
          <w:sz w:val="30"/>
          <w:szCs w:val="30"/>
          <w:highlight w:val="none"/>
        </w:rPr>
      </w:pPr>
      <w:bookmarkStart w:id="57" w:name="_Toc30993"/>
      <w:bookmarkStart w:id="58" w:name="_Toc21112"/>
      <w:bookmarkStart w:id="59" w:name="_Toc6507"/>
      <w:bookmarkStart w:id="60" w:name="_Toc83630335"/>
      <w:bookmarkStart w:id="61" w:name="_Toc83631045"/>
      <w:r>
        <w:rPr>
          <w:rFonts w:hint="eastAsia" w:ascii="仿宋" w:hAnsi="仿宋" w:eastAsia="仿宋" w:cs="仿宋"/>
          <w:sz w:val="30"/>
          <w:szCs w:val="30"/>
          <w:highlight w:val="none"/>
        </w:rPr>
        <w:t>（1）管理制度是否健全（</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项目制定的管理制度和措施是否全面、明确、合理，能否保障项目顺利实施。</w:t>
      </w:r>
    </w:p>
    <w:p>
      <w:pPr>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经检查，曲阳县定窑遗址文物保管所制定了项目管理制度，</w:t>
      </w:r>
      <w:r>
        <w:rPr>
          <w:rFonts w:hint="eastAsia" w:ascii="仿宋" w:hAnsi="仿宋" w:eastAsia="仿宋" w:cs="仿宋"/>
          <w:sz w:val="30"/>
          <w:szCs w:val="30"/>
          <w:highlight w:val="none"/>
          <w:lang w:val="en-US" w:eastAsia="zh-CN"/>
        </w:rPr>
        <w:t>但内容过于简单，未制定项目实施及项目管理细则，未制定项目过程控制措施。</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（2）制度执行有效性（</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项目实施是否符合相关法律法规、业务管理制度的规定。</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，项目实施符合相关法律法规的规定</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施工单位通过竞争性磋商方式确定</w:t>
      </w:r>
      <w:r>
        <w:rPr>
          <w:rFonts w:hint="eastAsia" w:ascii="仿宋" w:hAnsi="仿宋" w:eastAsia="仿宋" w:cs="仿宋"/>
          <w:sz w:val="30"/>
          <w:szCs w:val="30"/>
          <w:highlight w:val="none"/>
        </w:rPr>
        <w:t>。</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（3）项目档案资料完整性（</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项目档案资料是否齐全，保存是否完整。</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，该项目档案资料较为齐全，保存较为完整。</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Style w:val="4"/>
        <w:spacing w:before="0" w:after="0" w:line="560" w:lineRule="exact"/>
        <w:ind w:firstLine="600" w:firstLineChars="200"/>
        <w:rPr>
          <w:rFonts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3</w:t>
      </w:r>
      <w:r>
        <w:rPr>
          <w:rFonts w:hint="eastAsia" w:ascii="仿宋" w:hAnsi="仿宋" w:eastAsia="仿宋" w:cs="仿宋"/>
          <w:b w:val="0"/>
          <w:bCs w:val="0"/>
          <w:sz w:val="30"/>
          <w:szCs w:val="30"/>
          <w:highlight w:val="none"/>
        </w:rPr>
        <w:t>0分）</w:t>
      </w:r>
      <w:bookmarkEnd w:id="57"/>
      <w:bookmarkEnd w:id="58"/>
      <w:bookmarkEnd w:id="59"/>
      <w:bookmarkEnd w:id="60"/>
      <w:bookmarkEnd w:id="61"/>
    </w:p>
    <w:p>
      <w:pPr>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该一级指标包含1个二级指标3个三级指标，主要从实际完成率、完成及时率、质量达标率是否达到预期目标。</w:t>
      </w:r>
    </w:p>
    <w:tbl>
      <w:tblPr>
        <w:tblStyle w:val="19"/>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0分）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tc>
        <w:tc>
          <w:tcPr>
            <w:tcW w:w="2066"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w:t>
            </w:r>
          </w:p>
        </w:tc>
        <w:tc>
          <w:tcPr>
            <w:tcW w:w="1085"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1085"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10</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质量达标率</w:t>
            </w:r>
          </w:p>
        </w:tc>
        <w:tc>
          <w:tcPr>
            <w:tcW w:w="757" w:type="pct"/>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1085" w:type="dxa"/>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10</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30</w:t>
            </w:r>
          </w:p>
        </w:tc>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30</w:t>
            </w:r>
          </w:p>
        </w:tc>
      </w:tr>
    </w:tbl>
    <w:p>
      <w:pPr>
        <w:spacing w:line="560" w:lineRule="exact"/>
        <w:ind w:firstLine="600" w:firstLineChars="200"/>
        <w:jc w:val="left"/>
        <w:rPr>
          <w:rFonts w:ascii="仿宋" w:hAnsi="仿宋" w:eastAsia="仿宋" w:cs="仿宋"/>
          <w:sz w:val="30"/>
          <w:szCs w:val="30"/>
          <w:highlight w:val="none"/>
        </w:rPr>
      </w:pPr>
      <w:bookmarkStart w:id="62" w:name="_Toc1929"/>
      <w:bookmarkStart w:id="63" w:name="_Toc83631046"/>
      <w:bookmarkStart w:id="64" w:name="_Toc833"/>
      <w:bookmarkStart w:id="65" w:name="_Toc83630336"/>
      <w:bookmarkStart w:id="66" w:name="_Toc16415"/>
      <w:r>
        <w:rPr>
          <w:rFonts w:hint="eastAsia" w:ascii="仿宋" w:hAnsi="仿宋" w:eastAsia="仿宋" w:cs="仿宋"/>
          <w:sz w:val="30"/>
          <w:szCs w:val="30"/>
          <w:highlight w:val="none"/>
        </w:rPr>
        <w:t>1.实际完成率（10分）</w:t>
      </w:r>
    </w:p>
    <w:p>
      <w:pPr>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项目实施的实际产出数与计划产出数的比率，用以反映和考核项目产出数量目标的实现程度。</w:t>
      </w:r>
    </w:p>
    <w:p>
      <w:pPr>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结算审核报告显示项目已完成全部工程量，实际完整率较好</w:t>
      </w:r>
      <w:r>
        <w:rPr>
          <w:rFonts w:hint="eastAsia" w:ascii="仿宋" w:hAnsi="仿宋" w:eastAsia="仿宋" w:cs="仿宋"/>
          <w:sz w:val="30"/>
          <w:szCs w:val="30"/>
          <w:highlight w:val="none"/>
        </w:rPr>
        <w:t>。</w:t>
      </w:r>
    </w:p>
    <w:p>
      <w:pPr>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该项指标实际得分10分。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2.完成及时率（</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项目实际提前完成时间与计划完成时间的比率，用以反映和考核项目产出时效目标的实现程度。</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，项目施工合同显示的计划工期为2022年5月23日至2022年8月15日，该项目实际于2022年5月23日开工建设，</w:t>
      </w:r>
      <w:r>
        <w:rPr>
          <w:rFonts w:hint="eastAsia" w:ascii="仿宋" w:hAnsi="仿宋" w:eastAsia="仿宋" w:cs="仿宋"/>
          <w:sz w:val="30"/>
          <w:szCs w:val="30"/>
          <w:highlight w:val="none"/>
          <w:lang w:val="en-US" w:eastAsia="zh-CN"/>
        </w:rPr>
        <w:t>于</w:t>
      </w:r>
      <w:r>
        <w:rPr>
          <w:rFonts w:hint="eastAsia" w:ascii="仿宋" w:hAnsi="仿宋" w:eastAsia="仿宋" w:cs="仿宋"/>
          <w:sz w:val="30"/>
          <w:szCs w:val="30"/>
          <w:highlight w:val="none"/>
        </w:rPr>
        <w:t>2022年6月20日</w:t>
      </w:r>
      <w:r>
        <w:rPr>
          <w:rFonts w:hint="eastAsia" w:ascii="仿宋" w:hAnsi="仿宋" w:eastAsia="仿宋" w:cs="仿宋"/>
          <w:sz w:val="30"/>
          <w:szCs w:val="30"/>
          <w:highlight w:val="none"/>
          <w:lang w:val="en-US" w:eastAsia="zh-CN"/>
        </w:rPr>
        <w:t>完成</w:t>
      </w:r>
      <w:r>
        <w:rPr>
          <w:rFonts w:hint="eastAsia" w:ascii="仿宋" w:hAnsi="仿宋" w:eastAsia="仿宋" w:cs="仿宋"/>
          <w:sz w:val="30"/>
          <w:szCs w:val="30"/>
          <w:highlight w:val="none"/>
        </w:rPr>
        <w:t>工程竣工验收</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完工及时率较好。</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3.质量达标率（</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项目完成的质量达标产出数与实际产出数的比率，用以反映和考核项目产出质量目标的实现程度。</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该项目于</w:t>
      </w:r>
      <w:r>
        <w:rPr>
          <w:rFonts w:hint="eastAsia" w:ascii="仿宋" w:hAnsi="仿宋" w:eastAsia="仿宋" w:cs="仿宋"/>
          <w:sz w:val="30"/>
          <w:szCs w:val="30"/>
          <w:highlight w:val="none"/>
        </w:rPr>
        <w:t>2022年6月20日</w:t>
      </w:r>
      <w:r>
        <w:rPr>
          <w:rFonts w:hint="eastAsia" w:ascii="仿宋" w:hAnsi="仿宋" w:eastAsia="仿宋" w:cs="仿宋"/>
          <w:sz w:val="30"/>
          <w:szCs w:val="30"/>
          <w:highlight w:val="none"/>
          <w:lang w:val="en-US" w:eastAsia="zh-CN"/>
        </w:rPr>
        <w:t>完成</w:t>
      </w:r>
      <w:r>
        <w:rPr>
          <w:rFonts w:hint="eastAsia" w:ascii="仿宋" w:hAnsi="仿宋" w:eastAsia="仿宋" w:cs="仿宋"/>
          <w:sz w:val="30"/>
          <w:szCs w:val="30"/>
          <w:highlight w:val="none"/>
        </w:rPr>
        <w:t>工程竣工验收。</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pStyle w:val="4"/>
        <w:spacing w:before="0" w:after="0" w:line="560" w:lineRule="exact"/>
        <w:ind w:firstLine="600" w:firstLineChars="200"/>
        <w:rPr>
          <w:rFonts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（四）项目效果（20分）</w:t>
      </w:r>
      <w:bookmarkEnd w:id="62"/>
      <w:bookmarkEnd w:id="63"/>
      <w:bookmarkEnd w:id="64"/>
      <w:bookmarkEnd w:id="65"/>
      <w:bookmarkEnd w:id="66"/>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该一级指标包含项目效益1个二级指标和2个三级指标，分别是社会效益、可持续影响力。主要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项目实施后所产生的各种效益，包括项目实施对社会发展所带来的直接或间接影响情况、项目实施的可持续影响程度等。</w:t>
      </w:r>
    </w:p>
    <w:tbl>
      <w:tblPr>
        <w:tblStyle w:val="19"/>
        <w:tblW w:w="0" w:type="auto"/>
        <w:jc w:val="center"/>
        <w:tblLayout w:type="fixed"/>
        <w:tblCellMar>
          <w:top w:w="15" w:type="dxa"/>
          <w:left w:w="15" w:type="dxa"/>
          <w:bottom w:w="15" w:type="dxa"/>
          <w:right w:w="15" w:type="dxa"/>
        </w:tblCellMar>
      </w:tblPr>
      <w:tblGrid>
        <w:gridCol w:w="1591"/>
        <w:gridCol w:w="1489"/>
        <w:gridCol w:w="2588"/>
        <w:gridCol w:w="1434"/>
        <w:gridCol w:w="1490"/>
      </w:tblGrid>
      <w:tr>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48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5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14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14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项目效果</w:t>
            </w:r>
          </w:p>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（20分）</w:t>
            </w:r>
          </w:p>
        </w:tc>
        <w:tc>
          <w:tcPr>
            <w:tcW w:w="1489"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项目效益</w:t>
            </w:r>
          </w:p>
        </w:tc>
        <w:tc>
          <w:tcPr>
            <w:tcW w:w="25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社会效益</w:t>
            </w:r>
          </w:p>
        </w:tc>
        <w:tc>
          <w:tcPr>
            <w:tcW w:w="14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10</w:t>
            </w:r>
          </w:p>
        </w:tc>
        <w:tc>
          <w:tcPr>
            <w:tcW w:w="14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可持续影响力</w:t>
            </w:r>
          </w:p>
        </w:tc>
        <w:tc>
          <w:tcPr>
            <w:tcW w:w="14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w:t>
            </w:r>
          </w:p>
        </w:tc>
        <w:tc>
          <w:tcPr>
            <w:tcW w:w="14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14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p>
        </w:tc>
        <w:tc>
          <w:tcPr>
            <w:tcW w:w="14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20</w:t>
            </w:r>
          </w:p>
        </w:tc>
      </w:tr>
    </w:tbl>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1.社会效益（10分）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该项目实施对社会发展所带来的直接或间接影响情况。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通过项目建设，</w:t>
      </w:r>
      <w:r>
        <w:rPr>
          <w:rFonts w:ascii="仿宋" w:hAnsi="仿宋" w:eastAsia="仿宋" w:cs="仿宋"/>
          <w:sz w:val="30"/>
          <w:szCs w:val="30"/>
          <w:highlight w:val="none"/>
        </w:rPr>
        <w:t>切实、充分加强对定窑遗址的安防管理，使定窑遗址安防升级改造工程在全国重点文物保护单位的防护能力达到国家相应标准及风险等级的要求，科学、合理的</w:t>
      </w:r>
      <w:r>
        <w:rPr>
          <w:rFonts w:hint="eastAsia" w:ascii="仿宋" w:hAnsi="仿宋" w:eastAsia="仿宋" w:cs="仿宋"/>
          <w:sz w:val="30"/>
          <w:szCs w:val="30"/>
          <w:highlight w:val="none"/>
          <w:lang w:val="en-US" w:eastAsia="zh-CN"/>
        </w:rPr>
        <w:t>保护了</w:t>
      </w:r>
      <w:r>
        <w:rPr>
          <w:rFonts w:ascii="仿宋" w:hAnsi="仿宋" w:eastAsia="仿宋" w:cs="仿宋"/>
          <w:sz w:val="30"/>
          <w:szCs w:val="30"/>
          <w:highlight w:val="none"/>
        </w:rPr>
        <w:t>定窑遗址文物的安全。</w:t>
      </w:r>
      <w:r>
        <w:rPr>
          <w:rFonts w:hint="eastAsia" w:ascii="仿宋" w:hAnsi="仿宋" w:eastAsia="仿宋" w:cs="仿宋"/>
          <w:sz w:val="30"/>
          <w:szCs w:val="30"/>
          <w:highlight w:val="none"/>
        </w:rPr>
        <w:t>项目的建设产生</w:t>
      </w:r>
      <w:r>
        <w:rPr>
          <w:rFonts w:hint="eastAsia" w:ascii="仿宋" w:hAnsi="仿宋" w:eastAsia="仿宋" w:cs="仿宋"/>
          <w:sz w:val="30"/>
          <w:szCs w:val="30"/>
          <w:highlight w:val="none"/>
          <w:lang w:val="en-US" w:eastAsia="zh-CN"/>
        </w:rPr>
        <w:t>了</w:t>
      </w:r>
      <w:r>
        <w:rPr>
          <w:rFonts w:hint="eastAsia" w:ascii="仿宋" w:hAnsi="仿宋" w:eastAsia="仿宋" w:cs="仿宋"/>
          <w:sz w:val="30"/>
          <w:szCs w:val="30"/>
          <w:highlight w:val="none"/>
        </w:rPr>
        <w:t>较好的社会效益。</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该项指标实际得分10分。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2.可持续影响力（10分）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评价</w:t>
      </w:r>
      <w:r>
        <w:rPr>
          <w:rFonts w:ascii="仿宋" w:hAnsi="仿宋" w:eastAsia="仿宋" w:cs="仿宋"/>
          <w:sz w:val="30"/>
          <w:szCs w:val="30"/>
          <w:highlight w:val="none"/>
        </w:rPr>
        <w:t>项目后续运行及成效发挥的可持续影响情况。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，通过项目建设，</w:t>
      </w:r>
      <w:r>
        <w:rPr>
          <w:rFonts w:ascii="仿宋" w:hAnsi="仿宋" w:eastAsia="仿宋" w:cs="仿宋"/>
          <w:sz w:val="30"/>
          <w:szCs w:val="30"/>
          <w:highlight w:val="none"/>
        </w:rPr>
        <w:t>对现有的安防设施进行升级改造，实时监控定窑遗址的状况，更好的保护定窑遗址的安全。在文物遭到破坏或被盗时能第一时间发现，以便安保人员及时做出判断采取相应措施，有效的把犯罪活动制止于初始阶段，保障文物的安全，也为安保人员人身安全提供更加稳定的安全保障。</w:t>
      </w:r>
      <w:r>
        <w:rPr>
          <w:rFonts w:hint="eastAsia" w:ascii="仿宋" w:hAnsi="仿宋" w:eastAsia="仿宋" w:cs="仿宋"/>
          <w:sz w:val="30"/>
          <w:szCs w:val="30"/>
          <w:highlight w:val="none"/>
        </w:rPr>
        <w:t>项目建设</w:t>
      </w:r>
      <w:r>
        <w:rPr>
          <w:rFonts w:ascii="仿宋" w:hAnsi="仿宋" w:eastAsia="仿宋" w:cs="仿宋"/>
          <w:sz w:val="30"/>
          <w:szCs w:val="30"/>
          <w:highlight w:val="none"/>
        </w:rPr>
        <w:t>有利于遗址的保护，有利于定瓷资源的开发利用</w:t>
      </w:r>
      <w:r>
        <w:rPr>
          <w:rFonts w:hint="eastAsia" w:ascii="仿宋" w:hAnsi="仿宋" w:eastAsia="仿宋" w:cs="仿宋"/>
          <w:sz w:val="30"/>
          <w:szCs w:val="30"/>
          <w:highlight w:val="none"/>
        </w:rPr>
        <w:t>，可持续影响效果较好。</w:t>
      </w:r>
    </w:p>
    <w:p>
      <w:pPr>
        <w:spacing w:line="560" w:lineRule="exact"/>
        <w:ind w:firstLine="600" w:firstLineChars="200"/>
        <w:jc w:val="left"/>
        <w:rPr>
          <w:highlight w:val="none"/>
        </w:rPr>
      </w:pPr>
      <w:r>
        <w:rPr>
          <w:rFonts w:hint="eastAsia" w:ascii="仿宋" w:hAnsi="仿宋" w:eastAsia="仿宋" w:cs="仿宋"/>
          <w:sz w:val="30"/>
          <w:szCs w:val="30"/>
          <w:highlight w:val="none"/>
        </w:rPr>
        <w:t>该项指标实际得分10分。</w:t>
      </w:r>
    </w:p>
    <w:p>
      <w:pPr>
        <w:pStyle w:val="3"/>
        <w:spacing w:beforeAutospacing="0" w:afterAutospacing="0" w:line="560" w:lineRule="exact"/>
        <w:ind w:firstLine="643" w:firstLineChars="200"/>
        <w:rPr>
          <w:rFonts w:hint="default" w:ascii="仿宋" w:hAnsi="仿宋" w:eastAsia="仿宋" w:cs="仿宋"/>
          <w:sz w:val="32"/>
          <w:szCs w:val="32"/>
          <w:highlight w:val="none"/>
        </w:rPr>
      </w:pPr>
      <w:bookmarkStart w:id="67" w:name="_Toc501368363"/>
      <w:bookmarkStart w:id="68" w:name="_Toc6602"/>
      <w:bookmarkStart w:id="69" w:name="_Toc2211"/>
      <w:bookmarkStart w:id="70" w:name="_Toc83630434"/>
      <w:bookmarkStart w:id="71" w:name="_Toc24878"/>
      <w:bookmarkStart w:id="72" w:name="_Toc83631048"/>
      <w:bookmarkStart w:id="73" w:name="_Toc10985"/>
      <w:bookmarkStart w:id="74" w:name="_Toc12802"/>
      <w:r>
        <w:rPr>
          <w:rFonts w:ascii="仿宋" w:hAnsi="仿宋" w:eastAsia="仿宋" w:cs="仿宋"/>
          <w:sz w:val="32"/>
          <w:szCs w:val="32"/>
          <w:highlight w:val="none"/>
        </w:rPr>
        <w:t>六、项目综合</w:t>
      </w:r>
      <w:bookmarkEnd w:id="67"/>
      <w:bookmarkEnd w:id="68"/>
      <w:r>
        <w:rPr>
          <w:rFonts w:hint="eastAsia" w:ascii="仿宋" w:hAnsi="仿宋" w:eastAsia="仿宋" w:cs="仿宋"/>
          <w:sz w:val="32"/>
          <w:szCs w:val="32"/>
          <w:highlight w:val="none"/>
          <w:lang w:eastAsia="zh-CN"/>
        </w:rPr>
        <w:t>评价</w:t>
      </w:r>
      <w:r>
        <w:rPr>
          <w:rFonts w:ascii="仿宋" w:hAnsi="仿宋" w:eastAsia="仿宋" w:cs="仿宋"/>
          <w:sz w:val="32"/>
          <w:szCs w:val="32"/>
          <w:highlight w:val="none"/>
        </w:rPr>
        <w:t>结论和</w:t>
      </w:r>
      <w:r>
        <w:rPr>
          <w:rFonts w:hint="eastAsia" w:ascii="仿宋" w:hAnsi="仿宋" w:eastAsia="仿宋" w:cs="仿宋"/>
          <w:sz w:val="32"/>
          <w:szCs w:val="32"/>
          <w:highlight w:val="none"/>
          <w:lang w:eastAsia="zh-CN"/>
        </w:rPr>
        <w:t>评价</w:t>
      </w:r>
      <w:r>
        <w:rPr>
          <w:rFonts w:ascii="仿宋" w:hAnsi="仿宋" w:eastAsia="仿宋" w:cs="仿宋"/>
          <w:sz w:val="32"/>
          <w:szCs w:val="32"/>
          <w:highlight w:val="none"/>
        </w:rPr>
        <w:t>等级</w:t>
      </w:r>
      <w:bookmarkEnd w:id="69"/>
      <w:bookmarkEnd w:id="70"/>
      <w:bookmarkEnd w:id="71"/>
      <w:bookmarkEnd w:id="72"/>
      <w:bookmarkEnd w:id="73"/>
      <w:bookmarkEnd w:id="74"/>
    </w:p>
    <w:p>
      <w:pPr>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1.确定</w:t>
      </w:r>
      <w:bookmarkEnd w:id="75"/>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分值：</w:t>
      </w:r>
      <w:r>
        <w:rPr>
          <w:rFonts w:hint="eastAsia" w:ascii="仿宋" w:hAnsi="仿宋" w:eastAsia="仿宋" w:cs="仿宋"/>
          <w:sz w:val="30"/>
          <w:szCs w:val="30"/>
          <w:highlight w:val="none"/>
          <w:lang w:eastAsia="zh-CN"/>
        </w:rPr>
        <w:t>9</w:t>
      </w:r>
      <w:r>
        <w:rPr>
          <w:rFonts w:hint="eastAsia" w:ascii="仿宋" w:hAnsi="仿宋" w:eastAsia="仿宋" w:cs="仿宋"/>
          <w:sz w:val="30"/>
          <w:szCs w:val="30"/>
          <w:highlight w:val="none"/>
          <w:lang w:val="en-US" w:eastAsia="zh-CN"/>
        </w:rPr>
        <w:t>7分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等级：优</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结论</w:t>
      </w:r>
    </w:p>
    <w:p>
      <w:pPr>
        <w:spacing w:line="560" w:lineRule="exact"/>
        <w:ind w:firstLine="600" w:firstLineChars="200"/>
        <w:jc w:val="left"/>
        <w:rPr>
          <w:rFonts w:ascii="仿宋" w:hAnsi="仿宋" w:eastAsia="仿宋" w:cs="仿宋"/>
          <w:sz w:val="30"/>
          <w:szCs w:val="30"/>
          <w:highlight w:val="none"/>
        </w:rPr>
      </w:pPr>
      <w:bookmarkStart w:id="76" w:name="_Toc83631049"/>
      <w:bookmarkStart w:id="77" w:name="_Toc83630435"/>
      <w:bookmarkStart w:id="78" w:name="_Toc25027"/>
      <w:bookmarkStart w:id="79" w:name="_Toc28969"/>
      <w:r>
        <w:rPr>
          <w:rFonts w:hint="eastAsia" w:ascii="仿宋" w:hAnsi="仿宋" w:eastAsia="仿宋" w:cs="仿宋"/>
          <w:sz w:val="30"/>
          <w:szCs w:val="30"/>
          <w:highlight w:val="none"/>
        </w:rPr>
        <w:t>该项目严格专项资金使用管理，</w:t>
      </w:r>
      <w:bookmarkEnd w:id="76"/>
      <w:bookmarkEnd w:id="77"/>
      <w:bookmarkEnd w:id="78"/>
      <w:bookmarkEnd w:id="79"/>
      <w:r>
        <w:rPr>
          <w:rFonts w:hint="eastAsia" w:ascii="仿宋" w:hAnsi="仿宋" w:eastAsia="仿宋" w:cs="仿宋"/>
          <w:sz w:val="30"/>
          <w:szCs w:val="30"/>
          <w:highlight w:val="none"/>
        </w:rPr>
        <w:t>专项资金于2022年度完成支付，专款专用；截至</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日，项目已完工，</w:t>
      </w:r>
      <w:r>
        <w:rPr>
          <w:rFonts w:hint="eastAsia" w:ascii="仿宋" w:hAnsi="仿宋" w:eastAsia="仿宋" w:cs="仿宋"/>
          <w:sz w:val="30"/>
          <w:szCs w:val="30"/>
          <w:highlight w:val="none"/>
          <w:lang w:val="en-US" w:eastAsia="zh-CN"/>
        </w:rPr>
        <w:t>已完成项目验收和工程结算工作</w:t>
      </w:r>
      <w:r>
        <w:rPr>
          <w:rFonts w:hint="eastAsia" w:ascii="仿宋" w:hAnsi="仿宋" w:eastAsia="仿宋" w:cs="仿宋"/>
          <w:sz w:val="30"/>
          <w:szCs w:val="30"/>
          <w:highlight w:val="none"/>
        </w:rPr>
        <w:t>。通过项目实施，</w:t>
      </w:r>
      <w:r>
        <w:rPr>
          <w:rFonts w:ascii="仿宋" w:hAnsi="仿宋" w:eastAsia="仿宋" w:cs="仿宋"/>
          <w:sz w:val="30"/>
          <w:szCs w:val="30"/>
          <w:highlight w:val="none"/>
        </w:rPr>
        <w:t>对现有的安防设施进行升级改造，实时监控定窑遗址的状况，更好的保护定窑遗址的安全。在文物遭到破坏或被盗时能第一时间发现，以便安保人员及时做出判断采取相应措施，有效的把犯罪活动制止于初始阶段，保障文物的安全，也为安保人员人身安全提供更加稳定的安全保障。</w:t>
      </w:r>
      <w:r>
        <w:rPr>
          <w:rFonts w:hint="eastAsia" w:ascii="仿宋" w:hAnsi="仿宋" w:eastAsia="仿宋" w:cs="仿宋"/>
          <w:sz w:val="30"/>
          <w:szCs w:val="30"/>
          <w:highlight w:val="none"/>
        </w:rPr>
        <w:t>项目建设</w:t>
      </w:r>
      <w:r>
        <w:rPr>
          <w:rFonts w:ascii="仿宋" w:hAnsi="仿宋" w:eastAsia="仿宋" w:cs="仿宋"/>
          <w:sz w:val="30"/>
          <w:szCs w:val="30"/>
          <w:highlight w:val="none"/>
        </w:rPr>
        <w:t>有利于遗址的保护，有利于定瓷资源的开发利用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社会效益和可持续影响效果较好。</w:t>
      </w:r>
    </w:p>
    <w:p>
      <w:pPr>
        <w:pStyle w:val="3"/>
        <w:spacing w:beforeAutospacing="0" w:afterAutospacing="0" w:line="560" w:lineRule="exact"/>
        <w:ind w:firstLine="643" w:firstLineChars="200"/>
        <w:rPr>
          <w:rFonts w:hint="default" w:ascii="仿宋" w:hAnsi="仿宋" w:eastAsia="仿宋" w:cs="仿宋"/>
          <w:bCs/>
          <w:sz w:val="32"/>
          <w:szCs w:val="32"/>
          <w:highlight w:val="none"/>
        </w:rPr>
      </w:pPr>
      <w:bookmarkStart w:id="80" w:name="_Toc27278"/>
      <w:bookmarkStart w:id="81" w:name="_Toc22941"/>
      <w:bookmarkStart w:id="82" w:name="_Toc83631050"/>
      <w:bookmarkStart w:id="83" w:name="_Toc30518"/>
      <w:bookmarkStart w:id="84" w:name="_Toc7207"/>
      <w:bookmarkStart w:id="85" w:name="_Toc83630436"/>
      <w:r>
        <w:rPr>
          <w:rFonts w:ascii="仿宋" w:hAnsi="仿宋" w:eastAsia="仿宋" w:cs="仿宋"/>
          <w:bCs/>
          <w:sz w:val="32"/>
          <w:szCs w:val="32"/>
          <w:highlight w:val="none"/>
        </w:rPr>
        <w:t>七、存在的问题</w:t>
      </w:r>
      <w:bookmarkEnd w:id="80"/>
      <w:bookmarkEnd w:id="81"/>
      <w:bookmarkEnd w:id="82"/>
      <w:bookmarkEnd w:id="83"/>
      <w:bookmarkEnd w:id="84"/>
      <w:bookmarkEnd w:id="85"/>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86" w:name="_Toc23781"/>
      <w:bookmarkStart w:id="87" w:name="_Toc6530"/>
      <w:bookmarkStart w:id="88" w:name="_Toc83630437"/>
      <w:bookmarkStart w:id="89" w:name="_Toc83631051"/>
      <w:r>
        <w:rPr>
          <w:rFonts w:hint="eastAsia" w:ascii="仿宋" w:hAnsi="仿宋" w:eastAsia="仿宋" w:cs="仿宋"/>
          <w:sz w:val="30"/>
          <w:szCs w:val="30"/>
          <w:highlight w:val="none"/>
          <w:lang w:val="en-US" w:eastAsia="zh-CN"/>
        </w:rPr>
        <w:t>（一）项目管理制度不完善</w:t>
      </w:r>
    </w:p>
    <w:p>
      <w:pPr>
        <w:pStyle w:val="2"/>
        <w:numPr>
          <w:ilvl w:val="0"/>
          <w:numId w:val="0"/>
        </w:numPr>
        <w:ind w:firstLine="600" w:firstLineChars="20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曲阳县定窑遗址文物保管所未制定具体的项目实施及项目管理细则，未制定项目过程控制措施，不利于项目的后期管理。</w:t>
      </w:r>
    </w:p>
    <w:p>
      <w:pPr>
        <w:pStyle w:val="3"/>
        <w:spacing w:beforeAutospacing="0" w:afterAutospacing="0" w:line="560" w:lineRule="exact"/>
        <w:ind w:firstLine="643" w:firstLineChars="200"/>
        <w:rPr>
          <w:rFonts w:hint="default" w:ascii="仿宋" w:hAnsi="仿宋" w:eastAsia="仿宋" w:cs="仿宋"/>
          <w:bCs/>
          <w:sz w:val="32"/>
          <w:szCs w:val="32"/>
          <w:highlight w:val="none"/>
        </w:rPr>
      </w:pPr>
      <w:r>
        <w:rPr>
          <w:rFonts w:ascii="仿宋" w:hAnsi="仿宋" w:eastAsia="仿宋" w:cs="仿宋"/>
          <w:bCs/>
          <w:sz w:val="32"/>
          <w:szCs w:val="32"/>
          <w:highlight w:val="none"/>
        </w:rPr>
        <w:t>八、建议及改进措施</w:t>
      </w:r>
    </w:p>
    <w:p>
      <w:pPr>
        <w:pStyle w:val="37"/>
        <w:keepNext w:val="0"/>
        <w:keepLines w:val="0"/>
        <w:widowControl w:val="0"/>
        <w:shd w:val="clear" w:color="auto" w:fill="auto"/>
        <w:bidi w:val="0"/>
        <w:spacing w:before="0" w:after="120" w:line="550" w:lineRule="exact"/>
        <w:ind w:left="0" w:leftChars="0" w:right="0" w:firstLine="600" w:firstLineChars="200"/>
        <w:jc w:val="left"/>
        <w:rPr>
          <w:rFonts w:ascii="仿宋" w:hAnsi="仿宋" w:eastAsia="仿宋" w:cs="仿宋"/>
          <w:sz w:val="30"/>
          <w:szCs w:val="30"/>
          <w:highlight w:val="none"/>
        </w:rPr>
      </w:pPr>
      <w:r>
        <w:rPr>
          <w:rFonts w:hint="eastAsia" w:ascii="仿宋" w:hAnsi="仿宋" w:eastAsia="仿宋" w:cs="仿宋"/>
          <w:kern w:val="2"/>
          <w:sz w:val="30"/>
          <w:szCs w:val="30"/>
          <w:highlight w:val="none"/>
          <w:lang w:val="en-US" w:eastAsia="zh-CN" w:bidi="ar-SA"/>
        </w:rPr>
        <w:t>（一）针对项</w:t>
      </w:r>
      <w:r>
        <w:rPr>
          <w:rFonts w:hint="eastAsia" w:ascii="仿宋" w:hAnsi="仿宋" w:eastAsia="仿宋" w:cs="仿宋"/>
          <w:sz w:val="30"/>
          <w:szCs w:val="30"/>
          <w:highlight w:val="none"/>
          <w:lang w:val="en-US" w:eastAsia="zh-CN"/>
        </w:rPr>
        <w:t>目管理制度不完善</w:t>
      </w:r>
      <w:r>
        <w:rPr>
          <w:rFonts w:hint="eastAsia" w:ascii="仿宋" w:hAnsi="仿宋" w:eastAsia="仿宋" w:cs="仿宋"/>
          <w:kern w:val="2"/>
          <w:sz w:val="30"/>
          <w:szCs w:val="30"/>
          <w:highlight w:val="none"/>
          <w:lang w:val="en-US" w:eastAsia="zh-CN" w:bidi="ar-SA"/>
        </w:rPr>
        <w:t>方面问题，建议项目实施单位</w:t>
      </w:r>
      <w:r>
        <w:rPr>
          <w:rFonts w:hint="eastAsia" w:ascii="仿宋" w:hAnsi="仿宋" w:eastAsia="仿宋" w:cs="仿宋"/>
          <w:kern w:val="2"/>
          <w:sz w:val="30"/>
          <w:szCs w:val="30"/>
          <w:highlight w:val="none"/>
          <w:u w:val="none"/>
          <w:shd w:val="clear"/>
          <w:lang w:val="en-US" w:eastAsia="zh-CN" w:bidi="ar-SA"/>
        </w:rPr>
        <w:t>建立健全项目管理制度，确保项目的有序进行，提高项目执行有效性。</w:t>
      </w:r>
    </w:p>
    <w:p>
      <w:pPr>
        <w:spacing w:line="560" w:lineRule="exact"/>
        <w:ind w:firstLine="600" w:firstLineChars="200"/>
        <w:jc w:val="left"/>
        <w:rPr>
          <w:rFonts w:hint="eastAsia" w:ascii="仿宋" w:hAnsi="仿宋" w:eastAsia="仿宋" w:cs="仿宋"/>
          <w:sz w:val="30"/>
          <w:szCs w:val="30"/>
          <w:highlight w:val="none"/>
        </w:rPr>
      </w:pPr>
    </w:p>
    <w:p>
      <w:pPr>
        <w:spacing w:line="560" w:lineRule="exact"/>
        <w:ind w:firstLine="600" w:firstLineChars="200"/>
        <w:jc w:val="left"/>
        <w:rPr>
          <w:rFonts w:hint="eastAsia" w:ascii="仿宋" w:hAnsi="仿宋" w:eastAsia="仿宋" w:cs="仿宋"/>
          <w:sz w:val="30"/>
          <w:szCs w:val="30"/>
          <w:highlight w:val="none"/>
        </w:rPr>
      </w:pPr>
    </w:p>
    <w:p>
      <w:pPr>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附件：绩效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指标体系及评分情况表</w:t>
      </w:r>
    </w:p>
    <w:bookmarkEnd w:id="86"/>
    <w:bookmarkEnd w:id="87"/>
    <w:bookmarkEnd w:id="88"/>
    <w:bookmarkEnd w:id="89"/>
    <w:p>
      <w:pPr>
        <w:spacing w:line="560" w:lineRule="exact"/>
        <w:ind w:firstLine="6300" w:firstLineChars="2100"/>
        <w:rPr>
          <w:rFonts w:hint="eastAsia" w:ascii="仿宋" w:hAnsi="仿宋" w:eastAsia="仿宋" w:cs="仿宋"/>
          <w:sz w:val="30"/>
          <w:szCs w:val="30"/>
          <w:highlight w:val="none"/>
          <w:lang w:eastAsia="zh-CN"/>
        </w:rPr>
      </w:pPr>
    </w:p>
    <w:p>
      <w:pPr>
        <w:spacing w:line="560" w:lineRule="exact"/>
        <w:ind w:firstLine="6300" w:firstLineChars="2100"/>
        <w:rPr>
          <w:rFonts w:hint="eastAsia" w:ascii="仿宋" w:hAnsi="仿宋" w:eastAsia="仿宋" w:cs="仿宋"/>
          <w:sz w:val="30"/>
          <w:szCs w:val="30"/>
          <w:highlight w:val="none"/>
          <w:lang w:eastAsia="zh-CN"/>
        </w:rPr>
      </w:pPr>
    </w:p>
    <w:p>
      <w:pPr>
        <w:spacing w:line="560" w:lineRule="exact"/>
        <w:ind w:firstLine="6600" w:firstLineChars="2200"/>
        <w:rPr>
          <w:rFonts w:hint="eastAsia" w:ascii="仿宋" w:hAnsi="仿宋" w:eastAsia="仿宋" w:cs="仿宋"/>
          <w:sz w:val="30"/>
          <w:szCs w:val="30"/>
          <w:highlight w:val="none"/>
          <w:lang w:eastAsia="zh-CN"/>
        </w:rPr>
      </w:pPr>
      <w:bookmarkStart w:id="90" w:name="_GoBack"/>
      <w:bookmarkEnd w:id="90"/>
      <w:r>
        <w:rPr>
          <w:rFonts w:hint="eastAsia" w:ascii="仿宋" w:hAnsi="仿宋" w:eastAsia="仿宋" w:cs="仿宋"/>
          <w:sz w:val="30"/>
          <w:szCs w:val="30"/>
          <w:highlight w:val="none"/>
          <w:lang w:eastAsia="zh-CN"/>
        </w:rPr>
        <w:t>曲阳县财政局</w:t>
      </w:r>
    </w:p>
    <w:p>
      <w:pPr>
        <w:spacing w:line="560" w:lineRule="exact"/>
        <w:ind w:firstLine="6300" w:firstLineChars="2100"/>
        <w:rPr>
          <w:rFonts w:ascii="仿宋" w:hAnsi="仿宋" w:eastAsia="仿宋" w:cs="仿宋"/>
          <w:sz w:val="30"/>
          <w:szCs w:val="30"/>
          <w:highlight w:val="none"/>
        </w:rPr>
      </w:pPr>
      <w:r>
        <w:rPr>
          <w:rFonts w:hint="eastAsia" w:ascii="仿宋" w:hAnsi="仿宋" w:eastAsia="仿宋" w:cs="仿宋"/>
          <w:sz w:val="30"/>
          <w:szCs w:val="30"/>
          <w:highlight w:val="none"/>
        </w:rPr>
        <w:t>2023年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25</w:t>
      </w:r>
      <w:r>
        <w:rPr>
          <w:rFonts w:hint="eastAsia" w:ascii="仿宋" w:hAnsi="仿宋" w:eastAsia="仿宋" w:cs="仿宋"/>
          <w:sz w:val="30"/>
          <w:szCs w:val="30"/>
          <w:highlight w:val="none"/>
        </w:rPr>
        <w:t>日</w:t>
      </w:r>
    </w:p>
    <w:sectPr>
      <w:pgSz w:w="11906" w:h="16838"/>
      <w:pgMar w:top="964" w:right="1134" w:bottom="964" w:left="1134" w:header="1134" w:footer="680"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jAzMDZhNmU2ZmU0NGZlYWJjNGYxYjFiZjE0YWM4NTg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47FA8"/>
    <w:rsid w:val="00051E6A"/>
    <w:rsid w:val="000526B1"/>
    <w:rsid w:val="000545E4"/>
    <w:rsid w:val="00061A9C"/>
    <w:rsid w:val="00061CE6"/>
    <w:rsid w:val="0006219F"/>
    <w:rsid w:val="000708F8"/>
    <w:rsid w:val="0007441F"/>
    <w:rsid w:val="0007465C"/>
    <w:rsid w:val="00074D40"/>
    <w:rsid w:val="000755AD"/>
    <w:rsid w:val="00075E9A"/>
    <w:rsid w:val="00076FAD"/>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5A68"/>
    <w:rsid w:val="000D62DD"/>
    <w:rsid w:val="000D7C44"/>
    <w:rsid w:val="000D7C62"/>
    <w:rsid w:val="000E2FF4"/>
    <w:rsid w:val="000E55B5"/>
    <w:rsid w:val="000E7041"/>
    <w:rsid w:val="000F06E0"/>
    <w:rsid w:val="000F4DB6"/>
    <w:rsid w:val="000F6F4D"/>
    <w:rsid w:val="000F7314"/>
    <w:rsid w:val="000F7EBF"/>
    <w:rsid w:val="00102339"/>
    <w:rsid w:val="00103596"/>
    <w:rsid w:val="0010607C"/>
    <w:rsid w:val="0010686E"/>
    <w:rsid w:val="00107E9D"/>
    <w:rsid w:val="001118A5"/>
    <w:rsid w:val="001129D8"/>
    <w:rsid w:val="00117D1C"/>
    <w:rsid w:val="00123040"/>
    <w:rsid w:val="00123913"/>
    <w:rsid w:val="00127425"/>
    <w:rsid w:val="001337FE"/>
    <w:rsid w:val="00135522"/>
    <w:rsid w:val="00144D9E"/>
    <w:rsid w:val="0014634C"/>
    <w:rsid w:val="001471EC"/>
    <w:rsid w:val="00151E0E"/>
    <w:rsid w:val="00153070"/>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6DD"/>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1DA"/>
    <w:rsid w:val="002513BE"/>
    <w:rsid w:val="00256A4B"/>
    <w:rsid w:val="00256A65"/>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C3CFC"/>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35D79"/>
    <w:rsid w:val="005443B3"/>
    <w:rsid w:val="005511A7"/>
    <w:rsid w:val="0055165F"/>
    <w:rsid w:val="0055189E"/>
    <w:rsid w:val="005605EF"/>
    <w:rsid w:val="0056126D"/>
    <w:rsid w:val="00573656"/>
    <w:rsid w:val="00573D78"/>
    <w:rsid w:val="00576955"/>
    <w:rsid w:val="00577454"/>
    <w:rsid w:val="00580E0D"/>
    <w:rsid w:val="00581141"/>
    <w:rsid w:val="00582E57"/>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488"/>
    <w:rsid w:val="00626BD6"/>
    <w:rsid w:val="0063198C"/>
    <w:rsid w:val="0063202E"/>
    <w:rsid w:val="006334E7"/>
    <w:rsid w:val="00635205"/>
    <w:rsid w:val="006355C2"/>
    <w:rsid w:val="00637149"/>
    <w:rsid w:val="00640245"/>
    <w:rsid w:val="006474D2"/>
    <w:rsid w:val="006526B7"/>
    <w:rsid w:val="006528E7"/>
    <w:rsid w:val="00660694"/>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1D5E"/>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926E9"/>
    <w:rsid w:val="008A1ABB"/>
    <w:rsid w:val="008A2EDD"/>
    <w:rsid w:val="008A5256"/>
    <w:rsid w:val="008B11CB"/>
    <w:rsid w:val="008B2164"/>
    <w:rsid w:val="008B31E9"/>
    <w:rsid w:val="008B3B66"/>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86CB8"/>
    <w:rsid w:val="00991A94"/>
    <w:rsid w:val="009944B4"/>
    <w:rsid w:val="0099465A"/>
    <w:rsid w:val="009959AC"/>
    <w:rsid w:val="009A0DF7"/>
    <w:rsid w:val="009A1232"/>
    <w:rsid w:val="009A3761"/>
    <w:rsid w:val="009B33B3"/>
    <w:rsid w:val="009B4723"/>
    <w:rsid w:val="009B53B3"/>
    <w:rsid w:val="009B61CB"/>
    <w:rsid w:val="009C31A2"/>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A9"/>
    <w:rsid w:val="00A15FE0"/>
    <w:rsid w:val="00A216ED"/>
    <w:rsid w:val="00A27F69"/>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A6033"/>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0677"/>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54E5"/>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0EB7"/>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AB5"/>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F02E72"/>
    <w:rsid w:val="0F037D49"/>
    <w:rsid w:val="0F481A23"/>
    <w:rsid w:val="10814158"/>
    <w:rsid w:val="112B2DCD"/>
    <w:rsid w:val="112F3D99"/>
    <w:rsid w:val="12844DC1"/>
    <w:rsid w:val="142E56E9"/>
    <w:rsid w:val="1823357E"/>
    <w:rsid w:val="187036B2"/>
    <w:rsid w:val="1B1A3889"/>
    <w:rsid w:val="1C1231F0"/>
    <w:rsid w:val="1C850D11"/>
    <w:rsid w:val="1E145C1F"/>
    <w:rsid w:val="1F94354A"/>
    <w:rsid w:val="21460153"/>
    <w:rsid w:val="21DA3F9D"/>
    <w:rsid w:val="223D0F22"/>
    <w:rsid w:val="23FA42D0"/>
    <w:rsid w:val="24743B37"/>
    <w:rsid w:val="25470B20"/>
    <w:rsid w:val="29483C47"/>
    <w:rsid w:val="2A8314C1"/>
    <w:rsid w:val="2A8F3BCE"/>
    <w:rsid w:val="2B872E60"/>
    <w:rsid w:val="2BCE0FAE"/>
    <w:rsid w:val="2CAF4831"/>
    <w:rsid w:val="2DFC5A4D"/>
    <w:rsid w:val="2F1D0509"/>
    <w:rsid w:val="3161561E"/>
    <w:rsid w:val="31AA78D1"/>
    <w:rsid w:val="321B7CF6"/>
    <w:rsid w:val="38963FA8"/>
    <w:rsid w:val="3A186A29"/>
    <w:rsid w:val="3D7E489C"/>
    <w:rsid w:val="3DF30C72"/>
    <w:rsid w:val="3E792B8A"/>
    <w:rsid w:val="436D3360"/>
    <w:rsid w:val="45361007"/>
    <w:rsid w:val="48A44F3A"/>
    <w:rsid w:val="494A68AB"/>
    <w:rsid w:val="4CFF4C94"/>
    <w:rsid w:val="4D03459A"/>
    <w:rsid w:val="4E2540DD"/>
    <w:rsid w:val="4F0928DF"/>
    <w:rsid w:val="52381F73"/>
    <w:rsid w:val="53387659"/>
    <w:rsid w:val="55104550"/>
    <w:rsid w:val="57F3068C"/>
    <w:rsid w:val="58D20590"/>
    <w:rsid w:val="5AD36B53"/>
    <w:rsid w:val="5D410D65"/>
    <w:rsid w:val="5E5B23C1"/>
    <w:rsid w:val="5E660CC1"/>
    <w:rsid w:val="5E6C52B2"/>
    <w:rsid w:val="5E8C78A8"/>
    <w:rsid w:val="5F6F6A11"/>
    <w:rsid w:val="632A16BD"/>
    <w:rsid w:val="65371288"/>
    <w:rsid w:val="657965BE"/>
    <w:rsid w:val="661D5A78"/>
    <w:rsid w:val="663566D9"/>
    <w:rsid w:val="663B1AE6"/>
    <w:rsid w:val="67B21F12"/>
    <w:rsid w:val="67D461F9"/>
    <w:rsid w:val="6B300AA0"/>
    <w:rsid w:val="6B9306BB"/>
    <w:rsid w:val="6D53343E"/>
    <w:rsid w:val="6E2053BF"/>
    <w:rsid w:val="6E3D39F9"/>
    <w:rsid w:val="6ECA1DC7"/>
    <w:rsid w:val="6F860363"/>
    <w:rsid w:val="6FA81A09"/>
    <w:rsid w:val="70350492"/>
    <w:rsid w:val="706C20E6"/>
    <w:rsid w:val="71D44901"/>
    <w:rsid w:val="71FD397A"/>
    <w:rsid w:val="720924FA"/>
    <w:rsid w:val="73007C27"/>
    <w:rsid w:val="74B13A97"/>
    <w:rsid w:val="74DE6D70"/>
    <w:rsid w:val="75435570"/>
    <w:rsid w:val="76171091"/>
    <w:rsid w:val="78452F28"/>
    <w:rsid w:val="790C5BF2"/>
    <w:rsid w:val="7A1A6C48"/>
    <w:rsid w:val="7ADB74C9"/>
    <w:rsid w:val="7AFE135D"/>
    <w:rsid w:val="7CEF1D89"/>
    <w:rsid w:val="7E494DA3"/>
    <w:rsid w:val="7FC43B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jc w:val="left"/>
    </w:pPr>
    <w:rPr>
      <w:rFonts w:ascii="宋体" w:hAnsi="宋体" w:cs="宋体"/>
      <w:kern w:val="0"/>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8"/>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30"/>
    <w:qFormat/>
    <w:uiPriority w:val="0"/>
    <w:pPr>
      <w:snapToGrid w:val="0"/>
      <w:jc w:val="left"/>
    </w:pPr>
    <w:rPr>
      <w:sz w:val="18"/>
      <w:szCs w:val="18"/>
    </w:rPr>
  </w:style>
  <w:style w:type="paragraph" w:styleId="16">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next w:val="1"/>
    <w:unhideWhenUsed/>
    <w:qFormat/>
    <w:uiPriority w:val="99"/>
    <w:pPr>
      <w:widowControl/>
      <w:spacing w:line="440" w:lineRule="exact"/>
      <w:ind w:firstLine="420"/>
      <w:jc w:val="left"/>
    </w:pPr>
    <w:rPr>
      <w:rFonts w:ascii="Times New Roman" w:hAnsi="Times New Roman"/>
      <w:color w:val="FF0000"/>
      <w:kern w:val="0"/>
      <w:sz w:val="28"/>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basedOn w:val="21"/>
    <w:unhideWhenUsed/>
    <w:qFormat/>
    <w:uiPriority w:val="99"/>
    <w:rPr>
      <w:color w:val="0000FF" w:themeColor="hyperlink"/>
      <w:u w:val="single"/>
    </w:rPr>
  </w:style>
  <w:style w:type="character" w:styleId="24">
    <w:name w:val="footnote reference"/>
    <w:basedOn w:val="21"/>
    <w:qFormat/>
    <w:uiPriority w:val="0"/>
    <w:rPr>
      <w:vertAlign w:val="superscript"/>
    </w:rPr>
  </w:style>
  <w:style w:type="character" w:customStyle="1" w:styleId="25">
    <w:name w:val="无间隔 Char"/>
    <w:basedOn w:val="21"/>
    <w:link w:val="26"/>
    <w:qFormat/>
    <w:uiPriority w:val="1"/>
    <w:rPr>
      <w:rFonts w:ascii="Calibri" w:hAnsi="Calibri"/>
      <w:sz w:val="22"/>
      <w:szCs w:val="22"/>
      <w:lang w:val="en-US" w:eastAsia="zh-CN" w:bidi="ar-SA"/>
    </w:rPr>
  </w:style>
  <w:style w:type="paragraph" w:styleId="26">
    <w:name w:val="No Spacing"/>
    <w:link w:val="25"/>
    <w:qFormat/>
    <w:uiPriority w:val="1"/>
    <w:rPr>
      <w:rFonts w:ascii="Calibri" w:hAnsi="Calibri" w:eastAsia="宋体" w:cs="Times New Roman"/>
      <w:sz w:val="22"/>
      <w:szCs w:val="22"/>
      <w:lang w:val="en-US" w:eastAsia="zh-CN" w:bidi="ar-SA"/>
    </w:rPr>
  </w:style>
  <w:style w:type="character" w:customStyle="1" w:styleId="27">
    <w:name w:val="页脚 Char"/>
    <w:basedOn w:val="21"/>
    <w:link w:val="12"/>
    <w:qFormat/>
    <w:uiPriority w:val="99"/>
    <w:rPr>
      <w:kern w:val="2"/>
      <w:sz w:val="18"/>
      <w:szCs w:val="18"/>
    </w:rPr>
  </w:style>
  <w:style w:type="character" w:customStyle="1" w:styleId="28">
    <w:name w:val="批注框文本 Char"/>
    <w:basedOn w:val="21"/>
    <w:link w:val="11"/>
    <w:qFormat/>
    <w:uiPriority w:val="0"/>
    <w:rPr>
      <w:kern w:val="2"/>
      <w:sz w:val="18"/>
      <w:szCs w:val="18"/>
    </w:rPr>
  </w:style>
  <w:style w:type="character" w:customStyle="1" w:styleId="29">
    <w:name w:val="页眉 Char"/>
    <w:basedOn w:val="21"/>
    <w:link w:val="13"/>
    <w:qFormat/>
    <w:uiPriority w:val="99"/>
    <w:rPr>
      <w:kern w:val="2"/>
      <w:sz w:val="18"/>
      <w:szCs w:val="18"/>
    </w:rPr>
  </w:style>
  <w:style w:type="character" w:customStyle="1" w:styleId="30">
    <w:name w:val="脚注文本 Char"/>
    <w:basedOn w:val="21"/>
    <w:link w:val="15"/>
    <w:qFormat/>
    <w:uiPriority w:val="0"/>
    <w:rPr>
      <w:kern w:val="2"/>
      <w:sz w:val="18"/>
      <w:szCs w:val="18"/>
    </w:rPr>
  </w:style>
  <w:style w:type="paragraph" w:customStyle="1" w:styleId="31">
    <w:name w:val="Other|2"/>
    <w:basedOn w:val="1"/>
    <w:qFormat/>
    <w:uiPriority w:val="0"/>
    <w:pPr>
      <w:jc w:val="center"/>
    </w:pPr>
    <w:rPr>
      <w:rFonts w:ascii="宋体" w:hAnsi="宋体" w:cs="宋体"/>
      <w:sz w:val="20"/>
      <w:lang w:val="zh-TW" w:eastAsia="zh-TW" w:bidi="zh-TW"/>
    </w:rPr>
  </w:style>
  <w:style w:type="paragraph" w:customStyle="1" w:styleId="32">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3">
    <w:name w:val="Header or footer|2"/>
    <w:basedOn w:val="1"/>
    <w:qFormat/>
    <w:uiPriority w:val="0"/>
    <w:rPr>
      <w:sz w:val="20"/>
      <w:lang w:val="zh-TW" w:eastAsia="zh-TW" w:bidi="zh-TW"/>
    </w:rPr>
  </w:style>
  <w:style w:type="paragraph" w:customStyle="1" w:styleId="34">
    <w:name w:val="TOC 标题1"/>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66091" w:themeColor="accent1" w:themeShade="BF"/>
      <w:kern w:val="0"/>
      <w:sz w:val="28"/>
      <w:szCs w:val="28"/>
    </w:rPr>
  </w:style>
  <w:style w:type="paragraph" w:customStyle="1" w:styleId="35">
    <w:name w:val="WPSOffice手动目录 1"/>
    <w:qFormat/>
    <w:uiPriority w:val="0"/>
    <w:rPr>
      <w:rFonts w:asciiTheme="minorHAnsi" w:hAnsiTheme="minorHAnsi" w:eastAsiaTheme="minorEastAsia" w:cstheme="minorBidi"/>
      <w:lang w:val="en-US" w:eastAsia="zh-CN" w:bidi="ar-SA"/>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spacing w:line="329" w:lineRule="auto"/>
      <w:ind w:firstLine="400"/>
    </w:pPr>
    <w:rPr>
      <w:rFonts w:ascii="宋体" w:hAnsi="宋体" w:cs="宋体"/>
      <w:sz w:val="28"/>
      <w:szCs w:val="28"/>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19</Pages>
  <Words>9148</Words>
  <Characters>9616</Characters>
  <Lines>72</Lines>
  <Paragraphs>20</Paragraphs>
  <TotalTime>4</TotalTime>
  <ScaleCrop>false</ScaleCrop>
  <LinksUpToDate>false</LinksUpToDate>
  <CharactersWithSpaces>9785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2023-06-15T09:18:00Z</cp:lastPrinted>
  <dcterms:modified xsi:type="dcterms:W3CDTF">2023-10-12T01:56:57Z</dcterms:modified>
  <dc:title>审 计 报 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93F5F31CE4CF4B9F8A1A0AEC0886AE86_13</vt:lpwstr>
  </property>
</Properties>
</file>