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highlight w:val="none"/>
        </w:rPr>
      </w:pPr>
    </w:p>
    <w:p>
      <w:pPr>
        <w:rPr>
          <w:rFonts w:ascii="宋体" w:hAnsi="宋体"/>
          <w:sz w:val="36"/>
          <w:szCs w:val="36"/>
          <w:highlight w:val="none"/>
        </w:rPr>
      </w:pPr>
    </w:p>
    <w:p>
      <w:pPr>
        <w:jc w:val="center"/>
        <w:rPr>
          <w:rFonts w:ascii="宋体" w:hAnsi="宋体"/>
          <w:szCs w:val="21"/>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cs="宋体"/>
          <w:b/>
          <w:bCs w:val="0"/>
          <w:sz w:val="44"/>
          <w:szCs w:val="44"/>
          <w:highlight w:val="none"/>
          <w:lang w:val="en-US" w:eastAsia="zh-CN"/>
        </w:rPr>
      </w:pPr>
      <w:r>
        <w:rPr>
          <w:rFonts w:hint="eastAsia" w:ascii="宋体" w:hAnsi="宋体" w:cs="宋体"/>
          <w:b/>
          <w:bCs w:val="0"/>
          <w:sz w:val="44"/>
          <w:szCs w:val="44"/>
          <w:highlight w:val="none"/>
          <w:lang w:val="en-US" w:eastAsia="zh-CN"/>
        </w:rPr>
        <w:t>保定市白洋淀上游历史遗留废弃矿山生态修复示范工程项目曲阳县党城乡至范家庄乡一带矿山</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cs="宋体"/>
          <w:b/>
          <w:bCs w:val="0"/>
          <w:sz w:val="44"/>
          <w:szCs w:val="44"/>
          <w:highlight w:val="none"/>
          <w:lang w:val="en-US" w:eastAsia="zh-CN"/>
        </w:rPr>
      </w:pPr>
      <w:r>
        <w:rPr>
          <w:rFonts w:hint="eastAsia" w:ascii="宋体" w:hAnsi="宋体" w:cs="宋体"/>
          <w:b/>
          <w:bCs w:val="0"/>
          <w:sz w:val="44"/>
          <w:szCs w:val="44"/>
          <w:highlight w:val="none"/>
          <w:lang w:val="en-US" w:eastAsia="zh-CN"/>
        </w:rPr>
        <w:t>生态修复示范工程项目2022年度</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eastAsia="宋体" w:cs="宋体"/>
          <w:b/>
          <w:bCs w:val="0"/>
          <w:sz w:val="44"/>
          <w:szCs w:val="44"/>
          <w:highlight w:val="none"/>
          <w:lang w:val="en-US" w:eastAsia="zh-CN"/>
        </w:rPr>
      </w:pPr>
      <w:r>
        <w:rPr>
          <w:rFonts w:hint="eastAsia" w:ascii="宋体" w:hAnsi="宋体" w:cs="宋体"/>
          <w:b/>
          <w:bCs w:val="0"/>
          <w:sz w:val="44"/>
          <w:szCs w:val="44"/>
          <w:highlight w:val="none"/>
          <w:lang w:val="en-US" w:eastAsia="zh-CN"/>
        </w:rPr>
        <w:t>重点绩效评价报告</w:t>
      </w:r>
    </w:p>
    <w:p>
      <w:pPr>
        <w:pStyle w:val="2"/>
        <w:ind w:left="0" w:leftChars="0" w:firstLine="0" w:firstLineChars="0"/>
        <w:rPr>
          <w:highlight w:val="none"/>
        </w:rPr>
      </w:pPr>
    </w:p>
    <w:p>
      <w:pPr>
        <w:pStyle w:val="2"/>
        <w:rPr>
          <w:highlight w:val="none"/>
        </w:rPr>
      </w:pPr>
    </w:p>
    <w:p>
      <w:pPr>
        <w:rPr>
          <w:highlight w:val="none"/>
        </w:rPr>
      </w:pPr>
      <w:bookmarkStart w:id="90" w:name="_GoBack"/>
      <w:bookmarkEnd w:id="90"/>
    </w:p>
    <w:p>
      <w:pPr>
        <w:pStyle w:val="2"/>
        <w:rPr>
          <w:highlight w:val="none"/>
        </w:rPr>
      </w:pPr>
    </w:p>
    <w:p>
      <w:pPr>
        <w:rPr>
          <w:highlight w:val="none"/>
        </w:rPr>
      </w:pPr>
    </w:p>
    <w:p>
      <w:pPr>
        <w:pStyle w:val="2"/>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评估单位</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曲阳县财政局</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河北中盛信达会计师事务所有限公司</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项目名称：</w:t>
      </w:r>
      <w:r>
        <w:rPr>
          <w:rFonts w:hint="eastAsia" w:ascii="仿宋" w:hAnsi="仿宋" w:eastAsia="仿宋" w:cs="仿宋"/>
          <w:sz w:val="32"/>
          <w:szCs w:val="32"/>
          <w:highlight w:val="none"/>
          <w:lang w:eastAsia="zh-CN"/>
        </w:rPr>
        <w:t>保定市白洋淀上游历史遗留废弃矿山生态修复示范工程项目曲阳县党城乡至范家庄乡一带矿山生态修复示范工程项目</w:t>
      </w:r>
      <w:r>
        <w:rPr>
          <w:rFonts w:hint="eastAsia" w:ascii="仿宋" w:hAnsi="仿宋" w:eastAsia="仿宋" w:cs="仿宋"/>
          <w:sz w:val="32"/>
          <w:szCs w:val="32"/>
          <w:highlight w:val="none"/>
          <w:lang w:val="en-US" w:eastAsia="zh-CN"/>
        </w:rPr>
        <w:t>2022</w:t>
      </w:r>
      <w:r>
        <w:rPr>
          <w:rFonts w:hint="eastAsia" w:ascii="仿宋" w:hAnsi="仿宋" w:eastAsia="仿宋" w:cs="仿宋"/>
          <w:sz w:val="32"/>
          <w:szCs w:val="32"/>
          <w:highlight w:val="none"/>
          <w:lang w:eastAsia="zh-CN"/>
        </w:rPr>
        <w:t>年度</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项目承担部门：</w:t>
      </w:r>
      <w:r>
        <w:rPr>
          <w:rFonts w:hint="eastAsia" w:ascii="仿宋" w:hAnsi="仿宋" w:eastAsia="仿宋" w:cs="仿宋"/>
          <w:sz w:val="32"/>
          <w:szCs w:val="32"/>
          <w:highlight w:val="none"/>
          <w:lang w:eastAsia="zh-CN"/>
        </w:rPr>
        <w:t>曲阳县自然资源和规划局</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项目实施主体：曲阳县自然资源和规划局</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 估 日 期：</w:t>
      </w:r>
      <w:r>
        <w:rPr>
          <w:rFonts w:hint="eastAsia" w:ascii="仿宋" w:hAnsi="仿宋" w:eastAsia="仿宋" w:cs="仿宋"/>
          <w:sz w:val="32"/>
          <w:szCs w:val="32"/>
          <w:highlight w:val="none"/>
          <w:lang w:eastAsia="zh-CN"/>
        </w:rPr>
        <w:t>2023年8月7日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报 告 日 期：2023年</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25</w:t>
      </w:r>
      <w:r>
        <w:rPr>
          <w:rFonts w:hint="eastAsia" w:ascii="仿宋" w:hAnsi="仿宋" w:eastAsia="仿宋" w:cs="仿宋"/>
          <w:sz w:val="32"/>
          <w:szCs w:val="32"/>
          <w:highlight w:val="none"/>
          <w:lang w:eastAsia="zh-CN"/>
        </w:rPr>
        <w:t>日</w:t>
      </w:r>
    </w:p>
    <w:p>
      <w:pPr>
        <w:pStyle w:val="2"/>
        <w:rPr>
          <w:rFonts w:hint="eastAsia" w:ascii="仿宋" w:hAnsi="仿宋" w:eastAsia="仿宋" w:cs="仿宋"/>
          <w:sz w:val="32"/>
          <w:szCs w:val="32"/>
          <w:highlight w:val="none"/>
          <w:lang w:eastAsia="zh-CN"/>
        </w:rPr>
      </w:pPr>
    </w:p>
    <w:p>
      <w:pPr>
        <w:rPr>
          <w:rFonts w:hint="eastAsia" w:ascii="仿宋" w:hAnsi="仿宋" w:eastAsia="仿宋" w:cs="仿宋"/>
          <w:sz w:val="32"/>
          <w:szCs w:val="32"/>
          <w:highlight w:val="none"/>
          <w:lang w:eastAsia="zh-CN"/>
        </w:rPr>
      </w:pPr>
    </w:p>
    <w:p>
      <w:pPr>
        <w:pStyle w:val="2"/>
        <w:rPr>
          <w:rFonts w:hint="eastAsia" w:ascii="仿宋" w:hAnsi="仿宋" w:eastAsia="仿宋" w:cs="仿宋"/>
          <w:sz w:val="32"/>
          <w:szCs w:val="32"/>
          <w:highlight w:val="none"/>
          <w:lang w:eastAsia="zh-CN"/>
        </w:rPr>
      </w:pPr>
    </w:p>
    <w:p>
      <w:pPr>
        <w:rPr>
          <w:rFonts w:hint="eastAsia"/>
          <w:lang w:eastAsia="zh-CN"/>
        </w:rPr>
      </w:pPr>
    </w:p>
    <w:p>
      <w:pPr>
        <w:spacing w:line="560" w:lineRule="exact"/>
        <w:jc w:val="center"/>
        <w:outlineLvl w:val="0"/>
        <w:rPr>
          <w:rFonts w:hint="eastAsia" w:ascii="仿宋" w:hAnsi="仿宋" w:eastAsia="仿宋" w:cs="仿宋"/>
          <w:b/>
          <w:bCs w:val="0"/>
          <w:sz w:val="36"/>
          <w:szCs w:val="36"/>
          <w:highlight w:val="none"/>
          <w:lang w:eastAsia="zh-CN"/>
        </w:rPr>
      </w:pPr>
      <w:r>
        <w:rPr>
          <w:rFonts w:hint="eastAsia" w:ascii="仿宋" w:hAnsi="仿宋" w:eastAsia="仿宋" w:cs="仿宋"/>
          <w:b/>
          <w:bCs w:val="0"/>
          <w:sz w:val="36"/>
          <w:szCs w:val="36"/>
          <w:highlight w:val="none"/>
          <w:lang w:eastAsia="zh-CN"/>
        </w:rPr>
        <w:t>保定市白洋淀上游历史遗留废弃矿山生态修复示范工程项目曲阳县党城乡至范家庄乡一带矿山生态修复示范工程项目2022年度重点绩效评价报告</w:t>
      </w:r>
    </w:p>
    <w:p>
      <w:pPr>
        <w:pageBreakBefore w:val="0"/>
        <w:kinsoku/>
        <w:wordWrap/>
        <w:overflowPunct/>
        <w:topLinePunct w:val="0"/>
        <w:autoSpaceDE/>
        <w:autoSpaceDN/>
        <w:bidi w:val="0"/>
        <w:adjustRightInd/>
        <w:snapToGrid/>
        <w:spacing w:line="560" w:lineRule="exact"/>
        <w:outlineLvl w:val="0"/>
        <w:rPr>
          <w:rFonts w:hint="eastAsia" w:ascii="仿宋" w:hAnsi="仿宋" w:eastAsia="仿宋" w:cs="仿宋"/>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color w:val="000000"/>
          <w:sz w:val="30"/>
          <w:szCs w:val="30"/>
          <w:highlight w:val="none"/>
        </w:rPr>
      </w:pPr>
      <w:r>
        <w:rPr>
          <w:rFonts w:hint="eastAsia" w:ascii="仿宋_GB2312" w:eastAsia="仿宋_GB2312" w:cs="仿宋_GB2312"/>
          <w:sz w:val="32"/>
          <w:szCs w:val="32"/>
          <w:lang w:eastAsia="zh-CN"/>
        </w:rPr>
        <w:t>按照</w:t>
      </w:r>
      <w:r>
        <w:rPr>
          <w:rFonts w:hint="eastAsia" w:ascii="仿宋_GB2312" w:eastAsia="仿宋_GB2312" w:cs="仿宋_GB2312"/>
          <w:sz w:val="32"/>
          <w:szCs w:val="32"/>
        </w:rPr>
        <w:t>《曲阳县财政局关于印发202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年县级财政重点绩效评价计划的通知》的</w:t>
      </w:r>
      <w:r>
        <w:rPr>
          <w:rFonts w:ascii="仿宋_GB2312" w:eastAsia="仿宋_GB2312" w:cs="仿宋_GB2312"/>
          <w:sz w:val="32"/>
          <w:szCs w:val="32"/>
        </w:rPr>
        <w:t>要求</w:t>
      </w:r>
      <w:r>
        <w:rPr>
          <w:rFonts w:hint="eastAsia" w:ascii="仿宋_GB2312" w:eastAsia="仿宋_GB2312" w:cs="仿宋_GB2312"/>
          <w:sz w:val="32"/>
          <w:szCs w:val="32"/>
          <w:lang w:eastAsia="zh-CN"/>
        </w:rPr>
        <w:t>，由财政局监督评价会计股牵头第三方协助，</w:t>
      </w:r>
      <w:r>
        <w:rPr>
          <w:rFonts w:hint="eastAsia" w:ascii="仿宋" w:hAnsi="仿宋" w:eastAsia="仿宋" w:cs="仿宋"/>
          <w:sz w:val="30"/>
          <w:szCs w:val="30"/>
          <w:highlight w:val="none"/>
        </w:rPr>
        <w:t>对</w:t>
      </w:r>
      <w:r>
        <w:rPr>
          <w:rFonts w:hint="eastAsia" w:ascii="仿宋" w:hAnsi="仿宋" w:eastAsia="仿宋" w:cs="仿宋"/>
          <w:sz w:val="30"/>
          <w:szCs w:val="30"/>
          <w:highlight w:val="none"/>
          <w:lang w:eastAsia="zh-CN"/>
        </w:rPr>
        <w:t>曲阳县自然资源和规划局</w:t>
      </w:r>
      <w:r>
        <w:rPr>
          <w:rFonts w:hint="eastAsia" w:ascii="仿宋" w:hAnsi="仿宋" w:eastAsia="仿宋" w:cs="仿宋"/>
          <w:sz w:val="30"/>
          <w:szCs w:val="30"/>
          <w:highlight w:val="none"/>
        </w:rPr>
        <w:t>承担的</w:t>
      </w:r>
      <w:r>
        <w:rPr>
          <w:rFonts w:hint="eastAsia" w:ascii="仿宋" w:hAnsi="仿宋" w:eastAsia="仿宋" w:cs="仿宋"/>
          <w:sz w:val="30"/>
          <w:szCs w:val="30"/>
          <w:highlight w:val="none"/>
          <w:lang w:eastAsia="zh-CN"/>
        </w:rPr>
        <w:t>保定市白洋淀上游历史遗留废弃矿山生态修复示范工程项目曲阳县党城乡至范家庄乡一带矿山生态修复示范工程项目</w:t>
      </w:r>
      <w:r>
        <w:rPr>
          <w:rFonts w:hint="eastAsia" w:ascii="仿宋" w:hAnsi="仿宋" w:eastAsia="仿宋" w:cs="仿宋"/>
          <w:sz w:val="30"/>
          <w:szCs w:val="30"/>
          <w:highlight w:val="none"/>
        </w:rPr>
        <w:t>（以下简称“该项目”）</w:t>
      </w:r>
      <w:r>
        <w:rPr>
          <w:rFonts w:hint="eastAsia" w:ascii="仿宋" w:hAnsi="仿宋" w:eastAsia="仿宋" w:cs="仿宋"/>
          <w:sz w:val="30"/>
          <w:szCs w:val="30"/>
          <w:highlight w:val="none"/>
          <w:lang w:val="en-US" w:eastAsia="zh-CN"/>
        </w:rPr>
        <w:t>2022年度安排资金的使用</w:t>
      </w:r>
      <w:r>
        <w:rPr>
          <w:rFonts w:hint="eastAsia" w:ascii="仿宋" w:hAnsi="仿宋" w:eastAsia="仿宋" w:cs="仿宋"/>
          <w:sz w:val="30"/>
          <w:szCs w:val="30"/>
          <w:highlight w:val="none"/>
        </w:rPr>
        <w:t>情况进行了绩效</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曲阳县自然资源和规划局</w:t>
      </w:r>
      <w:r>
        <w:rPr>
          <w:rFonts w:hint="eastAsia" w:ascii="仿宋" w:hAnsi="仿宋" w:eastAsia="仿宋" w:cs="仿宋"/>
          <w:sz w:val="30"/>
          <w:szCs w:val="30"/>
          <w:highlight w:val="none"/>
        </w:rPr>
        <w:t>和相关单位提供与绩效</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有关的项目资料，并对其真实性、完整性、合法性负责，</w:t>
      </w:r>
      <w:r>
        <w:rPr>
          <w:rFonts w:hint="eastAsia" w:ascii="仿宋" w:hAnsi="仿宋" w:eastAsia="仿宋" w:cs="仿宋"/>
          <w:sz w:val="30"/>
          <w:szCs w:val="30"/>
          <w:highlight w:val="none"/>
          <w:lang w:eastAsia="zh-CN"/>
        </w:rPr>
        <w:t>评价小组</w:t>
      </w:r>
      <w:r>
        <w:rPr>
          <w:rFonts w:hint="eastAsia" w:ascii="仿宋" w:hAnsi="仿宋" w:eastAsia="仿宋" w:cs="仿宋"/>
          <w:sz w:val="30"/>
          <w:szCs w:val="30"/>
          <w:highlight w:val="none"/>
        </w:rPr>
        <w:t>根据项目相关资料，对该项目的项目投入、项目过程管理、项目产出、项目效益四个方面和执行国家法律、法规的情况发表</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意见。</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lang w:eastAsia="zh-CN"/>
        </w:rPr>
      </w:pPr>
      <w:bookmarkStart w:id="0" w:name="_Toc8967"/>
      <w:bookmarkStart w:id="1" w:name="_Toc83631027"/>
      <w:bookmarkStart w:id="2" w:name="_Toc30480"/>
      <w:bookmarkStart w:id="3" w:name="_Toc83630317"/>
      <w:r>
        <w:rPr>
          <w:rFonts w:hint="eastAsia" w:ascii="仿宋" w:hAnsi="仿宋" w:eastAsia="仿宋" w:cs="仿宋"/>
          <w:b/>
          <w:bCs/>
          <w:sz w:val="32"/>
          <w:szCs w:val="32"/>
          <w:highlight w:val="none"/>
          <w:lang w:val="en-US" w:eastAsia="zh-CN"/>
        </w:rPr>
        <w:t>一、</w:t>
      </w:r>
      <w:r>
        <w:rPr>
          <w:rFonts w:hint="eastAsia" w:ascii="仿宋" w:hAnsi="仿宋" w:eastAsia="仿宋" w:cs="仿宋"/>
          <w:b/>
          <w:bCs/>
          <w:sz w:val="32"/>
          <w:szCs w:val="32"/>
          <w:highlight w:val="none"/>
        </w:rPr>
        <w:t>项目</w:t>
      </w:r>
      <w:bookmarkEnd w:id="0"/>
      <w:bookmarkEnd w:id="1"/>
      <w:bookmarkEnd w:id="2"/>
      <w:bookmarkEnd w:id="3"/>
      <w:r>
        <w:rPr>
          <w:rFonts w:hint="eastAsia" w:ascii="仿宋" w:hAnsi="仿宋" w:eastAsia="仿宋" w:cs="仿宋"/>
          <w:b/>
          <w:bCs/>
          <w:sz w:val="32"/>
          <w:szCs w:val="32"/>
          <w:highlight w:val="none"/>
          <w:lang w:eastAsia="zh-CN"/>
        </w:rPr>
        <w:t>建设背景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4" w:name="_Toc83630318"/>
      <w:bookmarkStart w:id="5" w:name="_Toc22961"/>
      <w:bookmarkStart w:id="6" w:name="_Toc25381"/>
      <w:bookmarkStart w:id="7" w:name="_Toc22022"/>
      <w:bookmarkStart w:id="8" w:name="_Toc83631028"/>
      <w:bookmarkStart w:id="9" w:name="_Toc19822"/>
      <w:r>
        <w:rPr>
          <w:rFonts w:hint="eastAsia" w:ascii="仿宋" w:hAnsi="仿宋" w:eastAsia="仿宋" w:cs="仿宋"/>
          <w:sz w:val="30"/>
          <w:szCs w:val="30"/>
          <w:highlight w:val="none"/>
          <w:lang w:val="en-US" w:eastAsia="zh-CN"/>
        </w:rPr>
        <w:t>改革开放以来，中国城市化进程加快，智能电网得到推广和普及，在一定程度上提高了人们的生活水平和质量，改善了人们的生活条件。但因先前建设城市基础设施时，没有考虑全面，缺少相关经验，导致现在城市“弊端丛生”，各种设施和服务跟不上城市发展速度，亟待全面整改。</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随着市民对生活质量、生存环境的要求提高，原来道路两侧或横穿马路、密密麻麻交织在一起的弱电线路形成的“蜘蛛网”，不再是城市的现代“标志”，反而有碍城市观瞻形象，还伴生着诸多安全隐患。市民急盼政府能够将裸露在外的电线进行整理，将之入地敷设，既能保护电缆，又能减少事故的发生，电缆入地必将是日后城市发展的方向，对建设现代化城市具有重要意义。</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这些“空中蜘蛛网”，不仅影响市容，还是交通安全与断电事故隐患。城市中裸露的金属导线，极易受到大气中酸碱气体和水气的腐蚀，使得架空线存在比较多的危险隐患。由于城市中大量杆塔暴露在道路边缘，发生撞杆的交通事故也就难以避免，并会时常发生吊车碰线、风筝挂线等意外事故，更可能在风暴、大雪等灾害性天气时造成供电和通讯网络的严重损坏，造成无法挽回的人员伤亡和财产损失。</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露天电线带来的危害使得电缆入地备受关注，得到了大多数国家的认可和支持，尤其是城市化进程较快的国家更是钟情于电缆入地，既能美化城市景观，提高城市知名度，又能降低电线受外部侵害几率，减少意外损失，可谓一举两得。</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因此，</w:t>
      </w:r>
      <w:r>
        <w:rPr>
          <w:rFonts w:hint="eastAsia" w:ascii="仿宋" w:hAnsi="仿宋" w:eastAsia="仿宋" w:cs="仿宋"/>
          <w:sz w:val="30"/>
          <w:szCs w:val="30"/>
          <w:highlight w:val="none"/>
          <w:lang w:eastAsia="zh-CN"/>
        </w:rPr>
        <w:t>曲阳县自然资源和规划局计划开展保定市白洋淀上游历史遗留废弃矿山生态修复示范工程项目曲阳县党城乡至范家庄乡一带矿山生态修复示范工程项目2022年度。</w:t>
      </w:r>
    </w:p>
    <w:p>
      <w:pPr>
        <w:pageBreakBefore w:val="0"/>
        <w:numPr>
          <w:ilvl w:val="0"/>
          <w:numId w:val="1"/>
        </w:numPr>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项目实施内容和范围</w:t>
      </w:r>
      <w:bookmarkEnd w:id="4"/>
      <w:bookmarkEnd w:id="5"/>
      <w:bookmarkEnd w:id="6"/>
      <w:bookmarkEnd w:id="7"/>
      <w:bookmarkEnd w:id="8"/>
      <w:bookmarkEnd w:id="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具体包含三个分段项目，分别是：保定市白洋淀上游历史遗留废弃矿山生态修复示范工程项目曲阳县党城乡至范家庄乡一带矿山生态修复示范工程项目2022年度(北台段)、保定市白洋淀上游历史遗留废弃矿山生态修复示范工程项目曲阳县党城乡至范家庄乡一带矿山生态修复示范工程项目 2022 年度(孝墓段)、保定市白洋淀上游历史遗留废弃矿山生态修复示范工程项目曲阳县党城乡至范家庄乡一带矿山生态修复示花工程项目2022年度（郎家庄段）</w:t>
      </w:r>
      <w:bookmarkStart w:id="10" w:name="_Toc1525"/>
      <w:bookmarkStart w:id="11" w:name="_Toc8527"/>
      <w:bookmarkStart w:id="12" w:name="_Toc17013"/>
      <w:bookmarkStart w:id="13" w:name="_Toc24391"/>
      <w:bookmarkStart w:id="14" w:name="_Toc83631029"/>
      <w:bookmarkStart w:id="15" w:name="_Toc8363031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（一）项目承担部门：曲阳县自然资源和规划局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（二）项目实施主体：曲阳县自然资源和规划局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（三）项目建设地点:</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①北台段建设地点为曲阳县北台乡黄岭洼村西南 200m，董家沟村东300m，曲阳县恒州路；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②孝墓段建设地点为曲阳县孝墓乡东口南村西北1000m白云岩矿，曲阳县孝墓乡后洞子村北700m白云岩矿；</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③郎家庄段建设地点为曲阳县郎家庄乡郎家庄村、南沟村、太平庄。</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（四）主要建设内容及规模：</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①北台段：对曲阳县党城乡至范家庄乡一带矿山 (北台段)通过实施土石方工程、砌筑工程、植生孔及平台绿化工程、集排水工程、标识工程工程进行生态恢复，恢复治理总面积40800 m。</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②孝墓段：对曲阳县党城乡至范家庄乡一带矿山(孝墓段)通过实施土方工程、石方工程、砌筑工程、辅助工程、坡面治理工程、生态景观恢复工程进行生态恢复，恢复治理总面积66973 m。</w:t>
      </w:r>
    </w:p>
    <w:p>
      <w:pPr>
        <w:pageBreakBefore w:val="0"/>
        <w:kinsoku/>
        <w:wordWrap/>
        <w:overflowPunct/>
        <w:topLinePunct w:val="0"/>
        <w:autoSpaceDE/>
        <w:autoSpaceDN/>
        <w:bidi w:val="0"/>
        <w:adjustRightInd/>
        <w:snapToGrid/>
        <w:spacing w:line="560" w:lineRule="exact"/>
        <w:ind w:firstLine="600" w:firstLineChars="200"/>
        <w:rPr>
          <w:rFonts w:hint="default"/>
          <w:lang w:val="en-US" w:eastAsia="zh-CN"/>
        </w:rPr>
      </w:pPr>
      <w:r>
        <w:rPr>
          <w:rFonts w:hint="eastAsia" w:ascii="仿宋" w:hAnsi="仿宋" w:eastAsia="仿宋" w:cs="仿宋"/>
          <w:sz w:val="30"/>
          <w:szCs w:val="30"/>
          <w:highlight w:val="none"/>
          <w:lang w:val="en-US" w:eastAsia="zh-CN"/>
        </w:rPr>
        <w:t>③郎家庄段：对曲阳县党城乡至范家庄乡一带矿山(郎家庄段)通过实施土方工程、石方工程、砌筑工程、辅助工程、坡面治理工程、生态景观恢复工程进行生态恢复，恢复治理总面积73094 m。</w:t>
      </w:r>
    </w:p>
    <w:p>
      <w:pPr>
        <w:pageBreakBefore w:val="0"/>
        <w:numPr>
          <w:ilvl w:val="0"/>
          <w:numId w:val="2"/>
        </w:numPr>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投资规模:可研批复文件显示的项目估算总投资为2570.33万元，其中北台段估算总投资为390.05万元，孝墓段估算总投资为1090.77万元，郎家庄段估算总投资为</w:t>
      </w:r>
      <w:r>
        <w:rPr>
          <w:rFonts w:hint="default" w:ascii="仿宋" w:hAnsi="仿宋" w:eastAsia="仿宋" w:cs="仿宋"/>
          <w:sz w:val="30"/>
          <w:szCs w:val="30"/>
          <w:highlight w:val="none"/>
          <w:lang w:val="en-US" w:eastAsia="zh-CN"/>
        </w:rPr>
        <w:t>1089.51</w:t>
      </w:r>
      <w:r>
        <w:rPr>
          <w:rFonts w:hint="eastAsia" w:ascii="仿宋" w:hAnsi="仿宋" w:eastAsia="仿宋" w:cs="仿宋"/>
          <w:sz w:val="30"/>
          <w:szCs w:val="30"/>
          <w:highlight w:val="none"/>
          <w:lang w:val="en-US" w:eastAsia="zh-CN"/>
        </w:rPr>
        <w:t>万元，资金来源为县财政资金及上级专项资金。</w:t>
      </w:r>
    </w:p>
    <w:p>
      <w:pPr>
        <w:pageBreakBefore w:val="0"/>
        <w:numPr>
          <w:ilvl w:val="0"/>
          <w:numId w:val="2"/>
        </w:numPr>
        <w:kinsoku/>
        <w:wordWrap/>
        <w:overflowPunct/>
        <w:topLinePunct w:val="0"/>
        <w:autoSpaceDE/>
        <w:autoSpaceDN/>
        <w:bidi w:val="0"/>
        <w:adjustRightInd/>
        <w:snapToGrid/>
        <w:spacing w:line="560" w:lineRule="exact"/>
        <w:ind w:left="0" w:leftChars="0"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项目计划</w:t>
      </w:r>
      <w:r>
        <w:rPr>
          <w:rFonts w:hint="default" w:ascii="仿宋" w:hAnsi="仿宋" w:eastAsia="仿宋" w:cs="仿宋"/>
          <w:sz w:val="30"/>
          <w:szCs w:val="30"/>
          <w:highlight w:val="none"/>
          <w:lang w:val="en-US" w:eastAsia="zh-CN"/>
        </w:rPr>
        <w:t>建设期限:</w:t>
      </w:r>
    </w:p>
    <w:p>
      <w:pPr>
        <w:pageBreakBefore w:val="0"/>
        <w:numPr>
          <w:ilvl w:val="0"/>
          <w:numId w:val="0"/>
        </w:numPr>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①北台段：项目总承包合同显示计划工期为12个月；</w:t>
      </w:r>
    </w:p>
    <w:p>
      <w:pPr>
        <w:pageBreakBefore w:val="0"/>
        <w:numPr>
          <w:ilvl w:val="0"/>
          <w:numId w:val="0"/>
        </w:numPr>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②孝墓段：项目总承包合同显示计划工期为自合同签订之日起至2023年12月底；</w:t>
      </w:r>
    </w:p>
    <w:p>
      <w:pPr>
        <w:pageBreakBefore w:val="0"/>
        <w:numPr>
          <w:ilvl w:val="0"/>
          <w:numId w:val="0"/>
        </w:numPr>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③郎家庄段：目总承包合同显示计划工期为自合同签订之日起至2023年12月底。</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sz w:val="30"/>
          <w:szCs w:val="30"/>
          <w:highlight w:val="none"/>
          <w:lang w:val="en-US" w:eastAsia="zh-CN"/>
        </w:rPr>
      </w:pPr>
      <w:r>
        <w:rPr>
          <w:rFonts w:hint="eastAsia" w:ascii="仿宋" w:hAnsi="仿宋" w:eastAsia="仿宋" w:cs="仿宋"/>
          <w:b/>
          <w:bCs/>
          <w:sz w:val="32"/>
          <w:szCs w:val="32"/>
          <w:highlight w:val="none"/>
          <w:lang w:val="en-US" w:eastAsia="zh-CN"/>
        </w:rPr>
        <w:t>三、项目资金使用情况</w:t>
      </w:r>
      <w:bookmarkEnd w:id="10"/>
      <w:bookmarkEnd w:id="11"/>
      <w:bookmarkEnd w:id="12"/>
      <w:bookmarkEnd w:id="13"/>
      <w:bookmarkEnd w:id="14"/>
      <w:bookmarkEnd w:id="1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该项目2022年度共安排资金1318.00万元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2022年度额度未使用，2023年累计支出金额773.268万元，全部为工程款支出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结余资金0.00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具体见下表：</w:t>
      </w:r>
    </w:p>
    <w:p>
      <w:pPr>
        <w:pageBreakBefore w:val="0"/>
        <w:kinsoku/>
        <w:wordWrap/>
        <w:overflowPunct/>
        <w:topLinePunct w:val="0"/>
        <w:autoSpaceDE/>
        <w:autoSpaceDN/>
        <w:bidi w:val="0"/>
        <w:adjustRightInd/>
        <w:snapToGrid/>
        <w:spacing w:line="560" w:lineRule="exact"/>
        <w:jc w:val="center"/>
        <w:rPr>
          <w:rFonts w:hint="eastAsia"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rPr>
        <w:t xml:space="preserve"> </w:t>
      </w:r>
      <w:r>
        <w:rPr>
          <w:rFonts w:hint="eastAsia" w:ascii="仿宋" w:hAnsi="仿宋" w:eastAsia="仿宋" w:cs="仿宋"/>
          <w:sz w:val="30"/>
          <w:szCs w:val="30"/>
          <w:highlight w:val="none"/>
          <w:lang w:val="en-US" w:eastAsia="zh-CN"/>
        </w:rPr>
        <w:t>曲阳县自然资源和规划局孟良河治理项目支出明细表</w:t>
      </w:r>
      <w:r>
        <w:rPr>
          <w:rFonts w:hint="eastAsia" w:ascii="仿宋_GB2312" w:eastAsia="仿宋_GB2312" w:cs="Times New Roman"/>
          <w:b w:val="0"/>
          <w:bCs w:val="0"/>
          <w:color w:val="000000"/>
          <w:sz w:val="24"/>
          <w:szCs w:val="24"/>
          <w:highlight w:val="none"/>
        </w:rPr>
        <w:t xml:space="preserve">                                                     </w:t>
      </w:r>
    </w:p>
    <w:p>
      <w:pPr>
        <w:widowControl/>
        <w:spacing w:line="560" w:lineRule="exact"/>
        <w:jc w:val="center"/>
        <w:textAlignment w:val="center"/>
        <w:rPr>
          <w:rFonts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lang w:val="en-US" w:eastAsia="zh-CN"/>
        </w:rPr>
        <w:t xml:space="preserve">                                                                     </w:t>
      </w:r>
      <w:r>
        <w:rPr>
          <w:rFonts w:hint="eastAsia" w:ascii="仿宋_GB2312" w:eastAsia="仿宋_GB2312" w:cs="Times New Roman"/>
          <w:b w:val="0"/>
          <w:bCs w:val="0"/>
          <w:color w:val="000000"/>
          <w:sz w:val="24"/>
          <w:szCs w:val="24"/>
          <w:highlight w:val="none"/>
        </w:rPr>
        <w:t xml:space="preserve">  单位：万元</w:t>
      </w:r>
    </w:p>
    <w:tbl>
      <w:tblPr>
        <w:tblStyle w:val="18"/>
        <w:tblW w:w="9689" w:type="dxa"/>
        <w:tblInd w:w="60" w:type="dxa"/>
        <w:tblLayout w:type="fixed"/>
        <w:tblCellMar>
          <w:top w:w="0" w:type="dxa"/>
          <w:left w:w="108" w:type="dxa"/>
          <w:bottom w:w="0" w:type="dxa"/>
          <w:right w:w="108" w:type="dxa"/>
        </w:tblCellMar>
      </w:tblPr>
      <w:tblGrid>
        <w:gridCol w:w="800"/>
        <w:gridCol w:w="1023"/>
        <w:gridCol w:w="4022"/>
        <w:gridCol w:w="2022"/>
        <w:gridCol w:w="1822"/>
      </w:tblGrid>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序号</w:t>
            </w:r>
          </w:p>
        </w:tc>
        <w:tc>
          <w:tcPr>
            <w:tcW w:w="1023"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内容</w:t>
            </w:r>
          </w:p>
        </w:tc>
        <w:tc>
          <w:tcPr>
            <w:tcW w:w="4022"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公司名称</w:t>
            </w:r>
          </w:p>
        </w:tc>
        <w:tc>
          <w:tcPr>
            <w:tcW w:w="2022"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累计支付金额</w:t>
            </w:r>
          </w:p>
        </w:tc>
        <w:tc>
          <w:tcPr>
            <w:tcW w:w="1822" w:type="dxa"/>
            <w:tcBorders>
              <w:top w:val="single" w:color="auto" w:sz="4" w:space="0"/>
              <w:left w:val="nil"/>
              <w:bottom w:val="single" w:color="auto" w:sz="4" w:space="0"/>
              <w:right w:val="single" w:color="auto" w:sz="4" w:space="0"/>
            </w:tcBorders>
            <w:noWrap/>
            <w:vAlign w:val="center"/>
          </w:tcPr>
          <w:p>
            <w:pPr>
              <w:widowControl/>
              <w:jc w:val="center"/>
              <w:rPr>
                <w:rFonts w:hint="default"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备注</w:t>
            </w:r>
          </w:p>
        </w:tc>
      </w:tr>
      <w:tr>
        <w:tblPrEx>
          <w:tblCellMar>
            <w:top w:w="0" w:type="dxa"/>
            <w:left w:w="108" w:type="dxa"/>
            <w:bottom w:w="0" w:type="dxa"/>
            <w:right w:w="108" w:type="dxa"/>
          </w:tblCellMar>
        </w:tblPrEx>
        <w:trPr>
          <w:trHeight w:val="553"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1</w:t>
            </w:r>
          </w:p>
        </w:tc>
        <w:tc>
          <w:tcPr>
            <w:tcW w:w="1023" w:type="dxa"/>
            <w:vMerge w:val="restart"/>
            <w:tcBorders>
              <w:top w:val="single" w:color="auto" w:sz="4" w:space="0"/>
              <w:left w:val="nil"/>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val="0"/>
                <w:bCs w:val="0"/>
                <w:color w:val="000000"/>
                <w:sz w:val="24"/>
                <w:szCs w:val="24"/>
                <w:highlight w:val="none"/>
                <w:lang w:val="en-US" w:eastAsia="zh-CN"/>
              </w:rPr>
            </w:pPr>
          </w:p>
          <w:p>
            <w:pPr>
              <w:keepNext w:val="0"/>
              <w:keepLines w:val="0"/>
              <w:widowControl/>
              <w:suppressLineNumbers w:val="0"/>
              <w:jc w:val="center"/>
              <w:textAlignment w:val="center"/>
              <w:rPr>
                <w:rFonts w:hint="eastAsia"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工程款</w:t>
            </w:r>
          </w:p>
          <w:p>
            <w:pPr>
              <w:keepNext w:val="0"/>
              <w:keepLines w:val="0"/>
              <w:widowControl/>
              <w:suppressLineNumbers w:val="0"/>
              <w:jc w:val="center"/>
              <w:textAlignment w:val="center"/>
              <w:rPr>
                <w:rFonts w:hint="eastAsia" w:ascii="仿宋_GB2312" w:eastAsia="仿宋_GB2312" w:cs="Times New Roman"/>
                <w:b w:val="0"/>
                <w:bCs w:val="0"/>
                <w:color w:val="000000"/>
                <w:sz w:val="24"/>
                <w:szCs w:val="24"/>
                <w:highlight w:val="none"/>
                <w:lang w:val="en-US" w:eastAsia="zh-CN"/>
              </w:rPr>
            </w:pPr>
          </w:p>
        </w:tc>
        <w:tc>
          <w:tcPr>
            <w:tcW w:w="4022"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u w:val="none"/>
                <w:lang w:val="en-US" w:eastAsia="zh-CN" w:bidi="ar"/>
              </w:rPr>
              <w:t xml:space="preserve"> 中国地质工程集团有限公司 </w:t>
            </w:r>
          </w:p>
        </w:tc>
        <w:tc>
          <w:tcPr>
            <w:tcW w:w="2022"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right"/>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u w:val="none"/>
                <w:lang w:val="en-US" w:eastAsia="zh-CN" w:bidi="ar"/>
              </w:rPr>
              <w:t xml:space="preserve"> 926,760.00 </w:t>
            </w:r>
          </w:p>
        </w:tc>
        <w:tc>
          <w:tcPr>
            <w:tcW w:w="1822"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北台段 </w:t>
            </w:r>
          </w:p>
        </w:tc>
      </w:tr>
      <w:tr>
        <w:tblPrEx>
          <w:tblCellMar>
            <w:top w:w="0" w:type="dxa"/>
            <w:left w:w="108" w:type="dxa"/>
            <w:bottom w:w="0" w:type="dxa"/>
            <w:right w:w="108" w:type="dxa"/>
          </w:tblCellMar>
        </w:tblPrEx>
        <w:trPr>
          <w:trHeight w:val="57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2</w:t>
            </w:r>
          </w:p>
        </w:tc>
        <w:tc>
          <w:tcPr>
            <w:tcW w:w="1023" w:type="dxa"/>
            <w:vMerge w:val="continue"/>
            <w:tcBorders>
              <w:left w:val="nil"/>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val="0"/>
                <w:bCs w:val="0"/>
                <w:color w:val="000000"/>
                <w:sz w:val="24"/>
                <w:szCs w:val="24"/>
                <w:highlight w:val="none"/>
                <w:lang w:val="en-US" w:eastAsia="zh-CN"/>
              </w:rPr>
            </w:pPr>
          </w:p>
        </w:tc>
        <w:tc>
          <w:tcPr>
            <w:tcW w:w="4022"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u w:val="none"/>
                <w:lang w:val="en-US" w:eastAsia="zh-CN" w:bidi="ar"/>
              </w:rPr>
              <w:t xml:space="preserve"> 河北地矿建设工程集团有限责任公司 </w:t>
            </w:r>
          </w:p>
        </w:tc>
        <w:tc>
          <w:tcPr>
            <w:tcW w:w="2022"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2,070,730.00 </w:t>
            </w:r>
          </w:p>
        </w:tc>
        <w:tc>
          <w:tcPr>
            <w:tcW w:w="1822"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郎家庄段 </w:t>
            </w:r>
          </w:p>
        </w:tc>
      </w:tr>
      <w:tr>
        <w:tblPrEx>
          <w:tblCellMar>
            <w:top w:w="0" w:type="dxa"/>
            <w:left w:w="108" w:type="dxa"/>
            <w:bottom w:w="0" w:type="dxa"/>
            <w:right w:w="108" w:type="dxa"/>
          </w:tblCellMar>
        </w:tblPrEx>
        <w:trPr>
          <w:trHeight w:val="541"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3</w:t>
            </w:r>
          </w:p>
        </w:tc>
        <w:tc>
          <w:tcPr>
            <w:tcW w:w="1023" w:type="dxa"/>
            <w:vMerge w:val="continue"/>
            <w:tcBorders>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val="0"/>
                <w:bCs w:val="0"/>
                <w:color w:val="000000"/>
                <w:sz w:val="24"/>
                <w:szCs w:val="24"/>
                <w:highlight w:val="none"/>
                <w:lang w:val="en-US" w:eastAsia="zh-CN"/>
              </w:rPr>
            </w:pPr>
          </w:p>
        </w:tc>
        <w:tc>
          <w:tcPr>
            <w:tcW w:w="402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u w:val="none"/>
                <w:lang w:val="en-US" w:eastAsia="zh-CN" w:bidi="ar"/>
              </w:rPr>
              <w:t xml:space="preserve"> 河北九华勘察测绘有限责任公司 </w:t>
            </w:r>
          </w:p>
        </w:tc>
        <w:tc>
          <w:tcPr>
            <w:tcW w:w="202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right"/>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4,735,190.00 </w:t>
            </w:r>
          </w:p>
        </w:tc>
        <w:tc>
          <w:tcPr>
            <w:tcW w:w="182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孝墓段 </w:t>
            </w:r>
          </w:p>
        </w:tc>
      </w:tr>
      <w:tr>
        <w:tblPrEx>
          <w:tblCellMar>
            <w:top w:w="0" w:type="dxa"/>
            <w:left w:w="108" w:type="dxa"/>
            <w:bottom w:w="0" w:type="dxa"/>
            <w:right w:w="108" w:type="dxa"/>
          </w:tblCellMar>
        </w:tblPrEx>
        <w:trPr>
          <w:trHeight w:val="619"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c>
          <w:tcPr>
            <w:tcW w:w="504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eastAsia="仿宋_GB2312" w:cs="Times New Roman"/>
                <w:b/>
                <w:bCs/>
                <w:color w:val="000000"/>
                <w:sz w:val="24"/>
                <w:szCs w:val="24"/>
                <w:highlight w:val="none"/>
                <w:lang w:val="en-US" w:eastAsia="zh-CN"/>
              </w:rPr>
              <w:t>合计</w:t>
            </w:r>
          </w:p>
        </w:tc>
        <w:tc>
          <w:tcPr>
            <w:tcW w:w="202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 xml:space="preserve"> 7,732,680.00 </w:t>
            </w:r>
          </w:p>
        </w:tc>
        <w:tc>
          <w:tcPr>
            <w:tcW w:w="182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p>
        </w:tc>
      </w:tr>
    </w:tbl>
    <w:p>
      <w:pPr>
        <w:pStyle w:val="2"/>
        <w:rPr>
          <w:rFonts w:hint="eastAsia"/>
          <w:highlight w:val="none"/>
          <w:lang w:val="en-US" w:eastAsia="zh-CN"/>
        </w:rPr>
      </w:pP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根据2022年10月28日，保定市财政局 保定市自然资源和规划局《关于预拨2022年中央重点生态保护修复治理资金的通知》（保财资环〔2022〕54号）文件，预拨曲阳县2022年度重点生态保护修复治理资金1318.00万元；2023年3月8日保定市财政局 保定市自然资源和规划局《关于调整中央重点生态保护修复治理资金的通知》（保财资环〔2023〕11号）文件，调减曲阳县2022年度重点生态保护修复治理资金1318.00万元；2023年2月28日河北省财政厅 河北省自然资源厅《关于调整中央重点生态保护修复治理资金的通知》（冀财资环〔2023〕14号）文件显示，重新安排重点生态保护修复治理资金2834.00万元，预算下达到曲阳县自然资源和规划局，并由曲阳县自然资源和规划局进行集中支付。</w:t>
      </w:r>
    </w:p>
    <w:p>
      <w:pPr>
        <w:pStyle w:val="2"/>
        <w:ind w:left="0" w:leftChars="0" w:firstLine="600" w:firstLineChars="200"/>
        <w:rPr>
          <w:rFonts w:hint="eastAsia"/>
          <w:highlight w:val="none"/>
          <w:lang w:val="en-US" w:eastAsia="zh-CN"/>
        </w:rPr>
      </w:pPr>
      <w:r>
        <w:rPr>
          <w:rFonts w:hint="eastAsia" w:ascii="仿宋" w:hAnsi="仿宋" w:eastAsia="仿宋" w:cs="仿宋"/>
          <w:sz w:val="30"/>
          <w:szCs w:val="30"/>
          <w:highlight w:val="none"/>
          <w:lang w:val="en-US" w:eastAsia="zh-CN"/>
        </w:rPr>
        <w:t>2022年度，下达曲阳县自然资源和规划局重点生态保护修复治理资金1318.00万元，但该项目三个标段分别于2022年底确认中标单位，项目资金2022年度无法形成支出，该项目于2023年2-3月支付工程预付款及进度款共计773.268万元，项目资金通过国库集中支付，无结余资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562" w:leftChars="0"/>
        <w:jc w:val="left"/>
        <w:textAlignment w:val="auto"/>
        <w:rPr>
          <w:rFonts w:hint="eastAsia" w:ascii="仿宋" w:hAnsi="仿宋" w:eastAsia="仿宋" w:cs="仿宋"/>
          <w:b/>
          <w:bCs/>
          <w:sz w:val="30"/>
          <w:szCs w:val="30"/>
          <w:highlight w:val="none"/>
          <w:lang w:val="en-US" w:eastAsia="zh-CN"/>
        </w:rPr>
      </w:pPr>
      <w:bookmarkStart w:id="16" w:name="_Toc21403"/>
      <w:bookmarkStart w:id="17" w:name="_Toc21592"/>
      <w:bookmarkStart w:id="18" w:name="_Toc83630320"/>
      <w:bookmarkStart w:id="19" w:name="_Toc18734"/>
      <w:bookmarkStart w:id="20" w:name="_Toc83631030"/>
      <w:bookmarkStart w:id="21" w:name="_Toc14351"/>
      <w:r>
        <w:rPr>
          <w:rFonts w:hint="eastAsia" w:ascii="仿宋" w:hAnsi="仿宋" w:eastAsia="仿宋" w:cs="仿宋"/>
          <w:b/>
          <w:bCs/>
          <w:sz w:val="30"/>
          <w:szCs w:val="30"/>
          <w:highlight w:val="none"/>
          <w:lang w:val="en-US" w:eastAsia="zh-CN"/>
        </w:rPr>
        <w:t>四、绩效评估工作开展情况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（一）绩效评估目的</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为了进一步强化部门支出责任，提高部门绩效意识，优化资源配置，控制节约成本，切实提供项目资金管理水平和使用效益，及时掌握项目在执行过程中产生的效果和存在的不足，特别是在资金使用方面，将评估结果与当年预算安排挂钩，作为预算合法有效执行的重要保障，并作为完善政策、分配资金、改善管理的重要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绩效评估设计过程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.收集资料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工作组在项目实施单位收集、整理被评估项目基础资料及相关信息，对项目情况进行初步了解。</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.绩效评估具体实施</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我们通过查看项目相关政策文件，项目</w:t>
      </w:r>
      <w:r>
        <w:rPr>
          <w:rFonts w:hint="eastAsia" w:ascii="仿宋" w:hAnsi="仿宋" w:eastAsia="仿宋" w:cs="仿宋"/>
          <w:sz w:val="30"/>
          <w:szCs w:val="30"/>
          <w:highlight w:val="none"/>
          <w:lang w:val="en-US" w:eastAsia="zh-CN"/>
        </w:rPr>
        <w:t>的相关管理制度</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档案资料、</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收付明细账</w:t>
      </w:r>
      <w:r>
        <w:rPr>
          <w:rFonts w:hint="eastAsia" w:ascii="仿宋" w:hAnsi="仿宋" w:eastAsia="仿宋" w:cs="仿宋"/>
          <w:sz w:val="30"/>
          <w:szCs w:val="30"/>
          <w:highlight w:val="none"/>
          <w:lang w:eastAsia="zh-CN"/>
        </w:rPr>
        <w:t>等相关资料，评估项目实施的效果，并按照评估指标体系对相应事项进行分数评定。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3.撰写绩效报告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工作组根据现场核实、数据分析情况，撰写绩效评估报告</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lang w:eastAsia="zh-CN"/>
        </w:rPr>
        <w:t>经过内部讨论、与项目实施单位交换沟通，形成绩效评估项目报告初稿。</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（三）绩效评估框架</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1.绩效评估原则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（1）价值导向原则：财政支出绩效评估体系应能够反映财政支出的经济性、效益性、有效性原则，体现财政部门和项目主管部门的价值导向。</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（2）重要性原则：根据指标在整个指标体系的地位和作用进行筛选，选择最具代表性、最能反映评估要求的指标。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（3）可比性原则：在相似项目之间有共同的指标，不同项目之间的衡量结果可以相互比较。</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（4）综合性原则：将定性指标和定量指标相结合，定性分析是定量分析的基础，定量分析是定性分析的深化，两者相结合系统反映财政支出所产生的社会效益。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（5）经济性原则：指标的选取要考虑现实条件及可操作性，数据的获得应符合成本效益原则，在合理成本的基础上收集信息。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2.绩效评估的评估方法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本次评估采取定量和定性评估相结合、综合评估相结合的方式，运用审查法和现场查勘法开展绩效评估工作。</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（1）审查法：通过审查被评估单位的项目档案、项目</w:t>
      </w:r>
      <w:r>
        <w:rPr>
          <w:rFonts w:hint="eastAsia" w:ascii="仿宋" w:hAnsi="仿宋" w:eastAsia="仿宋" w:cs="仿宋"/>
          <w:sz w:val="30"/>
          <w:szCs w:val="30"/>
          <w:highlight w:val="none"/>
          <w:lang w:val="en-US" w:eastAsia="zh-CN"/>
        </w:rPr>
        <w:t>管理制度</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支付凭证</w:t>
      </w:r>
      <w:r>
        <w:rPr>
          <w:rFonts w:hint="eastAsia" w:ascii="仿宋" w:hAnsi="仿宋" w:eastAsia="仿宋" w:cs="仿宋"/>
          <w:sz w:val="30"/>
          <w:szCs w:val="30"/>
          <w:highlight w:val="none"/>
          <w:lang w:eastAsia="zh-CN"/>
        </w:rPr>
        <w:t>、资金支付</w:t>
      </w:r>
      <w:r>
        <w:rPr>
          <w:rFonts w:hint="eastAsia" w:ascii="仿宋" w:hAnsi="仿宋" w:eastAsia="仿宋" w:cs="仿宋"/>
          <w:sz w:val="30"/>
          <w:szCs w:val="30"/>
          <w:highlight w:val="none"/>
          <w:lang w:val="en-US" w:eastAsia="zh-CN"/>
        </w:rPr>
        <w:t>明细账</w:t>
      </w:r>
      <w:r>
        <w:rPr>
          <w:rFonts w:hint="eastAsia" w:ascii="仿宋" w:hAnsi="仿宋" w:eastAsia="仿宋" w:cs="仿宋"/>
          <w:sz w:val="30"/>
          <w:szCs w:val="30"/>
          <w:highlight w:val="none"/>
          <w:lang w:eastAsia="zh-CN"/>
        </w:rPr>
        <w:t>等项目资料，分析资金支出的合理性和合规性。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（2）现场查勘法：通过对项目的现场查勘，了解目标的实施情况，进而评估项目绩效目标的完成情况。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3.绩效评估标准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绩效评估标准：是指衡量财政支出绩效目标完成程度的尺度，绩效评估标准。具体包括：</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（1）计划标准：是指以预先制定的目标、计划、预算、标准等数据作为评估的标准。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（2）行业标准：是指参照国家权威部门公布的行业指标数据制定的评估标准。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（3）历史标准：是指参照同类指标的历史数据制定的评估标准。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（4）其他标准：其他有参考价值的标准。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4.绩效评估依据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22" w:name="_Toc16243"/>
      <w:bookmarkStart w:id="23" w:name="_Toc12911"/>
      <w:bookmarkStart w:id="24" w:name="_Toc5980"/>
      <w:r>
        <w:rPr>
          <w:rFonts w:hint="eastAsia" w:ascii="仿宋" w:hAnsi="仿宋" w:eastAsia="仿宋" w:cs="仿宋"/>
          <w:sz w:val="30"/>
          <w:szCs w:val="30"/>
          <w:highlight w:val="none"/>
        </w:rPr>
        <w:t>（1）《中华人民共和国预算法》(主席令第21号)；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 xml:space="preserve">《中共中央国务院关于全面实施预算绩效管理的意见》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）《关于印发〈财政支出绩效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管理暂行办法〉的通知》（财预〔2011〕285号）；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《河北省财政支出绩效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）《关于印发&lt;预算绩效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 xml:space="preserve">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）《河北省项目支出绩效指标框架体系》（冀财预[2016]</w:t>
      </w:r>
      <w:r>
        <w:rPr>
          <w:rFonts w:hint="eastAsia" w:ascii="仿宋" w:hAnsi="仿宋" w:eastAsia="仿宋" w:cs="仿宋"/>
          <w:sz w:val="30"/>
          <w:szCs w:val="30"/>
          <w:highlight w:val="none"/>
          <w:lang w:eastAsia="zh-CN"/>
        </w:rPr>
        <w:t>94</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管理办法》(财预[2020]10号)；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曲阳县财政局关于印发2023年县级财政重点绩效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计划的通知</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曲财</w:t>
      </w:r>
      <w:r>
        <w:rPr>
          <w:rFonts w:hint="eastAsia" w:ascii="仿宋" w:hAnsi="仿宋" w:eastAsia="仿宋" w:cs="仿宋"/>
          <w:sz w:val="30"/>
          <w:szCs w:val="30"/>
          <w:highlight w:val="none"/>
        </w:rPr>
        <w:t>[20</w:t>
      </w:r>
      <w:r>
        <w:rPr>
          <w:rFonts w:hint="eastAsia" w:ascii="仿宋" w:hAnsi="仿宋" w:eastAsia="仿宋" w:cs="仿宋"/>
          <w:sz w:val="30"/>
          <w:szCs w:val="30"/>
          <w:highlight w:val="none"/>
          <w:lang w:val="en-US" w:eastAsia="zh-CN"/>
        </w:rPr>
        <w:t>23</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rPr>
      </w:pPr>
      <w:r>
        <w:rPr>
          <w:rFonts w:hint="eastAsia" w:ascii="仿宋" w:hAnsi="仿宋" w:eastAsia="仿宋" w:cs="仿宋"/>
          <w:sz w:val="30"/>
          <w:szCs w:val="30"/>
          <w:highlight w:val="none"/>
          <w:lang w:val="en-US" w:eastAsia="zh-CN"/>
        </w:rPr>
        <w:t>（9）相关预算指标文及其他文件依据。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绩效评估指标体系</w:t>
      </w:r>
      <w:bookmarkEnd w:id="22"/>
      <w:bookmarkEnd w:id="23"/>
      <w:bookmarkEnd w:id="2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）指标设定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绩效指标指用于测量公共支出效果的指数或指数体系。绩效指标可以是某一独立指标，也可以是由多项指标组成的体系。科学的绩效指标是实现公共管理科学化的前提。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评估指标体系是根据财政支出项目进行评估的目的、财政支出项目的绩效内容，以及财政支出指标体系的设计原则，采用适当的方法，确定财政支出项目的绩效评估指标，然后，运用适当的方法，确定各个指标相对于项目总体绩效的重要性，并用数量化的方法表示出来，即赋予每个指标一定的权重；确定各个评估指标的参照标准，即明确指标的标准值。</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）指标权重设定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该项目管理类指标占全部权重的</w:t>
      </w:r>
      <w:r>
        <w:rPr>
          <w:rFonts w:hint="eastAsia" w:ascii="仿宋" w:hAnsi="仿宋" w:eastAsia="仿宋" w:cs="仿宋"/>
          <w:sz w:val="30"/>
          <w:szCs w:val="30"/>
          <w:highlight w:val="none"/>
          <w:lang w:val="en-US" w:eastAsia="zh-CN"/>
        </w:rPr>
        <w:t>60</w:t>
      </w:r>
      <w:r>
        <w:rPr>
          <w:rFonts w:hint="eastAsia" w:ascii="仿宋" w:hAnsi="仿宋" w:eastAsia="仿宋" w:cs="仿宋"/>
          <w:sz w:val="30"/>
          <w:szCs w:val="30"/>
          <w:highlight w:val="none"/>
          <w:lang w:eastAsia="zh-CN"/>
        </w:rPr>
        <w:t>%，包括项目立项、项目过程管理；项目绩效类指标占全部权重的</w:t>
      </w:r>
      <w:r>
        <w:rPr>
          <w:rFonts w:hint="eastAsia" w:ascii="仿宋" w:hAnsi="仿宋" w:eastAsia="仿宋" w:cs="仿宋"/>
          <w:sz w:val="30"/>
          <w:szCs w:val="30"/>
          <w:highlight w:val="none"/>
          <w:lang w:val="en-US" w:eastAsia="zh-CN"/>
        </w:rPr>
        <w:t>40</w:t>
      </w:r>
      <w:r>
        <w:rPr>
          <w:rFonts w:hint="eastAsia" w:ascii="仿宋" w:hAnsi="仿宋" w:eastAsia="仿宋" w:cs="仿宋"/>
          <w:sz w:val="30"/>
          <w:szCs w:val="30"/>
          <w:highlight w:val="none"/>
          <w:lang w:eastAsia="zh-CN"/>
        </w:rPr>
        <w:t>%，其中项目产出类指标占</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lang w:eastAsia="zh-CN"/>
        </w:rPr>
        <w:t>%，项目效果类指标占</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 xml:space="preserve"> </w:t>
      </w:r>
      <w:bookmarkStart w:id="25" w:name="_Toc6963"/>
      <w:bookmarkStart w:id="26" w:name="_Toc27907"/>
      <w:bookmarkStart w:id="27" w:name="_Toc22342"/>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评分方法和评分等级</w:t>
      </w:r>
      <w:bookmarkEnd w:id="25"/>
      <w:bookmarkEnd w:id="26"/>
      <w:bookmarkEnd w:id="27"/>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）评分方法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①按照《财政支出绩效评估管理暂行办法》的相关要求和国务院、省、市、县出台的的相关规定作为评估标准，采取定量和定性评估相结合的方法，对项目资料进行审核、分析。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②评估中做到重点突出</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在评估工作中，评估人员紧紧抓住评估工作的重点环节，严格按照相关文件和评估方案的要求，实事求是、客观公正地进行绩效评估工作，取得了详实、客观的评估资料。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③客观分析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首先，根据评估项目的实际情况与指标体系进行分析、比对，各项指标根据预期绩效目标值，评判实际达到的绩效目标，并给出适当得分。主要关注以下几方面：项目是否实现了年度绩效目标、项目是否在长期绩效目标上实现了预期进展、是否有助于政府战略目标和部门目标的实现等。然后，根据项目评估综合得分得出综合绩效评估等级，依据各项评估结果，综合各方面因素，填写项目绩效评估综合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）评估等级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指标体系设定满分为100分，绩效评估分值≥9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为优；80≤分值&lt;9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为良；60≤分值&lt;80为合格；60分以下为不合格。按照绩效评估指标对评估结果进行逐级、逐项分析，形成综合评估得分及等级。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28" w:name="_Toc31732"/>
      <w:bookmarkStart w:id="29" w:name="_Toc501368350"/>
      <w:bookmarkStart w:id="30" w:name="_Toc5968"/>
      <w:bookmarkStart w:id="31" w:name="_Toc12583"/>
      <w:r>
        <w:rPr>
          <w:rFonts w:hint="eastAsia" w:ascii="仿宋" w:hAnsi="仿宋" w:eastAsia="仿宋" w:cs="仿宋"/>
          <w:sz w:val="30"/>
          <w:szCs w:val="30"/>
          <w:highlight w:val="none"/>
          <w:lang w:val="en-US" w:eastAsia="zh-CN"/>
        </w:rPr>
        <w:t>（四）</w:t>
      </w:r>
      <w:bookmarkEnd w:id="28"/>
      <w:bookmarkEnd w:id="29"/>
      <w:bookmarkEnd w:id="30"/>
      <w:bookmarkEnd w:id="31"/>
      <w:r>
        <w:rPr>
          <w:rFonts w:hint="eastAsia" w:ascii="仿宋" w:hAnsi="仿宋" w:eastAsia="仿宋" w:cs="仿宋"/>
          <w:sz w:val="30"/>
          <w:szCs w:val="30"/>
          <w:highlight w:val="none"/>
          <w:lang w:val="en-US" w:eastAsia="zh-CN"/>
        </w:rPr>
        <w:t>证据收集方法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评估小组对项目资料进行收集、整理</w:t>
      </w:r>
      <w:r>
        <w:rPr>
          <w:rFonts w:hint="eastAsia" w:ascii="仿宋" w:hAnsi="仿宋" w:eastAsia="仿宋" w:cs="仿宋"/>
          <w:sz w:val="30"/>
          <w:szCs w:val="30"/>
          <w:highlight w:val="none"/>
          <w:lang w:eastAsia="zh-CN"/>
        </w:rPr>
        <w:t>，并进行分析，然后将获取的资料与从现场勘查中获得的资料汇集起来，对同一指标在不同文件资料中的证据进行对比、印证、核实和补充，经过验证和确定后得到了准确、可靠和有效的证据。最后，评估小组对证据进行了判断分析，形成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（五）绩效评估实施过程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前期准备阶段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主要是组建评估工作小组，了解评估项目基本情况，设计有关基础数据表格，下发项目执行单位需要准备的资料清单等。</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信息采集复核阶段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执行单位进行初步准备后，评估小组先后深入项目执行单位以实地察看、面访、查阅相关资料、核查财务凭证及账簿等多种形式采集信息，复核基础数据和评估证据，并多次就相关资料的补充、完善进行沟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数据分析和报告形成阶段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完成系列基础性、前置性工作后，评估小组开始集中精力进行数据分析及指标计算比较，按规范格式撰写绩效评估报告初稿，并送有关方面征求意见，进一步修改后出具正式报告。</w:t>
      </w:r>
    </w:p>
    <w:bookmarkEnd w:id="16"/>
    <w:bookmarkEnd w:id="17"/>
    <w:bookmarkEnd w:id="18"/>
    <w:bookmarkEnd w:id="19"/>
    <w:bookmarkEnd w:id="20"/>
    <w:bookmarkEnd w:id="21"/>
    <w:p>
      <w:pPr>
        <w:pStyle w:val="3"/>
        <w:spacing w:beforeAutospacing="0" w:afterAutospacing="0" w:line="360" w:lineRule="auto"/>
        <w:ind w:firstLine="602" w:firstLineChars="200"/>
        <w:rPr>
          <w:rFonts w:hint="eastAsia" w:ascii="仿宋" w:hAnsi="仿宋" w:eastAsia="仿宋" w:cs="仿宋"/>
          <w:b w:val="0"/>
          <w:kern w:val="2"/>
          <w:sz w:val="30"/>
          <w:szCs w:val="30"/>
          <w:highlight w:val="none"/>
          <w:lang w:val="en-US" w:eastAsia="zh-CN" w:bidi="ar-SA"/>
        </w:rPr>
      </w:pPr>
      <w:bookmarkStart w:id="32" w:name="_Toc32473"/>
      <w:bookmarkStart w:id="33" w:name="_Toc28493"/>
      <w:bookmarkStart w:id="34" w:name="_Toc501368358"/>
      <w:bookmarkStart w:id="35" w:name="_Toc8822"/>
      <w:bookmarkStart w:id="36" w:name="_Toc32445"/>
      <w:bookmarkStart w:id="37" w:name="_Toc83630330"/>
      <w:bookmarkStart w:id="38" w:name="_Toc12908"/>
      <w:bookmarkStart w:id="39" w:name="_Toc501368359"/>
      <w:bookmarkStart w:id="40" w:name="_Toc12058"/>
      <w:bookmarkStart w:id="41" w:name="_Toc83631040"/>
      <w:r>
        <w:rPr>
          <w:rFonts w:hint="eastAsia" w:ascii="仿宋" w:hAnsi="仿宋" w:eastAsia="仿宋" w:cs="仿宋"/>
          <w:b/>
          <w:bCs/>
          <w:kern w:val="2"/>
          <w:sz w:val="30"/>
          <w:szCs w:val="30"/>
          <w:highlight w:val="none"/>
          <w:lang w:val="en-US" w:eastAsia="zh-CN" w:bidi="ar-SA"/>
        </w:rPr>
        <w:t>五、项目执行及绩效实现情况</w:t>
      </w:r>
      <w:bookmarkEnd w:id="32"/>
      <w:bookmarkEnd w:id="33"/>
      <w:bookmarkEnd w:id="34"/>
      <w:bookmarkEnd w:id="35"/>
    </w:p>
    <w:p>
      <w:pPr>
        <w:spacing w:line="360" w:lineRule="auto"/>
        <w:ind w:firstLine="600" w:firstLineChars="200"/>
        <w:jc w:val="left"/>
        <w:rPr>
          <w:rFonts w:hint="eastAsia" w:ascii="仿宋" w:hAnsi="仿宋" w:eastAsia="仿宋" w:cs="仿宋"/>
          <w:b w:val="0"/>
          <w:kern w:val="2"/>
          <w:sz w:val="30"/>
          <w:szCs w:val="30"/>
          <w:highlight w:val="none"/>
          <w:lang w:val="en-US" w:eastAsia="zh-CN" w:bidi="ar-SA"/>
        </w:rPr>
      </w:pPr>
      <w:r>
        <w:rPr>
          <w:rFonts w:hint="eastAsia" w:ascii="仿宋" w:hAnsi="仿宋" w:eastAsia="仿宋" w:cs="仿宋"/>
          <w:b w:val="0"/>
          <w:kern w:val="2"/>
          <w:sz w:val="30"/>
          <w:szCs w:val="30"/>
          <w:highlight w:val="none"/>
          <w:lang w:val="en-US" w:eastAsia="zh-CN" w:bidi="ar-SA"/>
        </w:rPr>
        <w:t>通过对该单位提供的项目资料和现场实地检查，该项目综合得分94分，评估等级为“优”。各项得分情况明细如下：</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（一）项目立项（</w:t>
      </w:r>
      <w:r>
        <w:rPr>
          <w:rFonts w:hint="eastAsia" w:ascii="仿宋" w:hAnsi="仿宋" w:eastAsia="仿宋" w:cs="仿宋"/>
          <w:b w:val="0"/>
          <w:bCs w:val="0"/>
          <w:sz w:val="30"/>
          <w:szCs w:val="30"/>
          <w:highlight w:val="none"/>
          <w:lang w:val="en-US" w:eastAsia="zh-CN"/>
        </w:rPr>
        <w:t>15</w:t>
      </w:r>
      <w:r>
        <w:rPr>
          <w:rFonts w:hint="eastAsia" w:ascii="仿宋" w:hAnsi="仿宋" w:eastAsia="仿宋" w:cs="仿宋"/>
          <w:b w:val="0"/>
          <w:bCs w:val="0"/>
          <w:sz w:val="30"/>
          <w:szCs w:val="30"/>
          <w:highlight w:val="none"/>
        </w:rPr>
        <w:t>分）</w:t>
      </w:r>
      <w:bookmarkEnd w:id="36"/>
      <w:bookmarkEnd w:id="37"/>
      <w:bookmarkEnd w:id="38"/>
      <w:bookmarkEnd w:id="39"/>
      <w:bookmarkEnd w:id="40"/>
      <w:bookmarkEnd w:id="4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8"/>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482" w:hRule="exac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529" w:hRule="exac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15</w:t>
            </w:r>
            <w:r>
              <w:rPr>
                <w:rFonts w:hint="eastAsia" w:ascii="仿宋" w:hAnsi="仿宋" w:eastAsia="仿宋" w:cs="仿宋"/>
                <w:color w:val="000000"/>
                <w:kern w:val="0"/>
                <w:sz w:val="24"/>
                <w:szCs w:val="24"/>
                <w:highlight w:val="none"/>
              </w:rPr>
              <w:t>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决策机制（</w:t>
            </w:r>
            <w:r>
              <w:rPr>
                <w:rFonts w:hint="eastAsia" w:ascii="仿宋" w:hAnsi="仿宋" w:eastAsia="仿宋" w:cs="仿宋"/>
                <w:color w:val="000000"/>
                <w:kern w:val="0"/>
                <w:sz w:val="24"/>
                <w:szCs w:val="24"/>
                <w:highlight w:val="none"/>
                <w:lang w:val="en-US" w:eastAsia="zh-CN"/>
              </w:rPr>
              <w:t>10</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rPr>
              <w:t>项目设立</w:t>
            </w:r>
            <w:r>
              <w:rPr>
                <w:rFonts w:hint="eastAsia" w:ascii="仿宋" w:hAnsi="仿宋" w:eastAsia="仿宋" w:cs="仿宋"/>
                <w:color w:val="000000"/>
                <w:kern w:val="0"/>
                <w:sz w:val="24"/>
                <w:szCs w:val="24"/>
                <w:highlight w:val="none"/>
                <w:lang w:val="en-US" w:eastAsia="zh-CN"/>
              </w:rPr>
              <w:t>规范性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5</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5</w:t>
            </w:r>
          </w:p>
        </w:tc>
      </w:tr>
      <w:tr>
        <w:tblPrEx>
          <w:tblCellMar>
            <w:top w:w="15" w:type="dxa"/>
            <w:left w:w="15" w:type="dxa"/>
            <w:bottom w:w="15" w:type="dxa"/>
            <w:right w:w="15" w:type="dxa"/>
          </w:tblCellMar>
        </w:tblPrEx>
        <w:trPr>
          <w:trHeight w:val="69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5</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5</w:t>
            </w:r>
          </w:p>
        </w:tc>
      </w:tr>
      <w:tr>
        <w:tblPrEx>
          <w:tblCellMar>
            <w:top w:w="15" w:type="dxa"/>
            <w:left w:w="15" w:type="dxa"/>
            <w:bottom w:w="15" w:type="dxa"/>
            <w:right w:w="15" w:type="dxa"/>
          </w:tblCellMar>
        </w:tblPrEx>
        <w:trPr>
          <w:trHeight w:val="56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绩效目标（</w:t>
            </w:r>
            <w:r>
              <w:rPr>
                <w:rFonts w:hint="eastAsia" w:ascii="仿宋" w:hAnsi="仿宋" w:eastAsia="仿宋" w:cs="仿宋"/>
                <w:color w:val="000000"/>
                <w:kern w:val="0"/>
                <w:sz w:val="24"/>
                <w:szCs w:val="24"/>
                <w:highlight w:val="none"/>
                <w:lang w:val="en-US" w:eastAsia="zh-CN"/>
              </w:rPr>
              <w:t>5</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2</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2</w:t>
            </w:r>
          </w:p>
        </w:tc>
      </w:tr>
      <w:tr>
        <w:tblPrEx>
          <w:tblCellMar>
            <w:top w:w="15" w:type="dxa"/>
            <w:left w:w="15" w:type="dxa"/>
            <w:bottom w:w="15" w:type="dxa"/>
            <w:right w:w="15" w:type="dxa"/>
          </w:tblCellMar>
        </w:tblPrEx>
        <w:trPr>
          <w:trHeight w:val="572"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3</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w:t>
            </w:r>
          </w:p>
        </w:tc>
      </w:tr>
      <w:tr>
        <w:tblPrEx>
          <w:tblCellMar>
            <w:top w:w="15" w:type="dxa"/>
            <w:left w:w="15" w:type="dxa"/>
            <w:bottom w:w="15" w:type="dxa"/>
            <w:right w:w="15" w:type="dxa"/>
          </w:tblCellMar>
        </w:tblPrEx>
        <w:trPr>
          <w:trHeight w:val="492" w:hRule="exac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15</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15</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1.决策机制（</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项目立项是否符合国家法规、政策规定，符合社会经济发展战略规划；项目内容设置与国家及地方政策、规划、社会需求等相关内容相符程度，决策过程是否规范。</w:t>
      </w:r>
    </w:p>
    <w:p>
      <w:pPr>
        <w:pageBreakBefore w:val="0"/>
        <w:numPr>
          <w:ilvl w:val="0"/>
          <w:numId w:val="3"/>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项目设立</w:t>
      </w:r>
      <w:r>
        <w:rPr>
          <w:rFonts w:hint="eastAsia" w:ascii="仿宋" w:hAnsi="仿宋" w:eastAsia="仿宋" w:cs="仿宋"/>
          <w:sz w:val="30"/>
          <w:szCs w:val="30"/>
          <w:highlight w:val="none"/>
          <w:lang w:val="en-US" w:eastAsia="zh-CN"/>
        </w:rPr>
        <w:t>规范性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该项目立项是否符合国家法规、政策规定，符合社会经济发展战略规划</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bookmarkStart w:id="42" w:name="_Toc21059"/>
      <w:bookmarkStart w:id="43" w:name="_Toc25534"/>
      <w:bookmarkStart w:id="44" w:name="_Toc83630427"/>
      <w:bookmarkStart w:id="45" w:name="_Toc83631041"/>
      <w:bookmarkStart w:id="46" w:name="_Toc83630331"/>
      <w:r>
        <w:rPr>
          <w:rFonts w:hint="eastAsia" w:ascii="仿宋" w:hAnsi="仿宋" w:eastAsia="仿宋" w:cs="仿宋"/>
          <w:sz w:val="30"/>
          <w:szCs w:val="30"/>
          <w:highlight w:val="none"/>
        </w:rPr>
        <w:t>经检查，该项目设立的主要依据</w:t>
      </w:r>
      <w:r>
        <w:rPr>
          <w:rFonts w:hint="eastAsia" w:ascii="仿宋" w:hAnsi="仿宋" w:eastAsia="仿宋" w:cs="仿宋"/>
          <w:sz w:val="30"/>
          <w:szCs w:val="30"/>
          <w:highlight w:val="none"/>
          <w:lang w:val="en-US" w:eastAsia="zh-CN"/>
        </w:rPr>
        <w:t>有</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①</w:t>
      </w:r>
      <w:r>
        <w:rPr>
          <w:rFonts w:hint="eastAsia" w:ascii="仿宋" w:hAnsi="仿宋" w:eastAsia="仿宋" w:cs="仿宋"/>
          <w:sz w:val="30"/>
          <w:szCs w:val="30"/>
          <w:highlight w:val="none"/>
        </w:rPr>
        <w:t>曲阳县发展和改革局《</w:t>
      </w:r>
      <w:r>
        <w:rPr>
          <w:rFonts w:hint="eastAsia" w:ascii="仿宋" w:hAnsi="仿宋" w:eastAsia="仿宋" w:cs="仿宋"/>
          <w:sz w:val="30"/>
          <w:szCs w:val="30"/>
          <w:highlight w:val="none"/>
          <w:lang w:eastAsia="zh-CN"/>
        </w:rPr>
        <w:t>关于保定市白洋淀上游历史遗留废弃矿山生态修复示范工程项目曲阳县党城乡至范家庄乡一带矿山生态修复示范工程项目2022年度(</w:t>
      </w:r>
      <w:r>
        <w:rPr>
          <w:rFonts w:hint="eastAsia" w:ascii="仿宋" w:hAnsi="仿宋" w:eastAsia="仿宋" w:cs="仿宋"/>
          <w:sz w:val="30"/>
          <w:szCs w:val="30"/>
          <w:highlight w:val="none"/>
          <w:lang w:val="en-US" w:eastAsia="zh-CN"/>
        </w:rPr>
        <w:t>郎家庄</w:t>
      </w:r>
      <w:r>
        <w:rPr>
          <w:rFonts w:hint="eastAsia" w:ascii="仿宋" w:hAnsi="仿宋" w:eastAsia="仿宋" w:cs="仿宋"/>
          <w:sz w:val="30"/>
          <w:szCs w:val="30"/>
          <w:highlight w:val="none"/>
          <w:lang w:eastAsia="zh-CN"/>
        </w:rPr>
        <w:t>段)可行性研究报告的批复</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zh-CN"/>
        </w:rPr>
        <w:t>[2022]113</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w:t>
      </w:r>
      <w:r>
        <w:rPr>
          <w:rFonts w:hint="eastAsia" w:ascii="仿宋" w:hAnsi="仿宋" w:eastAsia="仿宋" w:cs="仿宋"/>
          <w:sz w:val="30"/>
          <w:szCs w:val="30"/>
          <w:highlight w:val="none"/>
          <w:lang w:eastAsia="zh-CN"/>
        </w:rPr>
        <w:t>关于保定市白洋淀上游历史遗留废弃矿山生态修复示范工程项目曲阳县党城乡至范家庄乡一带矿山生态修复示范工程项目2022年度(</w:t>
      </w:r>
      <w:r>
        <w:rPr>
          <w:rFonts w:hint="eastAsia" w:ascii="仿宋" w:hAnsi="仿宋" w:eastAsia="仿宋" w:cs="仿宋"/>
          <w:sz w:val="30"/>
          <w:szCs w:val="30"/>
          <w:highlight w:val="none"/>
          <w:lang w:val="en-US" w:eastAsia="zh-CN"/>
        </w:rPr>
        <w:t>郎家庄</w:t>
      </w:r>
      <w:r>
        <w:rPr>
          <w:rFonts w:hint="eastAsia" w:ascii="仿宋" w:hAnsi="仿宋" w:eastAsia="仿宋" w:cs="仿宋"/>
          <w:sz w:val="30"/>
          <w:szCs w:val="30"/>
          <w:highlight w:val="none"/>
          <w:lang w:eastAsia="zh-CN"/>
        </w:rPr>
        <w:t>段)</w:t>
      </w:r>
      <w:r>
        <w:rPr>
          <w:rFonts w:hint="eastAsia" w:ascii="仿宋" w:hAnsi="仿宋" w:eastAsia="仿宋" w:cs="仿宋"/>
          <w:sz w:val="30"/>
          <w:szCs w:val="30"/>
          <w:highlight w:val="none"/>
          <w:lang w:val="en-US" w:eastAsia="zh-CN"/>
        </w:rPr>
        <w:t>初步设计</w:t>
      </w:r>
      <w:r>
        <w:rPr>
          <w:rFonts w:hint="eastAsia" w:ascii="仿宋" w:hAnsi="仿宋" w:eastAsia="仿宋" w:cs="仿宋"/>
          <w:sz w:val="30"/>
          <w:szCs w:val="30"/>
          <w:highlight w:val="none"/>
          <w:lang w:eastAsia="zh-CN"/>
        </w:rPr>
        <w:t>的批复</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zh-CN"/>
        </w:rPr>
        <w:t>[2022]117</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②</w:t>
      </w:r>
      <w:r>
        <w:rPr>
          <w:rFonts w:hint="eastAsia" w:ascii="仿宋" w:hAnsi="仿宋" w:eastAsia="仿宋" w:cs="仿宋"/>
          <w:sz w:val="30"/>
          <w:szCs w:val="30"/>
          <w:highlight w:val="none"/>
        </w:rPr>
        <w:t>曲阳县发展和改革局《</w:t>
      </w:r>
      <w:r>
        <w:rPr>
          <w:rFonts w:hint="eastAsia" w:ascii="仿宋" w:hAnsi="仿宋" w:eastAsia="仿宋" w:cs="仿宋"/>
          <w:sz w:val="30"/>
          <w:szCs w:val="30"/>
          <w:highlight w:val="none"/>
          <w:lang w:eastAsia="zh-CN"/>
        </w:rPr>
        <w:t>关于保定市白洋淀上游历史遗留废弃矿山生态修复示范工程项目曲阳县党城乡至范家庄乡一带矿山生态修复示范工程项目2022年度(北台段)可行性研究报告的批复</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zh-CN"/>
        </w:rPr>
        <w:t>[2022]114</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w:t>
      </w:r>
      <w:r>
        <w:rPr>
          <w:rFonts w:hint="eastAsia" w:ascii="仿宋" w:hAnsi="仿宋" w:eastAsia="仿宋" w:cs="仿宋"/>
          <w:sz w:val="30"/>
          <w:szCs w:val="30"/>
          <w:highlight w:val="none"/>
          <w:lang w:eastAsia="zh-CN"/>
        </w:rPr>
        <w:t>关于保定市白洋淀上游历史遗留废弃矿山生态修复示范工程项目曲阳县党城乡至范家庄乡一带矿山生态修复示范工程项目2022年度(北台段)</w:t>
      </w:r>
      <w:r>
        <w:rPr>
          <w:rFonts w:hint="eastAsia" w:ascii="仿宋" w:hAnsi="仿宋" w:eastAsia="仿宋" w:cs="仿宋"/>
          <w:sz w:val="30"/>
          <w:szCs w:val="30"/>
          <w:highlight w:val="none"/>
          <w:lang w:val="en-US" w:eastAsia="zh-CN"/>
        </w:rPr>
        <w:t>初步设计</w:t>
      </w:r>
      <w:r>
        <w:rPr>
          <w:rFonts w:hint="eastAsia" w:ascii="仿宋" w:hAnsi="仿宋" w:eastAsia="仿宋" w:cs="仿宋"/>
          <w:sz w:val="30"/>
          <w:szCs w:val="30"/>
          <w:highlight w:val="none"/>
          <w:lang w:eastAsia="zh-CN"/>
        </w:rPr>
        <w:t>的批复</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zh-CN"/>
        </w:rPr>
        <w:t>[2022]118</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bookmarkEnd w:id="42"/>
      <w:bookmarkEnd w:id="43"/>
      <w:bookmarkEnd w:id="44"/>
      <w:bookmarkEnd w:id="45"/>
      <w:bookmarkEnd w:id="46"/>
      <w:r>
        <w:rPr>
          <w:rFonts w:hint="eastAsia" w:ascii="仿宋" w:hAnsi="仿宋" w:eastAsia="仿宋" w:cs="仿宋"/>
          <w:sz w:val="30"/>
          <w:szCs w:val="30"/>
          <w:highlight w:val="none"/>
          <w:lang w:val="en-US" w:eastAsia="zh-CN"/>
        </w:rPr>
        <w:t>③</w:t>
      </w:r>
      <w:r>
        <w:rPr>
          <w:rFonts w:hint="eastAsia" w:ascii="仿宋" w:hAnsi="仿宋" w:eastAsia="仿宋" w:cs="仿宋"/>
          <w:sz w:val="30"/>
          <w:szCs w:val="30"/>
          <w:highlight w:val="none"/>
        </w:rPr>
        <w:t>曲阳县发展和改革局《</w:t>
      </w:r>
      <w:r>
        <w:rPr>
          <w:rFonts w:hint="eastAsia" w:ascii="仿宋" w:hAnsi="仿宋" w:eastAsia="仿宋" w:cs="仿宋"/>
          <w:sz w:val="30"/>
          <w:szCs w:val="30"/>
          <w:highlight w:val="none"/>
          <w:lang w:eastAsia="zh-CN"/>
        </w:rPr>
        <w:t>关于保定市白洋淀上游历史遗留废弃矿山生态修复示范工程项目曲阳县党城乡至范家庄乡一带矿山生态修复示范工程项目2022年度(</w:t>
      </w:r>
      <w:r>
        <w:rPr>
          <w:rFonts w:hint="eastAsia" w:ascii="仿宋" w:hAnsi="仿宋" w:eastAsia="仿宋" w:cs="仿宋"/>
          <w:sz w:val="30"/>
          <w:szCs w:val="30"/>
          <w:highlight w:val="none"/>
          <w:lang w:val="en-US" w:eastAsia="zh-CN"/>
        </w:rPr>
        <w:t>孝墓</w:t>
      </w:r>
      <w:r>
        <w:rPr>
          <w:rFonts w:hint="eastAsia" w:ascii="仿宋" w:hAnsi="仿宋" w:eastAsia="仿宋" w:cs="仿宋"/>
          <w:sz w:val="30"/>
          <w:szCs w:val="30"/>
          <w:highlight w:val="none"/>
          <w:lang w:eastAsia="zh-CN"/>
        </w:rPr>
        <w:t>段)可行性研究报告的批复</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zh-CN"/>
        </w:rPr>
        <w:t>[2022]115</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w:t>
      </w:r>
      <w:r>
        <w:rPr>
          <w:rFonts w:hint="eastAsia" w:ascii="仿宋" w:hAnsi="仿宋" w:eastAsia="仿宋" w:cs="仿宋"/>
          <w:sz w:val="30"/>
          <w:szCs w:val="30"/>
          <w:highlight w:val="none"/>
          <w:lang w:eastAsia="zh-CN"/>
        </w:rPr>
        <w:t>关于保定市白洋淀上游历史遗留废弃矿山生态修复示范工程项目曲阳县党城乡至范家庄乡一带矿山生态修复示范工程项目2022年度(</w:t>
      </w:r>
      <w:r>
        <w:rPr>
          <w:rFonts w:hint="eastAsia" w:ascii="仿宋" w:hAnsi="仿宋" w:eastAsia="仿宋" w:cs="仿宋"/>
          <w:sz w:val="30"/>
          <w:szCs w:val="30"/>
          <w:highlight w:val="none"/>
          <w:lang w:val="en-US" w:eastAsia="zh-CN"/>
        </w:rPr>
        <w:t>孝墓</w:t>
      </w:r>
      <w:r>
        <w:rPr>
          <w:rFonts w:hint="eastAsia" w:ascii="仿宋" w:hAnsi="仿宋" w:eastAsia="仿宋" w:cs="仿宋"/>
          <w:sz w:val="30"/>
          <w:szCs w:val="30"/>
          <w:highlight w:val="none"/>
          <w:lang w:eastAsia="zh-CN"/>
        </w:rPr>
        <w:t>段)</w:t>
      </w:r>
      <w:r>
        <w:rPr>
          <w:rFonts w:hint="eastAsia" w:ascii="仿宋" w:hAnsi="仿宋" w:eastAsia="仿宋" w:cs="仿宋"/>
          <w:sz w:val="30"/>
          <w:szCs w:val="30"/>
          <w:highlight w:val="none"/>
          <w:lang w:val="en-US" w:eastAsia="zh-CN"/>
        </w:rPr>
        <w:t>初步设计</w:t>
      </w:r>
      <w:r>
        <w:rPr>
          <w:rFonts w:hint="eastAsia" w:ascii="仿宋" w:hAnsi="仿宋" w:eastAsia="仿宋" w:cs="仿宋"/>
          <w:sz w:val="30"/>
          <w:szCs w:val="30"/>
          <w:highlight w:val="none"/>
          <w:lang w:eastAsia="zh-CN"/>
        </w:rPr>
        <w:t>的批复</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zh-CN"/>
        </w:rPr>
        <w:t>[2022]119</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我们认为该项目设定依据充分，</w:t>
      </w:r>
      <w:r>
        <w:rPr>
          <w:rFonts w:hint="eastAsia" w:ascii="仿宋" w:hAnsi="仿宋" w:eastAsia="仿宋" w:cs="仿宋"/>
          <w:sz w:val="30"/>
          <w:szCs w:val="30"/>
          <w:highlight w:val="none"/>
          <w:lang w:val="en-US" w:eastAsia="zh-CN"/>
        </w:rPr>
        <w:t>按照规定的程序申请设立，已经过必要的可行性研究、专家论证等。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（2）项目决策必要性（</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47" w:name="_Toc24207"/>
      <w:bookmarkStart w:id="48" w:name="_Toc83631042"/>
      <w:bookmarkStart w:id="49" w:name="_Toc83630428"/>
      <w:bookmarkStart w:id="50" w:name="_Toc83630332"/>
      <w:bookmarkStart w:id="51" w:name="_Toc32149"/>
      <w:r>
        <w:rPr>
          <w:rFonts w:hint="eastAsia" w:ascii="仿宋" w:hAnsi="仿宋" w:eastAsia="仿宋" w:cs="仿宋"/>
          <w:sz w:val="30"/>
          <w:szCs w:val="30"/>
          <w:highlight w:val="none"/>
          <w:lang w:val="en-US" w:eastAsia="zh-CN"/>
        </w:rPr>
        <w:t>本次治理的矿山在经过多年的无序开采后，露天采场内废弃矿渣堆放无序，采面较高陡，地形地貌景观遭到破坏，形成较大面积的白茬山，形成较强烈的视觉冲击，破坏了当地的自然环境，由此引发的地质环境问题比较突出，一是由于项目区植被遭到严重破坏，细颗粒堆积物松散且方量较大，受风力影响，极易产生扬尘落砂，对周边大气造成较严重污染；二是采矿活动形成的废渣堆随意堆放于山坡、平台以及沟道内，在雨、雪等作用下，渣坡将进一步滑溜、威胁、侵蚀下游宝贵的土地资源，可能会造成恶劣影响、引发一系列社会问题。矿山开采所形成的高陡采面造成了较强的视觉污染冲击。</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为了解决河北省保定市白洋淀上游的历史遗留废弃矿山生态修复，中央以《财政部关于下达2022年重点生态保护修复治理资金预算（第四批）的通知》（财资环2022[92]号）对河北省下达专项资金30000万元，地方配套11538.25万元，社会资本出资9330.24万元，通过实施地质环境隐患治理、地形重塑、植被恢复、废弃土地复垦利用等方式进行矿山生态修复，提升治理区域的生态系统稳定性，改善白洋淀上游的人居环境，从源头上改善白洋淀水生态环境质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曲阳县境内河流均属海河流域、大清河水系上游南支流，最终均汇入白洋淀水库，每遇暴雨，山洪骤发，并携带大量废弃矿山带来的矿渣，造成大量水土流失，这不但严重影响了白洋淀水库的水质，带来的泥沙还会造成淤积，使水库水面抬升，影响雄安新区的安全。因此，对流域内的历史遗留废弃矿山进行治理是非常有必要的。</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经评估，该项目建设与社会需求相符，决策过程较为规范。</w:t>
      </w:r>
    </w:p>
    <w:bookmarkEnd w:id="47"/>
    <w:bookmarkEnd w:id="48"/>
    <w:bookmarkEnd w:id="49"/>
    <w:bookmarkEnd w:id="50"/>
    <w:bookmarkEnd w:id="51"/>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2.绩效目标（</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该指标共包含2个三级指标，主要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（1）合理性（</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项目绩效目标依据是否充分，与客观实际相符的情况。</w:t>
      </w:r>
    </w:p>
    <w:p>
      <w:pPr>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rPr>
        <w:t>经检查，该项目的绩效目标</w:t>
      </w:r>
      <w:r>
        <w:rPr>
          <w:rFonts w:hint="eastAsia" w:ascii="仿宋" w:hAnsi="仿宋" w:eastAsia="仿宋" w:cs="仿宋"/>
          <w:sz w:val="30"/>
          <w:szCs w:val="30"/>
          <w:highlight w:val="none"/>
          <w:lang w:val="en-US" w:eastAsia="zh-CN"/>
        </w:rPr>
        <w:t>为通过项目实施，查明治理区周边基本规模特征、分布情况等，采取工程措施和生物措施，达到“消除地灾、合理利用、改善环境”的目标。</w:t>
      </w:r>
    </w:p>
    <w:p>
      <w:pPr>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该项目绩效目标是依据项目</w:t>
      </w:r>
      <w:r>
        <w:rPr>
          <w:rFonts w:hint="eastAsia" w:ascii="仿宋" w:hAnsi="仿宋" w:eastAsia="仿宋" w:cs="仿宋"/>
          <w:sz w:val="30"/>
          <w:szCs w:val="30"/>
          <w:highlight w:val="none"/>
          <w:lang w:eastAsia="zh-CN"/>
        </w:rPr>
        <w:t>可行性研究报告</w:t>
      </w:r>
      <w:r>
        <w:rPr>
          <w:rFonts w:hint="eastAsia" w:ascii="仿宋" w:hAnsi="仿宋" w:eastAsia="仿宋" w:cs="仿宋"/>
          <w:sz w:val="30"/>
          <w:szCs w:val="30"/>
          <w:highlight w:val="none"/>
        </w:rPr>
        <w:t>文件内容设定的，绩效目标设置依据较为充分</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（2）明确性（</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项目绩效指标是否清晰、细化、量化、可衡量，及其与当年工作任务的匹配情况。</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项目</w:t>
      </w:r>
      <w:r>
        <w:rPr>
          <w:rFonts w:hint="eastAsia" w:ascii="仿宋" w:hAnsi="仿宋" w:eastAsia="仿宋" w:cs="仿宋"/>
          <w:sz w:val="30"/>
          <w:szCs w:val="30"/>
          <w:highlight w:val="none"/>
        </w:rPr>
        <w:t>绩效目标表</w:t>
      </w:r>
      <w:r>
        <w:rPr>
          <w:rFonts w:hint="eastAsia" w:ascii="仿宋" w:hAnsi="仿宋" w:eastAsia="仿宋" w:cs="仿宋"/>
          <w:sz w:val="30"/>
          <w:szCs w:val="30"/>
          <w:highlight w:val="none"/>
          <w:lang w:val="en-US" w:eastAsia="zh-CN"/>
        </w:rPr>
        <w:t>中相关</w:t>
      </w:r>
      <w:r>
        <w:rPr>
          <w:rFonts w:hint="eastAsia" w:ascii="仿宋" w:hAnsi="仿宋" w:eastAsia="仿宋" w:cs="仿宋"/>
          <w:sz w:val="30"/>
          <w:szCs w:val="30"/>
          <w:highlight w:val="none"/>
        </w:rPr>
        <w:t>绩效指标</w:t>
      </w:r>
      <w:r>
        <w:rPr>
          <w:rFonts w:hint="eastAsia" w:ascii="仿宋" w:hAnsi="仿宋" w:eastAsia="仿宋" w:cs="仿宋"/>
          <w:sz w:val="30"/>
          <w:szCs w:val="30"/>
          <w:highlight w:val="none"/>
          <w:lang w:val="en-US" w:eastAsia="zh-CN"/>
        </w:rPr>
        <w:t>设定</w:t>
      </w:r>
      <w:r>
        <w:rPr>
          <w:rFonts w:hint="eastAsia" w:ascii="仿宋" w:hAnsi="仿宋" w:eastAsia="仿宋" w:cs="仿宋"/>
          <w:sz w:val="30"/>
          <w:szCs w:val="30"/>
          <w:highlight w:val="none"/>
        </w:rPr>
        <w:t>清晰、细化、量化、可衡量，</w:t>
      </w:r>
      <w:r>
        <w:rPr>
          <w:rFonts w:hint="eastAsia" w:ascii="仿宋" w:hAnsi="仿宋" w:eastAsia="仿宋" w:cs="仿宋"/>
          <w:sz w:val="30"/>
          <w:szCs w:val="30"/>
          <w:highlight w:val="none"/>
          <w:lang w:val="en-US" w:eastAsia="zh-CN"/>
        </w:rPr>
        <w:t>细化匹配了年度工作任务。</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bookmarkStart w:id="52" w:name="_Toc21302"/>
      <w:bookmarkStart w:id="53" w:name="_Toc27328"/>
      <w:bookmarkStart w:id="54" w:name="_Toc83630334"/>
      <w:bookmarkStart w:id="55" w:name="_Toc8907"/>
      <w:bookmarkStart w:id="56" w:name="_Toc83631044"/>
      <w:r>
        <w:rPr>
          <w:rFonts w:hint="eastAsia" w:ascii="仿宋" w:hAnsi="仿宋" w:eastAsia="仿宋" w:cs="仿宋"/>
          <w:b w:val="0"/>
          <w:bCs w:val="0"/>
          <w:sz w:val="30"/>
          <w:szCs w:val="30"/>
          <w:highlight w:val="none"/>
        </w:rPr>
        <w:t>（二）项目过程管理（</w:t>
      </w:r>
      <w:r>
        <w:rPr>
          <w:rFonts w:hint="eastAsia" w:ascii="仿宋" w:hAnsi="仿宋" w:eastAsia="仿宋" w:cs="仿宋"/>
          <w:b w:val="0"/>
          <w:bCs w:val="0"/>
          <w:sz w:val="30"/>
          <w:szCs w:val="30"/>
          <w:highlight w:val="none"/>
          <w:lang w:val="en-US" w:eastAsia="zh-CN"/>
        </w:rPr>
        <w:t>45</w:t>
      </w:r>
      <w:r>
        <w:rPr>
          <w:rFonts w:hint="eastAsia" w:ascii="仿宋" w:hAnsi="仿宋" w:eastAsia="仿宋" w:cs="仿宋"/>
          <w:b w:val="0"/>
          <w:bCs w:val="0"/>
          <w:sz w:val="30"/>
          <w:szCs w:val="30"/>
          <w:highlight w:val="none"/>
        </w:rPr>
        <w:t>分）</w:t>
      </w:r>
      <w:bookmarkEnd w:id="52"/>
      <w:bookmarkEnd w:id="53"/>
      <w:bookmarkEnd w:id="54"/>
      <w:bookmarkEnd w:id="55"/>
      <w:bookmarkEnd w:id="5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p>
      <w:pPr>
        <w:pStyle w:val="2"/>
        <w:rPr>
          <w:rFonts w:hint="eastAsia"/>
        </w:rPr>
      </w:pPr>
    </w:p>
    <w:tbl>
      <w:tblPr>
        <w:tblStyle w:val="18"/>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9"/>
        <w:gridCol w:w="1853"/>
        <w:gridCol w:w="2834"/>
        <w:gridCol w:w="1511"/>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7" w:hRule="exact"/>
          <w:jc w:val="center"/>
        </w:trPr>
        <w:tc>
          <w:tcPr>
            <w:tcW w:w="107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2" w:hRule="exact"/>
          <w:jc w:val="center"/>
        </w:trPr>
        <w:tc>
          <w:tcPr>
            <w:tcW w:w="1076"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45</w:t>
            </w:r>
            <w:r>
              <w:rPr>
                <w:rFonts w:hint="eastAsia" w:ascii="仿宋" w:hAnsi="仿宋" w:eastAsia="仿宋" w:cs="仿宋"/>
                <w:color w:val="000000"/>
                <w:kern w:val="0"/>
                <w:sz w:val="24"/>
                <w:szCs w:val="24"/>
                <w:highlight w:val="none"/>
              </w:rPr>
              <w:t>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24</w:t>
            </w:r>
            <w:r>
              <w:rPr>
                <w:rFonts w:hint="eastAsia" w:ascii="仿宋" w:hAnsi="仿宋" w:eastAsia="仿宋" w:cs="仿宋"/>
                <w:color w:val="000000"/>
                <w:kern w:val="0"/>
                <w:sz w:val="24"/>
                <w:szCs w:val="24"/>
                <w:highlight w:val="none"/>
              </w:rPr>
              <w:t>分）</w:t>
            </w: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专项资金</w:t>
            </w:r>
            <w:r>
              <w:rPr>
                <w:rFonts w:hint="eastAsia" w:ascii="仿宋" w:hAnsi="仿宋" w:eastAsia="仿宋" w:cs="仿宋"/>
                <w:color w:val="000000"/>
                <w:kern w:val="0"/>
                <w:sz w:val="24"/>
                <w:szCs w:val="24"/>
                <w:highlight w:val="none"/>
              </w:rPr>
              <w:t>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8</w:t>
            </w:r>
          </w:p>
        </w:tc>
        <w:tc>
          <w:tcPr>
            <w:tcW w:w="1379"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1"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会计核算</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8</w:t>
            </w:r>
          </w:p>
        </w:tc>
        <w:tc>
          <w:tcPr>
            <w:tcW w:w="1379"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资金支出合规性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8</w:t>
            </w:r>
          </w:p>
        </w:tc>
        <w:tc>
          <w:tcPr>
            <w:tcW w:w="1379"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6"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21</w:t>
            </w:r>
            <w:r>
              <w:rPr>
                <w:rFonts w:hint="eastAsia" w:ascii="仿宋" w:hAnsi="仿宋" w:eastAsia="仿宋" w:cs="仿宋"/>
                <w:color w:val="000000"/>
                <w:kern w:val="0"/>
                <w:sz w:val="24"/>
                <w:szCs w:val="24"/>
                <w:highlight w:val="none"/>
              </w:rPr>
              <w:t>分）</w:t>
            </w: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管理制度是否健全</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79"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5"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制度执行有效性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79"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项目档案资料完整性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79"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2" w:hRule="exact"/>
          <w:jc w:val="center"/>
        </w:trPr>
        <w:tc>
          <w:tcPr>
            <w:tcW w:w="3502"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45</w:t>
            </w:r>
          </w:p>
        </w:tc>
        <w:tc>
          <w:tcPr>
            <w:tcW w:w="1379"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39</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1.项目财务管理（</w:t>
      </w:r>
      <w:r>
        <w:rPr>
          <w:rFonts w:hint="eastAsia" w:ascii="仿宋" w:hAnsi="仿宋" w:eastAsia="仿宋" w:cs="仿宋"/>
          <w:sz w:val="30"/>
          <w:szCs w:val="30"/>
          <w:highlight w:val="none"/>
          <w:lang w:val="en-US" w:eastAsia="zh-CN"/>
        </w:rPr>
        <w:t>24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（1）</w:t>
      </w:r>
      <w:r>
        <w:rPr>
          <w:rFonts w:hint="eastAsia" w:ascii="仿宋" w:hAnsi="仿宋" w:eastAsia="仿宋" w:cs="仿宋"/>
          <w:sz w:val="30"/>
          <w:szCs w:val="30"/>
          <w:highlight w:val="none"/>
          <w:lang w:eastAsia="zh-CN"/>
        </w:rPr>
        <w:t>专项资金</w:t>
      </w:r>
      <w:r>
        <w:rPr>
          <w:rFonts w:hint="eastAsia" w:ascii="仿宋" w:hAnsi="仿宋" w:eastAsia="仿宋" w:cs="仿宋"/>
          <w:sz w:val="30"/>
          <w:szCs w:val="30"/>
          <w:highlight w:val="none"/>
        </w:rPr>
        <w:t>使用率（</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资金</w:t>
      </w:r>
      <w:r>
        <w:rPr>
          <w:rFonts w:hint="eastAsia" w:ascii="仿宋" w:hAnsi="仿宋" w:eastAsia="仿宋" w:cs="仿宋"/>
          <w:sz w:val="30"/>
          <w:szCs w:val="30"/>
          <w:highlight w:val="none"/>
        </w:rPr>
        <w:t>数额占</w:t>
      </w:r>
      <w:r>
        <w:rPr>
          <w:rFonts w:hint="eastAsia" w:ascii="仿宋" w:hAnsi="仿宋" w:eastAsia="仿宋" w:cs="仿宋"/>
          <w:sz w:val="30"/>
          <w:szCs w:val="30"/>
          <w:highlight w:val="none"/>
          <w:lang w:val="en-US" w:eastAsia="zh-CN"/>
        </w:rPr>
        <w:t>资金</w:t>
      </w:r>
      <w:r>
        <w:rPr>
          <w:rFonts w:hint="eastAsia" w:ascii="仿宋" w:hAnsi="仿宋" w:eastAsia="仿宋" w:cs="仿宋"/>
          <w:sz w:val="30"/>
          <w:szCs w:val="30"/>
          <w:highlight w:val="none"/>
        </w:rPr>
        <w:t>实际拨付额比例。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经检查，2022年度下达曲阳县自然资源和规划局重点生态保护修复治理资金1318.00万元，该项目三个标段分别于2022年底确认中标单位，项目资金2022年度无法形成支出，</w:t>
      </w:r>
      <w:r>
        <w:rPr>
          <w:rFonts w:hint="eastAsia" w:ascii="仿宋" w:hAnsi="仿宋" w:eastAsia="仿宋" w:cs="仿宋"/>
          <w:sz w:val="30"/>
          <w:szCs w:val="30"/>
          <w:highlight w:val="none"/>
          <w:lang w:val="en-US" w:eastAsia="zh-CN"/>
        </w:rPr>
        <w:t>实际</w:t>
      </w:r>
      <w:r>
        <w:rPr>
          <w:rFonts w:hint="eastAsia" w:ascii="仿宋" w:hAnsi="仿宋" w:eastAsia="仿宋" w:cs="仿宋"/>
          <w:sz w:val="30"/>
          <w:szCs w:val="30"/>
          <w:highlight w:val="none"/>
        </w:rPr>
        <w:t>于2023年2-3月支付工程预付款及进度款共计773.268万元，项目资金通过国库集中支付，无结余资金。</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8*100</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（2）会计核算（</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会计核算是否严格遵守有关法规及制度规定，会计核算是否规范，专项资金支付申报、审批流程是否完善、支付依据是否合法。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经检查，该项目资金</w:t>
      </w:r>
      <w:r>
        <w:rPr>
          <w:rFonts w:hint="eastAsia" w:ascii="仿宋" w:hAnsi="仿宋" w:eastAsia="仿宋" w:cs="仿宋"/>
          <w:sz w:val="30"/>
          <w:szCs w:val="30"/>
          <w:highlight w:val="none"/>
          <w:lang w:val="en-US" w:eastAsia="zh-CN"/>
        </w:rPr>
        <w:t>严格</w:t>
      </w:r>
      <w:r>
        <w:rPr>
          <w:rFonts w:hint="eastAsia" w:ascii="仿宋" w:hAnsi="仿宋" w:eastAsia="仿宋" w:cs="仿宋"/>
          <w:sz w:val="30"/>
          <w:szCs w:val="30"/>
          <w:highlight w:val="none"/>
          <w:lang w:eastAsia="zh-CN"/>
        </w:rPr>
        <w:t>按照合同要求的付款进度进行支付，</w:t>
      </w:r>
      <w:r>
        <w:rPr>
          <w:rFonts w:hint="eastAsia" w:ascii="仿宋" w:hAnsi="仿宋" w:eastAsia="仿宋" w:cs="仿宋"/>
          <w:sz w:val="30"/>
          <w:szCs w:val="30"/>
          <w:highlight w:val="none"/>
          <w:lang w:val="en-US" w:eastAsia="zh-CN"/>
        </w:rPr>
        <w:t>会计核算规范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但2023年3月15日支付孝墓段工程进度款209.00万元，财务资料中未见施工单位出具的工程款支付申请以及监理单位出具的工程款支付证书。</w:t>
      </w:r>
      <w:r>
        <w:rPr>
          <w:rFonts w:hint="eastAsia" w:ascii="仿宋" w:hAnsi="仿宋" w:eastAsia="仿宋" w:cs="仿宋"/>
          <w:sz w:val="30"/>
          <w:szCs w:val="30"/>
          <w:highlight w:val="none"/>
          <w:lang w:eastAsia="zh-CN"/>
        </w:rPr>
        <w:t>资金支付依据</w:t>
      </w:r>
      <w:r>
        <w:rPr>
          <w:rFonts w:hint="eastAsia" w:ascii="仿宋" w:hAnsi="仿宋" w:eastAsia="仿宋" w:cs="仿宋"/>
          <w:sz w:val="30"/>
          <w:szCs w:val="30"/>
          <w:highlight w:val="none"/>
          <w:lang w:val="en-US" w:eastAsia="zh-CN"/>
        </w:rPr>
        <w:t>不够</w:t>
      </w:r>
      <w:r>
        <w:rPr>
          <w:rFonts w:hint="eastAsia" w:ascii="仿宋" w:hAnsi="仿宋" w:eastAsia="仿宋" w:cs="仿宋"/>
          <w:sz w:val="30"/>
          <w:szCs w:val="30"/>
          <w:highlight w:val="none"/>
          <w:lang w:eastAsia="zh-CN"/>
        </w:rPr>
        <w:t>充分，</w:t>
      </w:r>
      <w:r>
        <w:rPr>
          <w:rFonts w:hint="eastAsia" w:ascii="仿宋" w:hAnsi="仿宋" w:eastAsia="仿宋" w:cs="仿宋"/>
          <w:sz w:val="30"/>
          <w:szCs w:val="30"/>
          <w:highlight w:val="none"/>
          <w:lang w:val="en-US" w:eastAsia="zh-CN"/>
        </w:rPr>
        <w:t>财务审核有待加强，扣3分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（3）资金支出合规性（</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经检查，该项目</w:t>
      </w:r>
      <w:r>
        <w:rPr>
          <w:rFonts w:hint="eastAsia" w:ascii="仿宋" w:hAnsi="仿宋" w:eastAsia="仿宋" w:cs="仿宋"/>
          <w:sz w:val="30"/>
          <w:szCs w:val="30"/>
          <w:highlight w:val="none"/>
          <w:lang w:val="en-US" w:eastAsia="zh-CN"/>
        </w:rPr>
        <w:t>资金均用于项目工程款支付，</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val="en-US" w:eastAsia="zh-CN"/>
        </w:rPr>
        <w:t>资金通过国库集中支付，</w:t>
      </w:r>
      <w:r>
        <w:rPr>
          <w:rFonts w:hint="eastAsia" w:ascii="仿宋" w:hAnsi="仿宋" w:eastAsia="仿宋" w:cs="仿宋"/>
          <w:sz w:val="30"/>
          <w:szCs w:val="30"/>
          <w:highlight w:val="none"/>
        </w:rPr>
        <w:t>不存在截留、挤占、挪用等违规行为。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2.项目业务管理（</w:t>
      </w:r>
      <w:r>
        <w:rPr>
          <w:rFonts w:hint="eastAsia" w:ascii="仿宋" w:hAnsi="仿宋" w:eastAsia="仿宋" w:cs="仿宋"/>
          <w:sz w:val="30"/>
          <w:szCs w:val="30"/>
          <w:highlight w:val="none"/>
          <w:lang w:val="en-US" w:eastAsia="zh-CN"/>
        </w:rPr>
        <w:t>21</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57" w:name="_Toc83631045"/>
      <w:bookmarkStart w:id="58" w:name="_Toc30993"/>
      <w:bookmarkStart w:id="59" w:name="_Toc83630335"/>
      <w:bookmarkStart w:id="60" w:name="_Toc6507"/>
      <w:bookmarkStart w:id="61" w:name="_Toc21112"/>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管理制度是否健全</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项目制定的管理制度和措施是否全面、明确、合理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能否保障项目顺利实施</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该项目可行性研究报告中明确了项目过程保障措施以及项目质量控制措施、曲阳县自然资源和规划局制定了项目管理制度、相关文件的制定有效保障了项目的顺利实施。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制度执行有效性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项目实施是否符合相关法律法规、业务管理制度的规定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val="en-US" w:eastAsia="zh-CN"/>
        </w:rPr>
        <w:t>评估</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项目实施</w:t>
      </w:r>
      <w:r>
        <w:rPr>
          <w:rFonts w:hint="eastAsia" w:ascii="仿宋" w:hAnsi="仿宋" w:eastAsia="仿宋" w:cs="仿宋"/>
          <w:sz w:val="30"/>
          <w:szCs w:val="30"/>
          <w:highlight w:val="none"/>
        </w:rPr>
        <w:t>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项目档案资料完整性（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项目档案资料是否齐全，保存是否完整。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经检查，该</w:t>
      </w:r>
      <w:r>
        <w:rPr>
          <w:rFonts w:hint="eastAsia" w:ascii="仿宋" w:hAnsi="仿宋" w:eastAsia="仿宋" w:cs="仿宋"/>
          <w:sz w:val="30"/>
          <w:szCs w:val="30"/>
          <w:highlight w:val="none"/>
        </w:rPr>
        <w:t>项目档案资料</w:t>
      </w:r>
      <w:r>
        <w:rPr>
          <w:rFonts w:hint="eastAsia" w:ascii="仿宋" w:hAnsi="仿宋" w:eastAsia="仿宋" w:cs="仿宋"/>
          <w:sz w:val="30"/>
          <w:szCs w:val="30"/>
          <w:highlight w:val="none"/>
          <w:lang w:val="en-US" w:eastAsia="zh-CN"/>
        </w:rPr>
        <w:t>中工程款支付申请表、工程款支付证书未填写日期；郎家庄段勘察设计施工总承包合同无签订日期；孝墓段2023年3月支付的工程进度款无监理出具的付款证书，付款依据不足；该单位项目资料的审核工作有待加强，档案资料的完整度不足，扣3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（三）项目产出（</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57"/>
      <w:bookmarkEnd w:id="58"/>
      <w:bookmarkEnd w:id="59"/>
      <w:bookmarkEnd w:id="60"/>
      <w:bookmarkEnd w:id="61"/>
    </w:p>
    <w:p>
      <w:pPr>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该一级指标包含1个二级指标</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个三级指标，主要</w:t>
      </w:r>
      <w:r>
        <w:rPr>
          <w:rFonts w:hint="eastAsia" w:ascii="仿宋" w:hAnsi="仿宋" w:eastAsia="仿宋" w:cs="仿宋"/>
          <w:sz w:val="30"/>
          <w:szCs w:val="30"/>
          <w:highlight w:val="none"/>
          <w:lang w:val="en-US" w:eastAsia="zh-CN"/>
        </w:rPr>
        <w:t>从实际完成率、完成及时率、质量达标率</w:t>
      </w:r>
      <w:r>
        <w:rPr>
          <w:rFonts w:hint="eastAsia" w:ascii="仿宋" w:hAnsi="仿宋" w:eastAsia="仿宋" w:cs="仿宋"/>
          <w:sz w:val="30"/>
          <w:szCs w:val="30"/>
          <w:highlight w:val="none"/>
        </w:rPr>
        <w:t>是否达到预期</w:t>
      </w:r>
      <w:r>
        <w:rPr>
          <w:rFonts w:hint="eastAsia" w:ascii="仿宋" w:hAnsi="仿宋" w:eastAsia="仿宋" w:cs="仿宋"/>
          <w:sz w:val="30"/>
          <w:szCs w:val="30"/>
          <w:highlight w:val="none"/>
          <w:lang w:val="en-US" w:eastAsia="zh-CN"/>
        </w:rPr>
        <w:t>目标</w:t>
      </w:r>
      <w:r>
        <w:rPr>
          <w:rFonts w:hint="eastAsia" w:ascii="仿宋" w:hAnsi="仿宋" w:eastAsia="仿宋" w:cs="仿宋"/>
          <w:sz w:val="30"/>
          <w:szCs w:val="30"/>
          <w:highlight w:val="none"/>
        </w:rPr>
        <w:t>。</w:t>
      </w:r>
    </w:p>
    <w:tbl>
      <w:tblPr>
        <w:tblStyle w:val="18"/>
        <w:tblW w:w="4993" w:type="pct"/>
        <w:jc w:val="center"/>
        <w:tblLayout w:type="autofit"/>
        <w:tblCellMar>
          <w:top w:w="15" w:type="dxa"/>
          <w:left w:w="15" w:type="dxa"/>
          <w:bottom w:w="15" w:type="dxa"/>
          <w:right w:w="15" w:type="dxa"/>
        </w:tblCellMar>
      </w:tblPr>
      <w:tblGrid>
        <w:gridCol w:w="1667"/>
        <w:gridCol w:w="1448"/>
        <w:gridCol w:w="3992"/>
        <w:gridCol w:w="1462"/>
        <w:gridCol w:w="1085"/>
      </w:tblGrid>
      <w:tr>
        <w:tblPrEx>
          <w:tblCellMar>
            <w:top w:w="15" w:type="dxa"/>
            <w:left w:w="15" w:type="dxa"/>
            <w:bottom w:w="15" w:type="dxa"/>
            <w:right w:w="15" w:type="dxa"/>
          </w:tblCellMar>
        </w:tblPrEx>
        <w:trPr>
          <w:trHeight w:val="507" w:hRule="exact"/>
          <w:jc w:val="center"/>
        </w:trPr>
        <w:tc>
          <w:tcPr>
            <w:tcW w:w="863"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750"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066"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57"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562"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853" w:hRule="exact"/>
          <w:jc w:val="center"/>
        </w:trPr>
        <w:tc>
          <w:tcPr>
            <w:tcW w:w="863"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项目产出</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750"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w:t>
            </w:r>
            <w:r>
              <w:rPr>
                <w:rFonts w:hint="eastAsia" w:ascii="仿宋" w:hAnsi="仿宋" w:eastAsia="仿宋" w:cs="仿宋"/>
                <w:color w:val="000000"/>
                <w:kern w:val="0"/>
                <w:sz w:val="24"/>
                <w:szCs w:val="24"/>
                <w:highlight w:val="none"/>
                <w:lang w:val="en-US" w:eastAsia="zh-CN"/>
              </w:rPr>
              <w:t>产出</w:t>
            </w:r>
          </w:p>
        </w:tc>
        <w:tc>
          <w:tcPr>
            <w:tcW w:w="206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实际完成率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8</w:t>
            </w:r>
          </w:p>
        </w:tc>
        <w:tc>
          <w:tcPr>
            <w:tcW w:w="108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8</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50"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完成及时率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08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50" w:type="pct"/>
            <w:vMerge w:val="continue"/>
            <w:tcBorders>
              <w:top w:val="single" w:color="auto"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6" w:type="pct"/>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验收合格率</w:t>
            </w:r>
          </w:p>
        </w:tc>
        <w:tc>
          <w:tcPr>
            <w:tcW w:w="757" w:type="pct"/>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1085" w:type="dxa"/>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CellMar>
            <w:top w:w="15" w:type="dxa"/>
            <w:left w:w="15" w:type="dxa"/>
            <w:bottom w:w="15" w:type="dxa"/>
            <w:right w:w="15" w:type="dxa"/>
          </w:tblCellMar>
        </w:tblPrEx>
        <w:trPr>
          <w:trHeight w:val="609" w:hRule="exact"/>
          <w:jc w:val="center"/>
        </w:trPr>
        <w:tc>
          <w:tcPr>
            <w:tcW w:w="3680"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1085"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62" w:name="_Toc83631046"/>
      <w:bookmarkStart w:id="63" w:name="_Toc833"/>
      <w:bookmarkStart w:id="64" w:name="_Toc1929"/>
      <w:bookmarkStart w:id="65" w:name="_Toc16415"/>
      <w:bookmarkStart w:id="66" w:name="_Toc83630336"/>
      <w:r>
        <w:rPr>
          <w:rFonts w:hint="eastAsia" w:ascii="仿宋" w:hAnsi="仿宋" w:eastAsia="仿宋" w:cs="仿宋"/>
          <w:sz w:val="30"/>
          <w:szCs w:val="30"/>
          <w:highlight w:val="none"/>
          <w:lang w:val="en-US" w:eastAsia="zh-CN"/>
        </w:rPr>
        <w:t>1.实际完成率（8分）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该指标主要评估项目实施的实际产出数与计划产出数的比率，用以反映和考核项目产出数量目标的实现程度。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北台段计划工期12个月、孝墓段和郎家庄段计划2023年底前完工。2023年3月15日付郎家庄段进度款100.00万元，监理单位出具的结算汇总表显示已完成主体工程的比例为97.89%，完成率较好；孝墓段于2023年3月15日支付进度款209.00万元，后期补充的工程量签验单显示，截至本次支付，已完成金额为473.52万元，已完成金额占合同金额比率为53.7%，实际完成率较好；北台段于2023年2月4日开工建设，合同要求完成主体工程后支付至合同价款80%，截至评估日项目建设正在进行中。</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该项指标实际得分8分。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2.完成及时率（7分）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该指标主要评估项目实际提前完成时间与计划完成时间的比率，用以反映和考核项目产出时效目标的实现程度。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经评估，该项目北台段计划工期12个月、孝墓段和郎家庄段计划2023年底前完工。2023年3月15日付郎家庄段进度款100.00万元，监理单位出具的结算汇总表显示已完成主体工程的比例为97.89%，完成及时率较好；孝墓段于2023年3月15日支付进度款209.00万元，后期补充的工程量签验单显示，截至本次支付，已完成金额为473.52万元，已完成金额占合同金额比率为53.7%，完成及时率较好；北台段于2023年2月4日开工建设，合同要求完成主体工程后支付至合同价款80%，截至评估日项目建设正在进行中。</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该项指标实际得分7分。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3.质量达标率（5分）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该指标主要评估项目完成的质量达标产出数与实际产出数的比率，用以反映和考核项目产出质量目标的实现程度。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经检查，截至评估日，项目建设正在进行中，无法评估质量达标情况。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该项指标实际得分5分。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（四）项目效果（</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62"/>
      <w:bookmarkEnd w:id="63"/>
      <w:bookmarkEnd w:id="64"/>
      <w:bookmarkEnd w:id="65"/>
      <w:bookmarkEnd w:id="6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该一级指标包含项目效益1个二级指标和2个三级指标，分别是生态效益和社会效益。主要评估项目实施后所产生的各种效益，包括项目实施对生态环境和社会发展所带来的直接或间接影响情况。</w:t>
      </w:r>
    </w:p>
    <w:p>
      <w:pPr>
        <w:pStyle w:val="2"/>
        <w:rPr>
          <w:rFonts w:hint="eastAsia"/>
          <w:lang w:val="en-US" w:eastAsia="zh-CN"/>
        </w:rPr>
      </w:pPr>
    </w:p>
    <w:tbl>
      <w:tblPr>
        <w:tblStyle w:val="18"/>
        <w:tblW w:w="0" w:type="auto"/>
        <w:jc w:val="center"/>
        <w:tblLayout w:type="fixed"/>
        <w:tblCellMar>
          <w:top w:w="15" w:type="dxa"/>
          <w:left w:w="15" w:type="dxa"/>
          <w:bottom w:w="15" w:type="dxa"/>
          <w:right w:w="15" w:type="dxa"/>
        </w:tblCellMar>
      </w:tblPr>
      <w:tblGrid>
        <w:gridCol w:w="1591"/>
        <w:gridCol w:w="1489"/>
        <w:gridCol w:w="2588"/>
        <w:gridCol w:w="1434"/>
        <w:gridCol w:w="1490"/>
      </w:tblGrid>
      <w:tr>
        <w:tblPrEx>
          <w:tblCellMar>
            <w:top w:w="15" w:type="dxa"/>
            <w:left w:w="15" w:type="dxa"/>
            <w:bottom w:w="15" w:type="dxa"/>
            <w:right w:w="15" w:type="dxa"/>
          </w:tblCellMar>
        </w:tblPrEx>
        <w:trPr>
          <w:trHeight w:val="593" w:hRule="exact"/>
          <w:jc w:val="center"/>
        </w:trPr>
        <w:tc>
          <w:tcPr>
            <w:tcW w:w="15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一级指标</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二级指标</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三级指标</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分数权重</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得分</w:t>
            </w:r>
          </w:p>
        </w:tc>
      </w:tr>
      <w:tr>
        <w:tblPrEx>
          <w:tblCellMar>
            <w:top w:w="15" w:type="dxa"/>
            <w:left w:w="15" w:type="dxa"/>
            <w:bottom w:w="15" w:type="dxa"/>
            <w:right w:w="15" w:type="dxa"/>
          </w:tblCellMar>
        </w:tblPrEx>
        <w:trPr>
          <w:trHeight w:val="746" w:hRule="exact"/>
          <w:jc w:val="center"/>
        </w:trPr>
        <w:tc>
          <w:tcPr>
            <w:tcW w:w="159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项目效果</w:t>
            </w:r>
          </w:p>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r>
              <w:rPr>
                <w:rFonts w:hint="eastAsia" w:ascii="仿宋" w:hAnsi="仿宋" w:eastAsia="仿宋" w:cs="仿宋"/>
                <w:color w:val="000000"/>
                <w:kern w:val="0"/>
                <w:sz w:val="24"/>
                <w:szCs w:val="24"/>
                <w:highlight w:val="none"/>
                <w:lang w:val="en-US" w:eastAsia="zh-CN" w:bidi="ar"/>
              </w:rPr>
              <w:t>0</w:t>
            </w:r>
            <w:r>
              <w:rPr>
                <w:rFonts w:hint="eastAsia" w:ascii="仿宋" w:hAnsi="仿宋" w:eastAsia="仿宋" w:cs="仿宋"/>
                <w:color w:val="000000"/>
                <w:kern w:val="0"/>
                <w:sz w:val="24"/>
                <w:szCs w:val="24"/>
                <w:highlight w:val="none"/>
                <w:lang w:bidi="ar"/>
              </w:rPr>
              <w:t>分）</w:t>
            </w:r>
          </w:p>
        </w:tc>
        <w:tc>
          <w:tcPr>
            <w:tcW w:w="148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项目效益</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生态效益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694" w:hRule="exact"/>
          <w:jc w:val="center"/>
        </w:trPr>
        <w:tc>
          <w:tcPr>
            <w:tcW w:w="15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148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社会效益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596" w:hRule="exact"/>
          <w:jc w:val="center"/>
        </w:trPr>
        <w:tc>
          <w:tcPr>
            <w:tcW w:w="566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合  计</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1.生态效益（10分）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该指标主要评估该项目实施对生态环境所带来的直接或间接影响情况。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项目建成后，将使已经存在的矿山地质环境得到有效治理，使矿山的生态环境得到恢复和改善，最大限度地恢复自然景观，改善矿山地质环境和生态环境，增加了绿化面积，有效避免风沙扬尘污染周边大气，改善当地大气环境，对进一步改善当地居民的生存空间，提高了当地的对外形象、旅游资源的开发和投资环境的影响力，预计生态效益显著。</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2.社会效益（10分）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该指标主要评估该项目实施对社会发展所带来的直接或间接影响情况。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通过项目建设，将提高当地居民的生存环境质量，有利于附近人民群众和社会稳定，符合党中央提出的发展循环经济、构建和谐社会和科学发展观的要求，是为当地百姓造福的工程。消除危害改善环境是当今人们最直接最关心的焦点，是一项惠及民众的善举，有利于维护社会稳定，预计社会效益较好。</w:t>
      </w:r>
    </w:p>
    <w:p>
      <w:pPr>
        <w:pageBreakBefore w:val="0"/>
        <w:kinsoku/>
        <w:wordWrap/>
        <w:overflowPunct/>
        <w:topLinePunct w:val="0"/>
        <w:autoSpaceDE/>
        <w:autoSpaceDN/>
        <w:bidi w:val="0"/>
        <w:adjustRightInd/>
        <w:snapToGrid/>
        <w:spacing w:line="560" w:lineRule="exact"/>
        <w:ind w:firstLine="600" w:firstLineChars="200"/>
        <w:jc w:val="left"/>
        <w:rPr>
          <w:rFonts w:hint="default"/>
          <w:highlight w:val="none"/>
          <w:lang w:val="en-US" w:eastAsia="zh-CN"/>
        </w:rPr>
      </w:pPr>
      <w:r>
        <w:rPr>
          <w:rFonts w:hint="eastAsia" w:ascii="仿宋" w:hAnsi="仿宋" w:eastAsia="仿宋" w:cs="仿宋"/>
          <w:sz w:val="30"/>
          <w:szCs w:val="30"/>
          <w:highlight w:val="none"/>
          <w:lang w:val="en-US" w:eastAsia="zh-CN"/>
        </w:rPr>
        <w:t>该项指标实际得分10分。</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highlight w:val="none"/>
        </w:rPr>
      </w:pPr>
      <w:bookmarkStart w:id="67" w:name="_Toc6602"/>
      <w:bookmarkStart w:id="68" w:name="_Toc501368363"/>
      <w:bookmarkStart w:id="69" w:name="_Toc10985"/>
      <w:bookmarkStart w:id="70" w:name="_Toc83631048"/>
      <w:bookmarkStart w:id="71" w:name="_Toc83630434"/>
      <w:bookmarkStart w:id="72" w:name="_Toc2211"/>
      <w:bookmarkStart w:id="73" w:name="_Toc12802"/>
      <w:bookmarkStart w:id="74" w:name="_Toc24878"/>
      <w:r>
        <w:rPr>
          <w:rFonts w:hint="eastAsia" w:ascii="仿宋" w:hAnsi="仿宋" w:eastAsia="仿宋" w:cs="仿宋"/>
          <w:sz w:val="32"/>
          <w:szCs w:val="32"/>
          <w:highlight w:val="none"/>
          <w:lang w:val="en-US" w:eastAsia="zh-CN"/>
        </w:rPr>
        <w:t>六</w:t>
      </w:r>
      <w:r>
        <w:rPr>
          <w:rFonts w:hint="eastAsia" w:ascii="仿宋" w:hAnsi="仿宋" w:eastAsia="仿宋" w:cs="仿宋"/>
          <w:sz w:val="32"/>
          <w:szCs w:val="32"/>
          <w:highlight w:val="none"/>
        </w:rPr>
        <w:t>、项目综合</w:t>
      </w:r>
      <w:bookmarkEnd w:id="67"/>
      <w:bookmarkEnd w:id="68"/>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结论和</w:t>
      </w: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等级</w:t>
      </w:r>
      <w:bookmarkEnd w:id="69"/>
      <w:bookmarkEnd w:id="70"/>
      <w:bookmarkEnd w:id="71"/>
      <w:bookmarkEnd w:id="72"/>
      <w:bookmarkEnd w:id="73"/>
      <w:bookmarkEnd w:id="7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75" w:name="_Toc501368364"/>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确定</w:t>
      </w:r>
      <w:bookmarkEnd w:id="75"/>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lang w:val="en-US" w:eastAsia="zh-CN"/>
        </w:rPr>
        <w:t>分值：94分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等级</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3.项目综合</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结论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76" w:name="_Toc28969"/>
      <w:bookmarkStart w:id="77" w:name="_Toc83630435"/>
      <w:bookmarkStart w:id="78" w:name="_Toc25027"/>
      <w:bookmarkStart w:id="79" w:name="_Toc83631049"/>
      <w:r>
        <w:rPr>
          <w:rFonts w:hint="eastAsia" w:ascii="仿宋" w:hAnsi="仿宋" w:eastAsia="仿宋" w:cs="仿宋"/>
          <w:sz w:val="30"/>
          <w:szCs w:val="30"/>
          <w:highlight w:val="none"/>
        </w:rPr>
        <w:t>该项目严格</w:t>
      </w:r>
      <w:r>
        <w:rPr>
          <w:rFonts w:hint="eastAsia" w:ascii="仿宋" w:hAnsi="仿宋" w:eastAsia="仿宋" w:cs="仿宋"/>
          <w:sz w:val="30"/>
          <w:szCs w:val="30"/>
          <w:highlight w:val="none"/>
          <w:lang w:val="en-US" w:eastAsia="zh-CN"/>
        </w:rPr>
        <w:t>资金</w:t>
      </w:r>
      <w:r>
        <w:rPr>
          <w:rFonts w:hint="eastAsia" w:ascii="仿宋" w:hAnsi="仿宋" w:eastAsia="仿宋" w:cs="仿宋"/>
          <w:sz w:val="30"/>
          <w:szCs w:val="30"/>
          <w:highlight w:val="none"/>
        </w:rPr>
        <w:t>使用管理，</w:t>
      </w:r>
      <w:bookmarkEnd w:id="76"/>
      <w:bookmarkEnd w:id="77"/>
      <w:bookmarkEnd w:id="78"/>
      <w:bookmarkEnd w:id="79"/>
      <w:r>
        <w:rPr>
          <w:rFonts w:hint="eastAsia" w:ascii="仿宋" w:hAnsi="仿宋" w:eastAsia="仿宋" w:cs="仿宋"/>
          <w:sz w:val="30"/>
          <w:szCs w:val="30"/>
          <w:highlight w:val="none"/>
          <w:lang w:val="en-US" w:eastAsia="zh-CN"/>
        </w:rPr>
        <w:t>资金支出全部为工程款支出，</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无结余资金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截至评估日，项目建设正在进行中。通过项目实施，将使区域内已经遭受破坏的矿山地质环境得到治理，使矿山的地质环境得到恢复和改善，恢复自然景观，改善当地居民的生产生活环境，促进当地经济的可持续性发展，切实落实北方防沙带生态保护和修复重点工程，改善环境空气质量和矿山生态环境。预期生态效益和社会效益较好</w:t>
      </w:r>
      <w:r>
        <w:rPr>
          <w:rFonts w:hint="eastAsia" w:ascii="仿宋" w:hAnsi="仿宋" w:eastAsia="仿宋" w:cs="仿宋"/>
          <w:sz w:val="30"/>
          <w:szCs w:val="30"/>
          <w:highlight w:val="none"/>
        </w:rPr>
        <w:t>。</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rPr>
      </w:pPr>
      <w:bookmarkStart w:id="80" w:name="_Toc30518"/>
      <w:bookmarkStart w:id="81" w:name="_Toc83630436"/>
      <w:bookmarkStart w:id="82" w:name="_Toc7207"/>
      <w:bookmarkStart w:id="83" w:name="_Toc27278"/>
      <w:bookmarkStart w:id="84" w:name="_Toc83631050"/>
      <w:bookmarkStart w:id="85" w:name="_Toc22941"/>
      <w:r>
        <w:rPr>
          <w:rFonts w:hint="eastAsia" w:ascii="仿宋" w:hAnsi="仿宋" w:eastAsia="仿宋" w:cs="仿宋"/>
          <w:bCs/>
          <w:sz w:val="32"/>
          <w:szCs w:val="32"/>
          <w:highlight w:val="none"/>
          <w:lang w:val="en-US" w:eastAsia="zh-CN"/>
        </w:rPr>
        <w:t>七</w:t>
      </w:r>
      <w:r>
        <w:rPr>
          <w:rFonts w:hint="eastAsia" w:ascii="仿宋" w:hAnsi="仿宋" w:eastAsia="仿宋" w:cs="仿宋"/>
          <w:bCs/>
          <w:sz w:val="32"/>
          <w:szCs w:val="32"/>
          <w:highlight w:val="none"/>
        </w:rPr>
        <w:t>、存在的问题</w:t>
      </w:r>
      <w:bookmarkEnd w:id="80"/>
      <w:bookmarkEnd w:id="81"/>
      <w:bookmarkEnd w:id="82"/>
      <w:bookmarkEnd w:id="83"/>
      <w:bookmarkEnd w:id="84"/>
      <w:bookmarkEnd w:id="8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该项目取得的成绩是肯定的，但在实现绩效目标过程中也存在一些不足之处，具体归纳为：</w:t>
      </w:r>
    </w:p>
    <w:p>
      <w:pPr>
        <w:pageBreakBefore w:val="0"/>
        <w:numPr>
          <w:ilvl w:val="0"/>
          <w:numId w:val="4"/>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bookmarkStart w:id="86" w:name="_Toc6530"/>
      <w:bookmarkStart w:id="87" w:name="_Toc23781"/>
      <w:bookmarkStart w:id="88" w:name="_Toc83631051"/>
      <w:bookmarkStart w:id="89" w:name="_Toc83630437"/>
      <w:r>
        <w:rPr>
          <w:rFonts w:hint="eastAsia" w:ascii="仿宋" w:hAnsi="仿宋" w:eastAsia="仿宋" w:cs="仿宋"/>
          <w:sz w:val="30"/>
          <w:szCs w:val="30"/>
          <w:highlight w:val="none"/>
          <w:lang w:eastAsia="zh-CN"/>
        </w:rPr>
        <w:t>绩效目标</w:t>
      </w:r>
      <w:r>
        <w:rPr>
          <w:rFonts w:hint="eastAsia" w:ascii="仿宋" w:hAnsi="仿宋" w:eastAsia="仿宋" w:cs="仿宋"/>
          <w:sz w:val="30"/>
          <w:szCs w:val="30"/>
          <w:highlight w:val="none"/>
          <w:lang w:val="en-US" w:eastAsia="zh-CN"/>
        </w:rPr>
        <w:t>和绩效指标</w:t>
      </w:r>
      <w:r>
        <w:rPr>
          <w:rFonts w:hint="eastAsia" w:ascii="仿宋" w:hAnsi="仿宋" w:eastAsia="仿宋" w:cs="仿宋"/>
          <w:sz w:val="30"/>
          <w:szCs w:val="30"/>
          <w:highlight w:val="none"/>
          <w:lang w:eastAsia="zh-CN"/>
        </w:rPr>
        <w:t>设定方面</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该项目未针对项目制定具体的绩效目标表，未设置具体的、可评价的绩效目标及细化、量化、可衡量的绩效指标</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不利于年度任务完成情况的考核和绩效目标实现情况的考核。</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（二）会计核算规范性方面</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该项目资2023年3月15日支付孝墓段工程进度款209.00万元，财务资料中未见施工单位出具的工程款支付申请以及监理单位出具的工程款支付证书。资金支付依据不够充分，财务审核有待加强。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（三）项目档案保管情况</w:t>
      </w:r>
    </w:p>
    <w:p>
      <w:pPr>
        <w:pStyle w:val="3"/>
        <w:pageBreakBefore w:val="0"/>
        <w:kinsoku/>
        <w:wordWrap/>
        <w:overflowPunct/>
        <w:topLinePunct w:val="0"/>
        <w:autoSpaceDE/>
        <w:autoSpaceDN/>
        <w:bidi w:val="0"/>
        <w:adjustRightInd/>
        <w:snapToGrid/>
        <w:spacing w:beforeAutospacing="0" w:afterAutospacing="0" w:line="560" w:lineRule="exact"/>
        <w:ind w:firstLine="600" w:firstLineChars="200"/>
        <w:rPr>
          <w:rFonts w:hint="eastAsia" w:ascii="仿宋" w:hAnsi="仿宋" w:eastAsia="仿宋" w:cs="仿宋"/>
          <w:b w:val="0"/>
          <w:kern w:val="2"/>
          <w:sz w:val="30"/>
          <w:szCs w:val="30"/>
          <w:highlight w:val="none"/>
          <w:lang w:val="en-US" w:eastAsia="zh-CN" w:bidi="ar-SA"/>
        </w:rPr>
      </w:pPr>
      <w:r>
        <w:rPr>
          <w:rFonts w:hint="eastAsia" w:ascii="仿宋" w:hAnsi="仿宋" w:eastAsia="仿宋" w:cs="仿宋"/>
          <w:b w:val="0"/>
          <w:kern w:val="2"/>
          <w:sz w:val="30"/>
          <w:szCs w:val="30"/>
          <w:highlight w:val="none"/>
          <w:lang w:val="en-US" w:eastAsia="zh-CN" w:bidi="ar-SA"/>
        </w:rPr>
        <w:t>该项目档案资料中工程款支付申请表、工程款支付证书未填写日期；郎家庄段勘察设计施工总承包合同无签订日期；孝墓段2023年3月支付的工程进度款无监理出具的付款证书，付款依据不足；该单位项目资料的审核工作有待加强，档案资料的完整度不足。</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lang w:val="en-US" w:eastAsia="zh-CN"/>
        </w:rPr>
      </w:pPr>
      <w:r>
        <w:rPr>
          <w:rFonts w:hint="eastAsia" w:ascii="仿宋" w:hAnsi="仿宋" w:eastAsia="仿宋" w:cs="仿宋"/>
          <w:bCs/>
          <w:sz w:val="32"/>
          <w:szCs w:val="32"/>
          <w:highlight w:val="none"/>
          <w:lang w:val="en-US" w:eastAsia="zh-CN"/>
        </w:rPr>
        <w:t>八、建议及改进措施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针对未设置项目绩效目标和绩效指标方面问题，建议项目实施单位重视绩效评价工作，细化绩效指标设置，对跨年度实施的项目，明确年度工作任务，制定合理的年度目标任务，从而更好的考核项目完成进度情况。</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（二）针对会计核算规范性方面问题，建议项目实施单位进一步加强财务管理，保证资金支出依据的充分性。</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 xml:space="preserve">（三） 针对项目档案管理方面，建议项目实施单位加强档案管理审核工作，增强档案资料的完整度。    </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附件：绩效评估指标体系及评分情况表</w:t>
      </w:r>
    </w:p>
    <w:p>
      <w:pPr>
        <w:pStyle w:val="2"/>
        <w:rPr>
          <w:rFonts w:hint="eastAsia" w:ascii="仿宋" w:hAnsi="仿宋" w:eastAsia="仿宋" w:cs="仿宋"/>
          <w:sz w:val="30"/>
          <w:szCs w:val="30"/>
          <w:highlight w:val="none"/>
          <w:lang w:val="en-US" w:eastAsia="zh-CN"/>
        </w:rPr>
      </w:pPr>
    </w:p>
    <w:p>
      <w:pPr>
        <w:rPr>
          <w:rFonts w:hint="eastAsia" w:ascii="仿宋" w:hAnsi="仿宋" w:eastAsia="仿宋" w:cs="仿宋"/>
          <w:sz w:val="30"/>
          <w:szCs w:val="30"/>
          <w:highlight w:val="none"/>
          <w:lang w:val="en-US" w:eastAsia="zh-CN"/>
        </w:rPr>
      </w:pPr>
    </w:p>
    <w:p>
      <w:pPr>
        <w:pStyle w:val="2"/>
        <w:rPr>
          <w:rFonts w:hint="default"/>
          <w:lang w:val="en-US" w:eastAsia="zh-CN"/>
        </w:rPr>
      </w:pPr>
    </w:p>
    <w:bookmarkEnd w:id="86"/>
    <w:bookmarkEnd w:id="87"/>
    <w:bookmarkEnd w:id="88"/>
    <w:bookmarkEnd w:id="89"/>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曲阳县财政局</w:t>
      </w: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2023年</w:t>
      </w:r>
      <w:r>
        <w:rPr>
          <w:rFonts w:hint="eastAsia" w:ascii="仿宋" w:hAnsi="仿宋" w:eastAsia="仿宋" w:cs="仿宋"/>
          <w:sz w:val="30"/>
          <w:szCs w:val="30"/>
          <w:highlight w:val="none"/>
          <w:lang w:val="en-US" w:eastAsia="zh-CN"/>
        </w:rPr>
        <w:t>9</w:t>
      </w:r>
      <w:r>
        <w:rPr>
          <w:rFonts w:hint="eastAsia" w:ascii="仿宋" w:hAnsi="仿宋" w:eastAsia="仿宋" w:cs="仿宋"/>
          <w:sz w:val="30"/>
          <w:szCs w:val="30"/>
          <w:highlight w:val="none"/>
          <w:lang w:eastAsia="zh-CN"/>
        </w:rPr>
        <w:t>月</w:t>
      </w:r>
      <w:r>
        <w:rPr>
          <w:rFonts w:hint="eastAsia" w:ascii="仿宋" w:hAnsi="仿宋" w:eastAsia="仿宋" w:cs="仿宋"/>
          <w:sz w:val="30"/>
          <w:szCs w:val="30"/>
          <w:highlight w:val="none"/>
          <w:lang w:val="en-US" w:eastAsia="zh-CN"/>
        </w:rPr>
        <w:t>25</w:t>
      </w:r>
      <w:r>
        <w:rPr>
          <w:rFonts w:hint="eastAsia" w:ascii="仿宋" w:hAnsi="仿宋" w:eastAsia="仿宋" w:cs="仿宋"/>
          <w:sz w:val="30"/>
          <w:szCs w:val="30"/>
          <w:highlight w:val="none"/>
          <w:lang w:eastAsia="zh-CN"/>
        </w:rPr>
        <w:t>日</w:t>
      </w:r>
    </w:p>
    <w:sectPr>
      <w:headerReference r:id="rId3" w:type="default"/>
      <w:pgSz w:w="11906" w:h="16838"/>
      <w:pgMar w:top="964" w:right="1134" w:bottom="964" w:left="1134" w:header="1134" w:footer="680"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jc w:val="both"/>
      <w:rPr>
        <w:rFonts w:hint="eastAsia" w:eastAsia="隶书"/>
        <w:i/>
        <w:sz w:val="21"/>
        <w:szCs w:val="21"/>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abstractNum w:abstractNumId="1">
    <w:nsid w:val="EBE646EB"/>
    <w:multiLevelType w:val="singleLevel"/>
    <w:tmpl w:val="EBE646EB"/>
    <w:lvl w:ilvl="0" w:tentative="0">
      <w:start w:val="5"/>
      <w:numFmt w:val="chineseCounting"/>
      <w:suff w:val="nothing"/>
      <w:lvlText w:val="（%1）"/>
      <w:lvlJc w:val="left"/>
      <w:rPr>
        <w:rFonts w:hint="eastAsia"/>
      </w:rPr>
    </w:lvl>
  </w:abstractNum>
  <w:abstractNum w:abstractNumId="2">
    <w:nsid w:val="0432E447"/>
    <w:multiLevelType w:val="singleLevel"/>
    <w:tmpl w:val="0432E447"/>
    <w:lvl w:ilvl="0" w:tentative="0">
      <w:start w:val="2"/>
      <w:numFmt w:val="chineseCounting"/>
      <w:suff w:val="nothing"/>
      <w:lvlText w:val="%1、"/>
      <w:lvlJc w:val="left"/>
      <w:rPr>
        <w:rFonts w:hint="eastAsia"/>
      </w:rPr>
    </w:lvl>
  </w:abstractNum>
  <w:abstractNum w:abstractNumId="3">
    <w:nsid w:val="4FD98200"/>
    <w:multiLevelType w:val="singleLevel"/>
    <w:tmpl w:val="4FD98200"/>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zMDZhNmU2ZmU0NGZlYWJjNGYxYjFiZjE0YWM4NTg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4141B96"/>
    <w:rsid w:val="098E39B9"/>
    <w:rsid w:val="0ADA152D"/>
    <w:rsid w:val="0D9E1C0C"/>
    <w:rsid w:val="0E4B143D"/>
    <w:rsid w:val="0EF02E72"/>
    <w:rsid w:val="0F037D49"/>
    <w:rsid w:val="0F481A23"/>
    <w:rsid w:val="10814158"/>
    <w:rsid w:val="112F3D99"/>
    <w:rsid w:val="12844DC1"/>
    <w:rsid w:val="142E56E9"/>
    <w:rsid w:val="170B6A45"/>
    <w:rsid w:val="1823357E"/>
    <w:rsid w:val="18535646"/>
    <w:rsid w:val="187036B2"/>
    <w:rsid w:val="1B1A3889"/>
    <w:rsid w:val="1C850D11"/>
    <w:rsid w:val="1E145C1F"/>
    <w:rsid w:val="1F94354A"/>
    <w:rsid w:val="21460153"/>
    <w:rsid w:val="21DA3F9D"/>
    <w:rsid w:val="223D0F22"/>
    <w:rsid w:val="23FA42D0"/>
    <w:rsid w:val="24743B37"/>
    <w:rsid w:val="24EF687F"/>
    <w:rsid w:val="25470B20"/>
    <w:rsid w:val="29483C47"/>
    <w:rsid w:val="2A8314C1"/>
    <w:rsid w:val="2A8F3BCE"/>
    <w:rsid w:val="2B872E60"/>
    <w:rsid w:val="2BCE0FAE"/>
    <w:rsid w:val="2CAF4831"/>
    <w:rsid w:val="2DFC5A4D"/>
    <w:rsid w:val="2F1D0509"/>
    <w:rsid w:val="3161561E"/>
    <w:rsid w:val="31AA78D1"/>
    <w:rsid w:val="321B7CF6"/>
    <w:rsid w:val="38963FA8"/>
    <w:rsid w:val="3A186A29"/>
    <w:rsid w:val="3E792B8A"/>
    <w:rsid w:val="436D3360"/>
    <w:rsid w:val="45361007"/>
    <w:rsid w:val="48A44F3A"/>
    <w:rsid w:val="494A68AB"/>
    <w:rsid w:val="4D03459A"/>
    <w:rsid w:val="4E2540DD"/>
    <w:rsid w:val="4F0928DF"/>
    <w:rsid w:val="52381F73"/>
    <w:rsid w:val="53387659"/>
    <w:rsid w:val="55104550"/>
    <w:rsid w:val="5516198D"/>
    <w:rsid w:val="57F3068C"/>
    <w:rsid w:val="58D20590"/>
    <w:rsid w:val="5D410D65"/>
    <w:rsid w:val="5E5B23C1"/>
    <w:rsid w:val="5E660CC1"/>
    <w:rsid w:val="5E6C52B2"/>
    <w:rsid w:val="5E8C78A8"/>
    <w:rsid w:val="5F6F6A11"/>
    <w:rsid w:val="632A16BD"/>
    <w:rsid w:val="64073BD2"/>
    <w:rsid w:val="657965BE"/>
    <w:rsid w:val="661D5A78"/>
    <w:rsid w:val="663566D9"/>
    <w:rsid w:val="663B1AE6"/>
    <w:rsid w:val="67B21F12"/>
    <w:rsid w:val="67D461F9"/>
    <w:rsid w:val="6B300AA0"/>
    <w:rsid w:val="6B9306BB"/>
    <w:rsid w:val="6E2053BF"/>
    <w:rsid w:val="6E3D39F9"/>
    <w:rsid w:val="6ECA1DC7"/>
    <w:rsid w:val="6F860363"/>
    <w:rsid w:val="6FA81A09"/>
    <w:rsid w:val="6FAB071E"/>
    <w:rsid w:val="70350492"/>
    <w:rsid w:val="706C20E6"/>
    <w:rsid w:val="71D44901"/>
    <w:rsid w:val="71FD397A"/>
    <w:rsid w:val="720924FA"/>
    <w:rsid w:val="73007C27"/>
    <w:rsid w:val="73534149"/>
    <w:rsid w:val="74B13A97"/>
    <w:rsid w:val="74DE6D70"/>
    <w:rsid w:val="75435570"/>
    <w:rsid w:val="76171091"/>
    <w:rsid w:val="78452F28"/>
    <w:rsid w:val="790C5BF2"/>
    <w:rsid w:val="7A1A6C48"/>
    <w:rsid w:val="7ADB74C9"/>
    <w:rsid w:val="7AFE135D"/>
    <w:rsid w:val="7CEF1D89"/>
    <w:rsid w:val="7E494DA3"/>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5">
    <w:name w:val="Body Text"/>
    <w:basedOn w:val="1"/>
    <w:next w:val="6"/>
    <w:unhideWhenUsed/>
    <w:qFormat/>
    <w:uiPriority w:val="1"/>
    <w:pPr>
      <w:spacing w:before="41"/>
      <w:ind w:left="121"/>
      <w:jc w:val="left"/>
    </w:pPr>
    <w:rPr>
      <w:rFonts w:ascii="仿宋" w:hAnsi="仿宋" w:eastAsia="仿宋"/>
      <w:kern w:val="0"/>
      <w:sz w:val="28"/>
      <w:szCs w:val="28"/>
      <w:lang w:eastAsia="en-US"/>
    </w:rPr>
  </w:style>
  <w:style w:type="paragraph" w:customStyle="1" w:styleId="6">
    <w:name w:val="_Style 2"/>
    <w:basedOn w:val="1"/>
    <w:qFormat/>
    <w:uiPriority w:val="0"/>
    <w:pPr>
      <w:ind w:firstLine="420" w:firstLineChars="200"/>
    </w:pPr>
  </w:style>
  <w:style w:type="paragraph" w:styleId="7">
    <w:name w:val="Body Text Indent"/>
    <w:basedOn w:val="1"/>
    <w:next w:val="1"/>
    <w:qFormat/>
    <w:uiPriority w:val="0"/>
    <w:pPr>
      <w:spacing w:line="380" w:lineRule="exact"/>
      <w:ind w:firstLine="480" w:firstLineChars="200"/>
    </w:pPr>
    <w:rPr>
      <w:rFonts w:ascii="宋体" w:hAnsi="宋体"/>
      <w:sz w:val="24"/>
    </w:rPr>
  </w:style>
  <w:style w:type="paragraph" w:styleId="8">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rPr>
      <w:rFonts w:ascii="宋体" w:hAnsi="宋体"/>
      <w:sz w:val="24"/>
    </w:rPr>
  </w:style>
  <w:style w:type="paragraph" w:styleId="11">
    <w:name w:val="Balloon Text"/>
    <w:basedOn w:val="1"/>
    <w:link w:val="27"/>
    <w:qFormat/>
    <w:uiPriority w:val="0"/>
    <w:rPr>
      <w:sz w:val="18"/>
      <w:szCs w:val="18"/>
    </w:rPr>
  </w:style>
  <w:style w:type="paragraph" w:styleId="12">
    <w:name w:val="footer"/>
    <w:basedOn w:val="1"/>
    <w:link w:val="26"/>
    <w:qFormat/>
    <w:uiPriority w:val="99"/>
    <w:pPr>
      <w:tabs>
        <w:tab w:val="center" w:pos="4153"/>
        <w:tab w:val="right" w:pos="8306"/>
      </w:tabs>
      <w:snapToGrid w:val="0"/>
      <w:jc w:val="left"/>
    </w:pPr>
    <w:rPr>
      <w:sz w:val="18"/>
      <w:szCs w:val="18"/>
    </w:rPr>
  </w:style>
  <w:style w:type="paragraph" w:styleId="13">
    <w:name w:val="header"/>
    <w:basedOn w:val="1"/>
    <w:link w:val="28"/>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footnote text"/>
    <w:basedOn w:val="1"/>
    <w:link w:val="29"/>
    <w:qFormat/>
    <w:uiPriority w:val="0"/>
    <w:pPr>
      <w:snapToGrid w:val="0"/>
      <w:jc w:val="left"/>
    </w:pPr>
    <w:rPr>
      <w:sz w:val="18"/>
      <w:szCs w:val="18"/>
    </w:r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2"/>
    <w:basedOn w:val="7"/>
    <w:next w:val="1"/>
    <w:unhideWhenUsed/>
    <w:qFormat/>
    <w:uiPriority w:val="99"/>
    <w:pPr>
      <w:widowControl/>
      <w:spacing w:after="0" w:line="440" w:lineRule="exact"/>
      <w:ind w:left="0" w:leftChars="0" w:firstLine="420" w:firstLineChars="200"/>
      <w:jc w:val="left"/>
    </w:pPr>
    <w:rPr>
      <w:rFonts w:ascii="Times New Roman" w:hAnsi="Times New Roman" w:eastAsia="宋体" w:cs="Times New Roman"/>
      <w:color w:val="FF0000"/>
      <w:kern w:val="0"/>
      <w:sz w:val="28"/>
      <w:szCs w:val="24"/>
      <w:lang w:val="en-US" w:eastAsia="zh-CN" w:bidi="ar-SA"/>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basedOn w:val="20"/>
    <w:unhideWhenUsed/>
    <w:qFormat/>
    <w:uiPriority w:val="99"/>
    <w:rPr>
      <w:color w:val="0000FF" w:themeColor="hyperlink"/>
      <w:u w:val="single"/>
      <w14:textFill>
        <w14:solidFill>
          <w14:schemeClr w14:val="hlink"/>
        </w14:solidFill>
      </w14:textFill>
    </w:rPr>
  </w:style>
  <w:style w:type="character" w:styleId="23">
    <w:name w:val="footnote reference"/>
    <w:basedOn w:val="20"/>
    <w:qFormat/>
    <w:uiPriority w:val="0"/>
    <w:rPr>
      <w:vertAlign w:val="superscript"/>
    </w:rPr>
  </w:style>
  <w:style w:type="character" w:customStyle="1" w:styleId="24">
    <w:name w:val="无间隔 Char"/>
    <w:basedOn w:val="20"/>
    <w:link w:val="25"/>
    <w:qFormat/>
    <w:uiPriority w:val="1"/>
    <w:rPr>
      <w:rFonts w:ascii="Calibri" w:hAnsi="Calibri"/>
      <w:sz w:val="22"/>
      <w:szCs w:val="22"/>
      <w:lang w:val="en-US" w:eastAsia="zh-CN" w:bidi="ar-SA"/>
    </w:rPr>
  </w:style>
  <w:style w:type="paragraph" w:styleId="25">
    <w:name w:val="No Spacing"/>
    <w:link w:val="24"/>
    <w:qFormat/>
    <w:uiPriority w:val="1"/>
    <w:rPr>
      <w:rFonts w:ascii="Calibri" w:hAnsi="Calibri" w:eastAsia="宋体" w:cs="Times New Roman"/>
      <w:sz w:val="22"/>
      <w:szCs w:val="22"/>
      <w:lang w:val="en-US" w:eastAsia="zh-CN" w:bidi="ar-SA"/>
    </w:rPr>
  </w:style>
  <w:style w:type="character" w:customStyle="1" w:styleId="26">
    <w:name w:val="页脚 Char"/>
    <w:basedOn w:val="20"/>
    <w:link w:val="12"/>
    <w:qFormat/>
    <w:uiPriority w:val="99"/>
    <w:rPr>
      <w:kern w:val="2"/>
      <w:sz w:val="18"/>
      <w:szCs w:val="18"/>
    </w:rPr>
  </w:style>
  <w:style w:type="character" w:customStyle="1" w:styleId="27">
    <w:name w:val="批注框文本 Char"/>
    <w:basedOn w:val="20"/>
    <w:link w:val="11"/>
    <w:qFormat/>
    <w:uiPriority w:val="0"/>
    <w:rPr>
      <w:kern w:val="2"/>
      <w:sz w:val="18"/>
      <w:szCs w:val="18"/>
    </w:rPr>
  </w:style>
  <w:style w:type="character" w:customStyle="1" w:styleId="28">
    <w:name w:val="页眉 Char"/>
    <w:basedOn w:val="20"/>
    <w:link w:val="13"/>
    <w:qFormat/>
    <w:uiPriority w:val="99"/>
    <w:rPr>
      <w:kern w:val="2"/>
      <w:sz w:val="18"/>
      <w:szCs w:val="18"/>
    </w:rPr>
  </w:style>
  <w:style w:type="character" w:customStyle="1" w:styleId="29">
    <w:name w:val="脚注文本 Char"/>
    <w:basedOn w:val="20"/>
    <w:link w:val="15"/>
    <w:qFormat/>
    <w:uiPriority w:val="0"/>
    <w:rPr>
      <w:kern w:val="2"/>
      <w:sz w:val="18"/>
      <w:szCs w:val="18"/>
    </w:rPr>
  </w:style>
  <w:style w:type="paragraph" w:customStyle="1" w:styleId="30">
    <w:name w:val="Other|2"/>
    <w:basedOn w:val="1"/>
    <w:qFormat/>
    <w:uiPriority w:val="0"/>
    <w:pPr>
      <w:jc w:val="center"/>
    </w:pPr>
    <w:rPr>
      <w:rFonts w:ascii="宋体" w:hAnsi="宋体" w:cs="宋体"/>
      <w:sz w:val="20"/>
      <w:lang w:val="zh-TW" w:eastAsia="zh-TW" w:bidi="zh-TW"/>
    </w:rPr>
  </w:style>
  <w:style w:type="paragraph" w:customStyle="1" w:styleId="31">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2">
    <w:name w:val="Header or footer|2"/>
    <w:basedOn w:val="1"/>
    <w:qFormat/>
    <w:uiPriority w:val="0"/>
    <w:rPr>
      <w:sz w:val="20"/>
      <w:lang w:val="zh-TW" w:eastAsia="zh-TW" w:bidi="zh-TW"/>
    </w:rPr>
  </w:style>
  <w:style w:type="paragraph" w:customStyle="1" w:styleId="33">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76092" w:themeColor="accent1" w:themeShade="BF"/>
      <w:kern w:val="0"/>
      <w:sz w:val="28"/>
      <w:szCs w:val="28"/>
    </w:rPr>
  </w:style>
  <w:style w:type="paragraph" w:customStyle="1" w:styleId="34">
    <w:name w:val="WPSOffice手动目录 1"/>
    <w:qFormat/>
    <w:uiPriority w:val="0"/>
    <w:pPr>
      <w:ind w:leftChars="0"/>
    </w:pPr>
    <w:rPr>
      <w:rFonts w:asciiTheme="minorHAnsi" w:hAnsiTheme="minorHAnsi" w:eastAsiaTheme="minorEastAsia" w:cstheme="minorBidi"/>
      <w:sz w:val="20"/>
      <w:szCs w:val="20"/>
    </w:rPr>
  </w:style>
  <w:style w:type="paragraph" w:customStyle="1" w:styleId="35">
    <w:name w:val="Default"/>
    <w:basedOn w:val="1"/>
    <w:qFormat/>
    <w:uiPriority w:val="0"/>
    <w:pPr>
      <w:autoSpaceDE w:val="0"/>
      <w:autoSpaceDN w:val="0"/>
      <w:adjustRightInd w:val="0"/>
      <w:spacing w:line="240" w:lineRule="auto"/>
      <w:ind w:firstLine="0" w:firstLineChars="0"/>
      <w:jc w:val="left"/>
    </w:pPr>
    <w:rPr>
      <w:rFonts w:ascii="宋体" w:hAnsi="宋体" w:cs="宋体"/>
      <w:kern w:val="0"/>
    </w:rPr>
  </w:style>
  <w:style w:type="paragraph" w:styleId="36">
    <w:name w:val="List Paragraph"/>
    <w:basedOn w:val="1"/>
    <w:qFormat/>
    <w:uiPriority w:val="34"/>
    <w:pPr>
      <w:ind w:firstLine="420" w:firstLineChars="200"/>
    </w:pPr>
  </w:style>
  <w:style w:type="paragraph" w:customStyle="1" w:styleId="37">
    <w:name w:val="Body text|1"/>
    <w:basedOn w:val="1"/>
    <w:qFormat/>
    <w:uiPriority w:val="0"/>
    <w:pPr>
      <w:widowControl w:val="0"/>
      <w:shd w:val="clear" w:color="auto" w:fill="auto"/>
      <w:spacing w:line="329"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10377</Words>
  <Characters>10921</Characters>
  <Lines>90</Lines>
  <Paragraphs>25</Paragraphs>
  <TotalTime>11</TotalTime>
  <ScaleCrop>false</ScaleCrop>
  <LinksUpToDate>false</LinksUpToDate>
  <CharactersWithSpaces>11227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Administrator</cp:lastModifiedBy>
  <cp:lastPrinted>2023-06-15T09:18:00Z</cp:lastPrinted>
  <dcterms:modified xsi:type="dcterms:W3CDTF">2023-10-11T05:55:09Z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93F5F31CE4CF4B9F8A1A0AEC0886AE86_13</vt:lpwstr>
  </property>
</Properties>
</file>