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AF55C">
      <w:pPr>
        <w:jc w:val="center"/>
        <w:rPr>
          <w:rFonts w:ascii="宋体" w:hAnsi="宋体" w:cs="宋体"/>
          <w:b/>
          <w:bCs/>
          <w:sz w:val="44"/>
          <w:szCs w:val="44"/>
        </w:rPr>
      </w:pPr>
      <w:r>
        <w:rPr>
          <w:rFonts w:hint="eastAsia" w:ascii="宋体" w:hAnsi="宋体" w:cs="宋体"/>
          <w:b/>
          <w:bCs/>
          <w:sz w:val="44"/>
          <w:szCs w:val="44"/>
        </w:rPr>
        <w:t>中共曲阳县直属机关工作委员会</w:t>
      </w:r>
    </w:p>
    <w:p w14:paraId="33418EC7">
      <w:pPr>
        <w:jc w:val="center"/>
        <w:rPr>
          <w:rFonts w:ascii="宋体" w:cs="Times New Roman"/>
          <w:b/>
          <w:bCs/>
          <w:sz w:val="44"/>
          <w:szCs w:val="44"/>
        </w:rPr>
      </w:pPr>
      <w:r>
        <w:rPr>
          <w:rFonts w:ascii="宋体" w:hAnsi="宋体" w:cs="宋体"/>
          <w:b/>
          <w:bCs/>
          <w:sz w:val="44"/>
          <w:szCs w:val="44"/>
        </w:rPr>
        <w:t>201</w:t>
      </w:r>
      <w:r>
        <w:rPr>
          <w:rFonts w:hint="eastAsia" w:ascii="宋体" w:hAnsi="宋体" w:cs="宋体"/>
          <w:b/>
          <w:bCs/>
          <w:sz w:val="44"/>
          <w:szCs w:val="44"/>
          <w:lang w:val="en-US" w:eastAsia="zh-CN"/>
        </w:rPr>
        <w:t>8</w:t>
      </w:r>
      <w:r>
        <w:rPr>
          <w:rFonts w:hint="eastAsia" w:ascii="宋体" w:hAnsi="宋体" w:cs="宋体"/>
          <w:b/>
          <w:bCs/>
          <w:sz w:val="44"/>
          <w:szCs w:val="44"/>
        </w:rPr>
        <w:t>年部门预算信息公开</w:t>
      </w:r>
    </w:p>
    <w:p w14:paraId="0D2D455C">
      <w:pPr>
        <w:spacing w:line="520" w:lineRule="exact"/>
        <w:ind w:firstLine="640" w:firstLineChars="200"/>
        <w:jc w:val="left"/>
        <w:rPr>
          <w:rFonts w:ascii="仿宋" w:hAnsi="仿宋" w:eastAsia="仿宋" w:cs="Times New Roman"/>
          <w:sz w:val="32"/>
          <w:szCs w:val="32"/>
        </w:rPr>
      </w:pPr>
    </w:p>
    <w:p w14:paraId="4D7EB793">
      <w:pPr>
        <w:spacing w:line="520" w:lineRule="exact"/>
        <w:ind w:right="-420" w:rightChars="-200"/>
        <w:jc w:val="left"/>
        <w:rPr>
          <w:rFonts w:ascii="仿宋" w:hAnsi="仿宋" w:eastAsia="仿宋" w:cs="Times New Roman"/>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按照《</w:t>
      </w:r>
      <w:r>
        <w:rPr>
          <w:rFonts w:hint="eastAsia" w:ascii="仿宋" w:hAnsi="仿宋" w:eastAsia="仿宋" w:cs="仿宋"/>
          <w:sz w:val="32"/>
          <w:szCs w:val="32"/>
          <w:lang w:val="en-US" w:eastAsia="zh-CN"/>
        </w:rPr>
        <w:t>中华人民共和国</w:t>
      </w:r>
      <w:r>
        <w:rPr>
          <w:rFonts w:hint="eastAsia" w:ascii="仿宋" w:hAnsi="仿宋" w:eastAsia="仿宋" w:cs="仿宋"/>
          <w:sz w:val="32"/>
          <w:szCs w:val="32"/>
        </w:rPr>
        <w:t>预算法》规定，现将中共曲阳县直属机关工作委员会</w:t>
      </w:r>
      <w:r>
        <w:rPr>
          <w:rFonts w:ascii="仿宋" w:hAnsi="仿宋" w:eastAsia="仿宋" w:cs="仿宋"/>
          <w:sz w:val="32"/>
          <w:szCs w:val="32"/>
        </w:rPr>
        <w:t>201</w:t>
      </w:r>
      <w:r>
        <w:rPr>
          <w:rFonts w:hint="eastAsia" w:ascii="仿宋" w:hAnsi="仿宋" w:eastAsia="仿宋" w:cs="仿宋"/>
          <w:sz w:val="32"/>
          <w:szCs w:val="32"/>
        </w:rPr>
        <w:t>8年部门预算公开如下：</w:t>
      </w:r>
    </w:p>
    <w:p w14:paraId="111DB52E">
      <w:pPr>
        <w:spacing w:line="520" w:lineRule="exact"/>
        <w:ind w:left="-420" w:leftChars="-200" w:right="-420" w:rightChars="-200"/>
        <w:rPr>
          <w:rFonts w:ascii="黑体" w:hAnsi="黑体" w:eastAsia="黑体" w:cs="Times New Roman"/>
          <w:sz w:val="32"/>
          <w:szCs w:val="32"/>
        </w:rPr>
      </w:pPr>
      <w:r>
        <w:rPr>
          <w:rFonts w:ascii="黑体" w:hAnsi="黑体" w:eastAsia="黑体" w:cs="黑体"/>
          <w:sz w:val="32"/>
          <w:szCs w:val="32"/>
        </w:rPr>
        <w:t xml:space="preserve">                </w:t>
      </w:r>
      <w:r>
        <w:rPr>
          <w:rFonts w:hint="eastAsia" w:ascii="黑体" w:hAnsi="黑体" w:eastAsia="黑体" w:cs="黑体"/>
          <w:sz w:val="32"/>
          <w:szCs w:val="32"/>
        </w:rPr>
        <w:t>第一部分</w:t>
      </w:r>
      <w:r>
        <w:rPr>
          <w:rFonts w:ascii="黑体" w:hAnsi="黑体" w:eastAsia="黑体" w:cs="黑体"/>
          <w:sz w:val="32"/>
          <w:szCs w:val="32"/>
        </w:rPr>
        <w:t>:</w:t>
      </w:r>
      <w:r>
        <w:rPr>
          <w:rFonts w:hint="eastAsia" w:ascii="黑体" w:hAnsi="黑体" w:eastAsia="黑体" w:cs="黑体"/>
          <w:sz w:val="32"/>
          <w:szCs w:val="32"/>
        </w:rPr>
        <w:t>部门职责及机构设置情况</w:t>
      </w:r>
    </w:p>
    <w:p w14:paraId="4FA89D90">
      <w:pPr>
        <w:numPr>
          <w:ilvl w:val="0"/>
          <w:numId w:val="1"/>
        </w:numPr>
        <w:spacing w:line="520" w:lineRule="exact"/>
        <w:ind w:left="-420" w:leftChars="-200" w:right="-420" w:rightChars="-200" w:firstLine="640" w:firstLineChars="200"/>
        <w:rPr>
          <w:rFonts w:hint="eastAsia" w:ascii="黑体" w:hAnsi="黑体" w:eastAsia="黑体" w:cs="Times New Roman"/>
          <w:sz w:val="32"/>
          <w:szCs w:val="32"/>
        </w:rPr>
      </w:pPr>
      <w:r>
        <w:rPr>
          <w:rFonts w:hint="eastAsia" w:ascii="黑体" w:hAnsi="黑体" w:eastAsia="黑体" w:cs="黑体"/>
          <w:sz w:val="32"/>
          <w:szCs w:val="32"/>
        </w:rPr>
        <w:t>部门职责</w:t>
      </w:r>
    </w:p>
    <w:p w14:paraId="0C0A534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221" w:leftChars="0" w:right="-420" w:rightChars="-200"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曲阳县直属机关工作委员会是县委的派出机构，负责领导县直机关党的工作，其主要职责：</w:t>
      </w:r>
    </w:p>
    <w:p w14:paraId="73E4143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221" w:leftChars="0" w:right="-420" w:rightChars="-20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提出县直机关党的建设规划,指导县直机关各级党组织抓好思想,组织、作风建设</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负责县直机关党员管理教育工作,科级及以下干部的理论学习培训</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w:t>
      </w:r>
      <w:r>
        <w:rPr>
          <w:rFonts w:hint="eastAsia" w:ascii="仿宋" w:hAnsi="仿宋" w:eastAsia="仿宋" w:cs="仿宋"/>
          <w:sz w:val="32"/>
          <w:szCs w:val="32"/>
        </w:rPr>
        <w:t>三</w:t>
      </w:r>
      <w:r>
        <w:rPr>
          <w:rFonts w:hint="eastAsia" w:ascii="仿宋" w:hAnsi="仿宋" w:eastAsia="仿宋" w:cs="仿宋"/>
          <w:sz w:val="32"/>
          <w:szCs w:val="32"/>
          <w:lang w:eastAsia="zh-CN"/>
        </w:rPr>
        <w:t>）</w:t>
      </w:r>
      <w:r>
        <w:rPr>
          <w:rFonts w:hint="eastAsia" w:ascii="仿宋" w:hAnsi="仿宋" w:eastAsia="仿宋" w:cs="仿宋"/>
          <w:sz w:val="32"/>
          <w:szCs w:val="32"/>
        </w:rPr>
        <w:t>指导县直机关党组织实施对党员特别是党员领导干部的监督,定期了解井及时向县委反映县直机关各部门领导班子和领导干部的情况和问题</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w:t>
      </w:r>
      <w:r>
        <w:rPr>
          <w:rFonts w:hint="eastAsia" w:ascii="仿宋" w:hAnsi="仿宋" w:eastAsia="仿宋" w:cs="仿宋"/>
          <w:sz w:val="32"/>
          <w:szCs w:val="32"/>
        </w:rPr>
        <w:t>四</w:t>
      </w:r>
      <w:r>
        <w:rPr>
          <w:rFonts w:hint="eastAsia" w:ascii="仿宋" w:hAnsi="仿宋" w:eastAsia="仿宋" w:cs="仿宋"/>
          <w:sz w:val="32"/>
          <w:szCs w:val="32"/>
          <w:lang w:eastAsia="zh-CN"/>
        </w:rPr>
        <w:t>）</w:t>
      </w:r>
      <w:r>
        <w:rPr>
          <w:rFonts w:hint="eastAsia" w:ascii="仿宋" w:hAnsi="仿宋" w:eastAsia="仿宋" w:cs="仿宋"/>
          <w:sz w:val="32"/>
          <w:szCs w:val="32"/>
        </w:rPr>
        <w:t>负责县直各部门机关党委组织的批建、换届、选举</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w:t>
      </w:r>
      <w:r>
        <w:rPr>
          <w:rFonts w:hint="eastAsia" w:ascii="仿宋" w:hAnsi="仿宋" w:eastAsia="仿宋" w:cs="仿宋"/>
          <w:sz w:val="32"/>
          <w:szCs w:val="32"/>
        </w:rPr>
        <w:t>五</w:t>
      </w:r>
      <w:r>
        <w:rPr>
          <w:rFonts w:hint="eastAsia" w:ascii="仿宋" w:hAnsi="仿宋" w:eastAsia="仿宋" w:cs="仿宋"/>
          <w:sz w:val="32"/>
          <w:szCs w:val="32"/>
          <w:lang w:eastAsia="zh-CN"/>
        </w:rPr>
        <w:t>）</w:t>
      </w:r>
      <w:r>
        <w:rPr>
          <w:rFonts w:hint="eastAsia" w:ascii="仿宋" w:hAnsi="仿宋" w:eastAsia="仿宋" w:cs="仿宋"/>
          <w:sz w:val="32"/>
          <w:szCs w:val="32"/>
        </w:rPr>
        <w:t>负责县直各部门机关党委发展党员计划的审批,直属党总支、支部发展党员和预备党员转正的审批,入党积极</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w:t>
      </w:r>
      <w:r>
        <w:rPr>
          <w:rFonts w:hint="eastAsia" w:ascii="仿宋" w:hAnsi="仿宋" w:eastAsia="仿宋" w:cs="仿宋"/>
          <w:sz w:val="32"/>
          <w:szCs w:val="32"/>
        </w:rPr>
        <w:t>六</w:t>
      </w:r>
      <w:r>
        <w:rPr>
          <w:rFonts w:hint="eastAsia" w:ascii="仿宋" w:hAnsi="仿宋" w:eastAsia="仿宋" w:cs="仿宋"/>
          <w:sz w:val="32"/>
          <w:szCs w:val="32"/>
          <w:lang w:eastAsia="zh-CN"/>
        </w:rPr>
        <w:t>）</w:t>
      </w:r>
      <w:r>
        <w:rPr>
          <w:rFonts w:hint="eastAsia" w:ascii="仿宋" w:hAnsi="仿宋" w:eastAsia="仿宋" w:cs="仿宋"/>
          <w:sz w:val="32"/>
          <w:szCs w:val="32"/>
        </w:rPr>
        <w:t>领导县直各部门机关党组织的分子的培训。纪律检查工作,审议党</w:t>
      </w:r>
      <w:r>
        <w:rPr>
          <w:rFonts w:hint="eastAsia" w:ascii="仿宋" w:hAnsi="仿宋" w:eastAsia="仿宋" w:cs="仿宋"/>
          <w:sz w:val="32"/>
          <w:szCs w:val="32"/>
          <w:lang w:eastAsia="zh-CN"/>
        </w:rPr>
        <w:t>干部</w:t>
      </w:r>
      <w:r>
        <w:rPr>
          <w:rFonts w:hint="eastAsia" w:ascii="仿宋" w:hAnsi="仿宋" w:eastAsia="仿宋" w:cs="仿宋"/>
          <w:sz w:val="32"/>
          <w:szCs w:val="32"/>
        </w:rPr>
        <w:t>违反党纪问题,审批科级以下党员违反党纪的处</w:t>
      </w:r>
      <w:r>
        <w:rPr>
          <w:rFonts w:hint="eastAsia" w:ascii="仿宋" w:hAnsi="仿宋" w:eastAsia="仿宋" w:cs="仿宋"/>
          <w:sz w:val="32"/>
          <w:szCs w:val="32"/>
          <w:lang w:eastAsia="zh-CN"/>
        </w:rPr>
        <w:t>理决定</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w:t>
      </w:r>
      <w:r>
        <w:rPr>
          <w:rFonts w:hint="eastAsia" w:ascii="仿宋" w:hAnsi="仿宋" w:eastAsia="仿宋" w:cs="仿宋"/>
          <w:sz w:val="32"/>
          <w:szCs w:val="32"/>
        </w:rPr>
        <w:t>七</w:t>
      </w:r>
      <w:r>
        <w:rPr>
          <w:rFonts w:hint="eastAsia" w:ascii="仿宋" w:hAnsi="仿宋" w:eastAsia="仿宋" w:cs="仿宋"/>
          <w:sz w:val="32"/>
          <w:szCs w:val="32"/>
          <w:lang w:eastAsia="zh-CN"/>
        </w:rPr>
        <w:t>）</w:t>
      </w:r>
      <w:r>
        <w:rPr>
          <w:rFonts w:hint="eastAsia" w:ascii="仿宋" w:hAnsi="仿宋" w:eastAsia="仿宋" w:cs="仿宋"/>
          <w:sz w:val="32"/>
          <w:szCs w:val="32"/>
        </w:rPr>
        <w:t>领导县直机关工会、共青团县理决定。直机关工作委员会、县直机关妇女工作委员会等群众组织工作。</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w:t>
      </w:r>
      <w:r>
        <w:rPr>
          <w:rFonts w:hint="eastAsia" w:ascii="仿宋" w:hAnsi="仿宋" w:eastAsia="仿宋" w:cs="仿宋"/>
          <w:sz w:val="32"/>
          <w:szCs w:val="32"/>
        </w:rPr>
        <w:t>八</w:t>
      </w:r>
      <w:r>
        <w:rPr>
          <w:rFonts w:hint="eastAsia" w:ascii="仿宋" w:hAnsi="仿宋" w:eastAsia="仿宋" w:cs="仿宋"/>
          <w:sz w:val="32"/>
          <w:szCs w:val="32"/>
          <w:lang w:eastAsia="zh-CN"/>
        </w:rPr>
        <w:t>）</w:t>
      </w:r>
      <w:r>
        <w:rPr>
          <w:rFonts w:hint="eastAsia" w:ascii="仿宋" w:hAnsi="仿宋" w:eastAsia="仿宋" w:cs="仿宋"/>
          <w:sz w:val="32"/>
          <w:szCs w:val="32"/>
        </w:rPr>
        <w:t>承办县委交办的其他事项。</w:t>
      </w:r>
    </w:p>
    <w:p w14:paraId="74197369">
      <w:pPr>
        <w:pStyle w:val="7"/>
        <w:spacing w:after="0" w:line="520" w:lineRule="exact"/>
        <w:ind w:left="0" w:leftChars="0" w:right="-420" w:rightChars="-200" w:firstLine="0" w:firstLineChars="0"/>
        <w:rPr>
          <w:rFonts w:hint="eastAsia" w:ascii="黑体" w:hAnsi="黑体" w:eastAsia="黑体" w:cs="黑体"/>
          <w:sz w:val="32"/>
          <w:szCs w:val="32"/>
        </w:rPr>
      </w:pPr>
    </w:p>
    <w:p w14:paraId="54958E55">
      <w:pPr>
        <w:pStyle w:val="7"/>
        <w:spacing w:after="0" w:line="520" w:lineRule="exact"/>
        <w:ind w:left="0" w:leftChars="0" w:right="-420" w:rightChars="-200" w:firstLine="0" w:firstLineChars="0"/>
        <w:rPr>
          <w:rFonts w:ascii="黑体" w:hAnsi="黑体" w:eastAsia="黑体" w:cs="Times New Roman"/>
          <w:sz w:val="32"/>
          <w:szCs w:val="32"/>
        </w:rPr>
      </w:pPr>
      <w:r>
        <w:rPr>
          <w:rFonts w:hint="eastAsia" w:ascii="黑体" w:hAnsi="黑体" w:eastAsia="黑体" w:cs="黑体"/>
          <w:sz w:val="32"/>
          <w:szCs w:val="32"/>
        </w:rPr>
        <w:t>二、机构设置</w:t>
      </w:r>
    </w:p>
    <w:tbl>
      <w:tblPr>
        <w:tblStyle w:val="5"/>
        <w:tblW w:w="8620" w:type="dxa"/>
        <w:tblInd w:w="-106" w:type="dxa"/>
        <w:tblLayout w:type="fixed"/>
        <w:tblCellMar>
          <w:top w:w="0" w:type="dxa"/>
          <w:left w:w="108" w:type="dxa"/>
          <w:bottom w:w="0" w:type="dxa"/>
          <w:right w:w="108" w:type="dxa"/>
        </w:tblCellMar>
      </w:tblPr>
      <w:tblGrid>
        <w:gridCol w:w="951"/>
        <w:gridCol w:w="2240"/>
        <w:gridCol w:w="1667"/>
        <w:gridCol w:w="1671"/>
        <w:gridCol w:w="2091"/>
      </w:tblGrid>
      <w:tr w14:paraId="079FCC7A">
        <w:tblPrEx>
          <w:tblCellMar>
            <w:top w:w="0" w:type="dxa"/>
            <w:left w:w="108" w:type="dxa"/>
            <w:bottom w:w="0" w:type="dxa"/>
            <w:right w:w="108" w:type="dxa"/>
          </w:tblCellMar>
        </w:tblPrEx>
        <w:trPr>
          <w:trHeight w:val="90" w:hRule="atLeast"/>
        </w:trPr>
        <w:tc>
          <w:tcPr>
            <w:tcW w:w="8620" w:type="dxa"/>
            <w:gridSpan w:val="5"/>
            <w:tcBorders>
              <w:top w:val="nil"/>
              <w:left w:val="nil"/>
              <w:bottom w:val="single" w:color="auto" w:sz="4" w:space="0"/>
              <w:right w:val="nil"/>
            </w:tcBorders>
            <w:vAlign w:val="center"/>
          </w:tcPr>
          <w:p w14:paraId="0F19F282">
            <w:pPr>
              <w:widowControl/>
              <w:ind w:left="-420" w:leftChars="-200" w:right="-420" w:rightChars="-200"/>
              <w:jc w:val="center"/>
              <w:rPr>
                <w:rFonts w:ascii="宋体" w:cs="宋体"/>
                <w:color w:val="000000"/>
                <w:kern w:val="0"/>
                <w:sz w:val="28"/>
                <w:szCs w:val="28"/>
              </w:rPr>
            </w:pPr>
            <w:r>
              <w:rPr>
                <w:rFonts w:hint="eastAsia" w:ascii="宋体" w:hAnsi="宋体" w:cs="宋体"/>
                <w:color w:val="000000"/>
                <w:kern w:val="0"/>
                <w:sz w:val="28"/>
                <w:szCs w:val="28"/>
              </w:rPr>
              <w:t>部门机构设置情况</w:t>
            </w:r>
          </w:p>
        </w:tc>
      </w:tr>
      <w:tr w14:paraId="1C26FEF6">
        <w:tblPrEx>
          <w:tblCellMar>
            <w:top w:w="0" w:type="dxa"/>
            <w:left w:w="108" w:type="dxa"/>
            <w:bottom w:w="0" w:type="dxa"/>
            <w:right w:w="108" w:type="dxa"/>
          </w:tblCellMar>
        </w:tblPrEx>
        <w:trPr>
          <w:trHeight w:val="312" w:hRule="atLeast"/>
        </w:trPr>
        <w:tc>
          <w:tcPr>
            <w:tcW w:w="951" w:type="dxa"/>
            <w:vMerge w:val="restart"/>
            <w:tcBorders>
              <w:top w:val="nil"/>
              <w:left w:val="single" w:color="auto" w:sz="4" w:space="0"/>
              <w:bottom w:val="single" w:color="000000" w:sz="4" w:space="0"/>
              <w:right w:val="single" w:color="auto" w:sz="4" w:space="0"/>
            </w:tcBorders>
            <w:vAlign w:val="center"/>
          </w:tcPr>
          <w:p w14:paraId="32C5B07C">
            <w:pPr>
              <w:widowControl/>
              <w:ind w:left="-420" w:leftChars="-200" w:right="-420" w:rightChars="-200"/>
              <w:jc w:val="center"/>
              <w:rPr>
                <w:rFonts w:ascii="宋体" w:cs="宋体"/>
                <w:color w:val="000000"/>
                <w:kern w:val="0"/>
                <w:sz w:val="24"/>
                <w:szCs w:val="24"/>
              </w:rPr>
            </w:pPr>
            <w:r>
              <w:rPr>
                <w:rFonts w:hint="eastAsia" w:ascii="宋体" w:hAnsi="宋体" w:cs="宋体"/>
                <w:color w:val="000000"/>
                <w:kern w:val="0"/>
                <w:sz w:val="24"/>
                <w:szCs w:val="24"/>
              </w:rPr>
              <w:t>序号</w:t>
            </w:r>
          </w:p>
        </w:tc>
        <w:tc>
          <w:tcPr>
            <w:tcW w:w="2240" w:type="dxa"/>
            <w:vMerge w:val="restart"/>
            <w:tcBorders>
              <w:top w:val="nil"/>
              <w:left w:val="single" w:color="auto" w:sz="4" w:space="0"/>
              <w:bottom w:val="single" w:color="000000" w:sz="4" w:space="0"/>
              <w:right w:val="single" w:color="auto" w:sz="4" w:space="0"/>
            </w:tcBorders>
            <w:vAlign w:val="center"/>
          </w:tcPr>
          <w:p w14:paraId="6D1FCB98">
            <w:pPr>
              <w:widowControl/>
              <w:ind w:left="-420" w:leftChars="-200" w:right="-420" w:rightChars="-200"/>
              <w:jc w:val="center"/>
              <w:rPr>
                <w:rFonts w:ascii="宋体" w:cs="宋体"/>
                <w:color w:val="000000"/>
                <w:kern w:val="0"/>
                <w:sz w:val="24"/>
                <w:szCs w:val="24"/>
              </w:rPr>
            </w:pPr>
            <w:r>
              <w:rPr>
                <w:rFonts w:hint="eastAsia" w:ascii="宋体" w:hAnsi="宋体" w:cs="宋体"/>
                <w:color w:val="000000"/>
                <w:kern w:val="0"/>
                <w:sz w:val="24"/>
                <w:szCs w:val="24"/>
              </w:rPr>
              <w:t>单位名称</w:t>
            </w:r>
          </w:p>
        </w:tc>
        <w:tc>
          <w:tcPr>
            <w:tcW w:w="1667" w:type="dxa"/>
            <w:vMerge w:val="restart"/>
            <w:tcBorders>
              <w:top w:val="nil"/>
              <w:left w:val="single" w:color="auto" w:sz="4" w:space="0"/>
              <w:bottom w:val="single" w:color="000000" w:sz="4" w:space="0"/>
              <w:right w:val="single" w:color="auto" w:sz="4" w:space="0"/>
            </w:tcBorders>
            <w:vAlign w:val="center"/>
          </w:tcPr>
          <w:p w14:paraId="2FB1903F">
            <w:pPr>
              <w:widowControl/>
              <w:ind w:left="-420" w:leftChars="-200" w:right="-420" w:rightChars="-200"/>
              <w:jc w:val="center"/>
              <w:rPr>
                <w:rFonts w:ascii="宋体" w:cs="宋体"/>
                <w:color w:val="000000"/>
                <w:kern w:val="0"/>
                <w:sz w:val="24"/>
                <w:szCs w:val="24"/>
              </w:rPr>
            </w:pPr>
            <w:r>
              <w:rPr>
                <w:rFonts w:hint="eastAsia" w:ascii="宋体" w:hAnsi="宋体" w:cs="宋体"/>
                <w:color w:val="000000"/>
                <w:kern w:val="0"/>
                <w:sz w:val="24"/>
                <w:szCs w:val="24"/>
              </w:rPr>
              <w:t>单位性质</w:t>
            </w:r>
          </w:p>
        </w:tc>
        <w:tc>
          <w:tcPr>
            <w:tcW w:w="1671" w:type="dxa"/>
            <w:vMerge w:val="restart"/>
            <w:tcBorders>
              <w:top w:val="nil"/>
              <w:left w:val="single" w:color="auto" w:sz="4" w:space="0"/>
              <w:bottom w:val="single" w:color="000000" w:sz="4" w:space="0"/>
              <w:right w:val="single" w:color="auto" w:sz="4" w:space="0"/>
            </w:tcBorders>
            <w:vAlign w:val="center"/>
          </w:tcPr>
          <w:p w14:paraId="38BD8CFC">
            <w:pPr>
              <w:widowControl/>
              <w:ind w:left="-420" w:leftChars="-200" w:right="-420" w:rightChars="-200"/>
              <w:jc w:val="center"/>
              <w:rPr>
                <w:rFonts w:ascii="宋体" w:cs="宋体"/>
                <w:color w:val="000000"/>
                <w:kern w:val="0"/>
                <w:sz w:val="24"/>
                <w:szCs w:val="24"/>
              </w:rPr>
            </w:pPr>
            <w:r>
              <w:rPr>
                <w:rFonts w:hint="eastAsia" w:ascii="宋体" w:hAnsi="宋体" w:cs="宋体"/>
                <w:color w:val="000000"/>
                <w:kern w:val="0"/>
                <w:sz w:val="24"/>
                <w:szCs w:val="24"/>
              </w:rPr>
              <w:t>单位规格</w:t>
            </w:r>
          </w:p>
        </w:tc>
        <w:tc>
          <w:tcPr>
            <w:tcW w:w="2091" w:type="dxa"/>
            <w:vMerge w:val="restart"/>
            <w:tcBorders>
              <w:top w:val="nil"/>
              <w:left w:val="single" w:color="auto" w:sz="4" w:space="0"/>
              <w:bottom w:val="single" w:color="000000" w:sz="4" w:space="0"/>
              <w:right w:val="single" w:color="auto" w:sz="4" w:space="0"/>
            </w:tcBorders>
            <w:vAlign w:val="center"/>
          </w:tcPr>
          <w:p w14:paraId="75E38E1C">
            <w:pPr>
              <w:widowControl/>
              <w:ind w:left="-420" w:leftChars="-200" w:right="-420" w:rightChars="-200"/>
              <w:jc w:val="center"/>
              <w:rPr>
                <w:rFonts w:ascii="宋体" w:cs="宋体"/>
                <w:color w:val="000000"/>
                <w:kern w:val="0"/>
                <w:sz w:val="24"/>
                <w:szCs w:val="24"/>
              </w:rPr>
            </w:pPr>
            <w:r>
              <w:rPr>
                <w:rFonts w:hint="eastAsia" w:ascii="宋体" w:hAnsi="宋体" w:cs="宋体"/>
                <w:color w:val="000000"/>
                <w:kern w:val="0"/>
                <w:sz w:val="24"/>
                <w:szCs w:val="24"/>
              </w:rPr>
              <w:t>经费保障形式</w:t>
            </w:r>
          </w:p>
        </w:tc>
      </w:tr>
      <w:tr w14:paraId="73FA7890">
        <w:tblPrEx>
          <w:tblCellMar>
            <w:top w:w="0" w:type="dxa"/>
            <w:left w:w="108" w:type="dxa"/>
            <w:bottom w:w="0" w:type="dxa"/>
            <w:right w:w="108" w:type="dxa"/>
          </w:tblCellMar>
        </w:tblPrEx>
        <w:trPr>
          <w:trHeight w:val="312" w:hRule="atLeast"/>
        </w:trPr>
        <w:tc>
          <w:tcPr>
            <w:tcW w:w="951" w:type="dxa"/>
            <w:vMerge w:val="continue"/>
            <w:tcBorders>
              <w:top w:val="nil"/>
              <w:left w:val="single" w:color="auto" w:sz="4" w:space="0"/>
              <w:bottom w:val="single" w:color="000000" w:sz="4" w:space="0"/>
              <w:right w:val="single" w:color="auto" w:sz="4" w:space="0"/>
            </w:tcBorders>
            <w:vAlign w:val="center"/>
          </w:tcPr>
          <w:p w14:paraId="0B1D698C">
            <w:pPr>
              <w:widowControl/>
              <w:ind w:left="-420" w:leftChars="-200" w:right="-420" w:rightChars="-200"/>
              <w:jc w:val="left"/>
              <w:rPr>
                <w:rFonts w:ascii="宋体" w:cs="宋体"/>
                <w:color w:val="000000"/>
                <w:kern w:val="0"/>
                <w:sz w:val="24"/>
                <w:szCs w:val="24"/>
              </w:rPr>
            </w:pPr>
          </w:p>
        </w:tc>
        <w:tc>
          <w:tcPr>
            <w:tcW w:w="2240" w:type="dxa"/>
            <w:vMerge w:val="continue"/>
            <w:tcBorders>
              <w:top w:val="nil"/>
              <w:left w:val="single" w:color="auto" w:sz="4" w:space="0"/>
              <w:bottom w:val="single" w:color="000000" w:sz="4" w:space="0"/>
              <w:right w:val="single" w:color="auto" w:sz="4" w:space="0"/>
            </w:tcBorders>
            <w:vAlign w:val="center"/>
          </w:tcPr>
          <w:p w14:paraId="6812EDEA">
            <w:pPr>
              <w:widowControl/>
              <w:ind w:left="-420" w:leftChars="-200" w:right="-420" w:rightChars="-200"/>
              <w:jc w:val="left"/>
              <w:rPr>
                <w:rFonts w:ascii="宋体" w:cs="宋体"/>
                <w:color w:val="000000"/>
                <w:kern w:val="0"/>
                <w:sz w:val="24"/>
                <w:szCs w:val="24"/>
              </w:rPr>
            </w:pPr>
          </w:p>
        </w:tc>
        <w:tc>
          <w:tcPr>
            <w:tcW w:w="1667" w:type="dxa"/>
            <w:vMerge w:val="continue"/>
            <w:tcBorders>
              <w:top w:val="nil"/>
              <w:left w:val="single" w:color="auto" w:sz="4" w:space="0"/>
              <w:bottom w:val="single" w:color="000000" w:sz="4" w:space="0"/>
              <w:right w:val="single" w:color="auto" w:sz="4" w:space="0"/>
            </w:tcBorders>
            <w:vAlign w:val="center"/>
          </w:tcPr>
          <w:p w14:paraId="4E12C45A">
            <w:pPr>
              <w:widowControl/>
              <w:ind w:left="-420" w:leftChars="-200" w:right="-420" w:rightChars="-200"/>
              <w:jc w:val="left"/>
              <w:rPr>
                <w:rFonts w:ascii="宋体" w:cs="宋体"/>
                <w:color w:val="000000"/>
                <w:kern w:val="0"/>
                <w:sz w:val="24"/>
                <w:szCs w:val="24"/>
              </w:rPr>
            </w:pPr>
          </w:p>
        </w:tc>
        <w:tc>
          <w:tcPr>
            <w:tcW w:w="1671" w:type="dxa"/>
            <w:vMerge w:val="continue"/>
            <w:tcBorders>
              <w:top w:val="nil"/>
              <w:left w:val="single" w:color="auto" w:sz="4" w:space="0"/>
              <w:bottom w:val="single" w:color="000000" w:sz="4" w:space="0"/>
              <w:right w:val="single" w:color="auto" w:sz="4" w:space="0"/>
            </w:tcBorders>
            <w:vAlign w:val="center"/>
          </w:tcPr>
          <w:p w14:paraId="3340830D">
            <w:pPr>
              <w:widowControl/>
              <w:ind w:left="-420" w:leftChars="-200" w:right="-420" w:rightChars="-200"/>
              <w:jc w:val="left"/>
              <w:rPr>
                <w:rFonts w:ascii="宋体" w:cs="宋体"/>
                <w:color w:val="000000"/>
                <w:kern w:val="0"/>
                <w:sz w:val="24"/>
                <w:szCs w:val="24"/>
              </w:rPr>
            </w:pPr>
          </w:p>
        </w:tc>
        <w:tc>
          <w:tcPr>
            <w:tcW w:w="2091" w:type="dxa"/>
            <w:vMerge w:val="continue"/>
            <w:tcBorders>
              <w:top w:val="nil"/>
              <w:left w:val="single" w:color="auto" w:sz="4" w:space="0"/>
              <w:bottom w:val="single" w:color="000000" w:sz="4" w:space="0"/>
              <w:right w:val="single" w:color="auto" w:sz="4" w:space="0"/>
            </w:tcBorders>
            <w:vAlign w:val="center"/>
          </w:tcPr>
          <w:p w14:paraId="1F8EA907">
            <w:pPr>
              <w:widowControl/>
              <w:ind w:left="-420" w:leftChars="-200" w:right="-420" w:rightChars="-200"/>
              <w:jc w:val="left"/>
              <w:rPr>
                <w:rFonts w:ascii="宋体" w:cs="宋体"/>
                <w:color w:val="000000"/>
                <w:kern w:val="0"/>
                <w:sz w:val="24"/>
                <w:szCs w:val="24"/>
              </w:rPr>
            </w:pPr>
          </w:p>
        </w:tc>
      </w:tr>
      <w:tr w14:paraId="76CF6B17">
        <w:tblPrEx>
          <w:tblCellMar>
            <w:top w:w="0" w:type="dxa"/>
            <w:left w:w="108" w:type="dxa"/>
            <w:bottom w:w="0" w:type="dxa"/>
            <w:right w:w="108" w:type="dxa"/>
          </w:tblCellMar>
        </w:tblPrEx>
        <w:trPr>
          <w:trHeight w:val="667" w:hRule="atLeast"/>
        </w:trPr>
        <w:tc>
          <w:tcPr>
            <w:tcW w:w="951" w:type="dxa"/>
            <w:tcBorders>
              <w:top w:val="nil"/>
              <w:left w:val="single" w:color="auto" w:sz="4" w:space="0"/>
              <w:bottom w:val="single" w:color="auto" w:sz="4" w:space="0"/>
              <w:right w:val="single" w:color="auto" w:sz="4" w:space="0"/>
            </w:tcBorders>
            <w:vAlign w:val="center"/>
          </w:tcPr>
          <w:p w14:paraId="70D3F885">
            <w:pPr>
              <w:widowControl/>
              <w:ind w:left="-420" w:leftChars="-200" w:right="-420" w:rightChars="-200"/>
              <w:jc w:val="center"/>
              <w:rPr>
                <w:rFonts w:ascii="宋体" w:hAnsi="宋体" w:cs="宋体"/>
                <w:color w:val="000000"/>
                <w:kern w:val="0"/>
                <w:sz w:val="24"/>
                <w:szCs w:val="24"/>
              </w:rPr>
            </w:pPr>
            <w:r>
              <w:rPr>
                <w:rFonts w:ascii="宋体" w:hAnsi="宋体" w:cs="宋体"/>
                <w:color w:val="000000"/>
                <w:kern w:val="0"/>
                <w:sz w:val="24"/>
                <w:szCs w:val="24"/>
              </w:rPr>
              <w:t>1</w:t>
            </w:r>
          </w:p>
        </w:tc>
        <w:tc>
          <w:tcPr>
            <w:tcW w:w="2240" w:type="dxa"/>
            <w:tcBorders>
              <w:top w:val="nil"/>
              <w:left w:val="nil"/>
              <w:bottom w:val="single" w:color="auto" w:sz="4" w:space="0"/>
              <w:right w:val="single" w:color="auto" w:sz="4" w:space="0"/>
            </w:tcBorders>
            <w:vAlign w:val="center"/>
          </w:tcPr>
          <w:p w14:paraId="35A13D9A">
            <w:pPr>
              <w:widowControl/>
              <w:ind w:left="-420" w:leftChars="-200" w:right="-420" w:rightChars="-200"/>
              <w:jc w:val="center"/>
              <w:rPr>
                <w:rFonts w:hint="eastAsia" w:ascii="宋体" w:hAnsi="宋体" w:cs="宋体"/>
                <w:bCs/>
                <w:iCs/>
                <w:color w:val="000000"/>
                <w:kern w:val="0"/>
                <w:sz w:val="24"/>
                <w:szCs w:val="24"/>
              </w:rPr>
            </w:pPr>
            <w:r>
              <w:rPr>
                <w:rFonts w:hint="eastAsia" w:ascii="宋体" w:hAnsi="宋体" w:cs="宋体"/>
                <w:bCs/>
                <w:iCs/>
                <w:color w:val="000000"/>
                <w:kern w:val="0"/>
                <w:sz w:val="24"/>
                <w:szCs w:val="24"/>
              </w:rPr>
              <w:t>中国共产党曲阳县直</w:t>
            </w:r>
          </w:p>
          <w:p w14:paraId="62D1DD8B">
            <w:pPr>
              <w:widowControl/>
              <w:ind w:left="-420" w:leftChars="-200" w:right="-420" w:rightChars="-200"/>
              <w:jc w:val="center"/>
              <w:rPr>
                <w:rFonts w:ascii="宋体" w:cs="Times New Roman"/>
                <w:color w:val="000000"/>
                <w:kern w:val="0"/>
                <w:sz w:val="24"/>
                <w:szCs w:val="24"/>
              </w:rPr>
            </w:pPr>
            <w:r>
              <w:rPr>
                <w:rFonts w:hint="eastAsia" w:ascii="宋体" w:hAnsi="宋体" w:cs="宋体"/>
                <w:bCs/>
                <w:iCs/>
                <w:color w:val="000000"/>
                <w:kern w:val="0"/>
                <w:sz w:val="24"/>
                <w:szCs w:val="24"/>
              </w:rPr>
              <w:t>属机关工作委员会</w:t>
            </w:r>
          </w:p>
        </w:tc>
        <w:tc>
          <w:tcPr>
            <w:tcW w:w="1667" w:type="dxa"/>
            <w:tcBorders>
              <w:top w:val="nil"/>
              <w:left w:val="nil"/>
              <w:bottom w:val="single" w:color="auto" w:sz="4" w:space="0"/>
              <w:right w:val="single" w:color="auto" w:sz="4" w:space="0"/>
            </w:tcBorders>
            <w:vAlign w:val="center"/>
          </w:tcPr>
          <w:p w14:paraId="77D8188E">
            <w:pPr>
              <w:widowControl/>
              <w:ind w:left="-420" w:leftChars="-200" w:right="-420" w:rightChars="-200"/>
              <w:jc w:val="center"/>
              <w:rPr>
                <w:rFonts w:ascii="宋体" w:cs="宋体"/>
                <w:color w:val="000000"/>
                <w:kern w:val="0"/>
                <w:sz w:val="24"/>
                <w:szCs w:val="24"/>
              </w:rPr>
            </w:pPr>
            <w:r>
              <w:rPr>
                <w:rFonts w:hint="eastAsia" w:ascii="宋体" w:hAnsi="宋体" w:cs="宋体"/>
                <w:color w:val="000000"/>
                <w:kern w:val="0"/>
                <w:sz w:val="24"/>
                <w:szCs w:val="24"/>
              </w:rPr>
              <w:t>行政</w:t>
            </w:r>
          </w:p>
        </w:tc>
        <w:tc>
          <w:tcPr>
            <w:tcW w:w="1671" w:type="dxa"/>
            <w:tcBorders>
              <w:top w:val="nil"/>
              <w:left w:val="nil"/>
              <w:bottom w:val="single" w:color="auto" w:sz="4" w:space="0"/>
              <w:right w:val="single" w:color="auto" w:sz="4" w:space="0"/>
            </w:tcBorders>
            <w:vAlign w:val="center"/>
          </w:tcPr>
          <w:p w14:paraId="4A8698DC">
            <w:pPr>
              <w:widowControl/>
              <w:ind w:left="-420" w:leftChars="-200" w:right="-420" w:rightChars="-200"/>
              <w:jc w:val="center"/>
              <w:rPr>
                <w:rFonts w:ascii="宋体" w:cs="宋体"/>
                <w:color w:val="000000"/>
                <w:kern w:val="0"/>
                <w:sz w:val="24"/>
                <w:szCs w:val="24"/>
              </w:rPr>
            </w:pPr>
            <w:r>
              <w:rPr>
                <w:rFonts w:hint="eastAsia" w:ascii="宋体" w:hAnsi="宋体" w:cs="宋体"/>
                <w:color w:val="000000"/>
                <w:kern w:val="0"/>
                <w:sz w:val="24"/>
                <w:szCs w:val="24"/>
              </w:rPr>
              <w:t>正科级</w:t>
            </w:r>
          </w:p>
        </w:tc>
        <w:tc>
          <w:tcPr>
            <w:tcW w:w="2091" w:type="dxa"/>
            <w:tcBorders>
              <w:top w:val="nil"/>
              <w:left w:val="nil"/>
              <w:bottom w:val="single" w:color="auto" w:sz="4" w:space="0"/>
              <w:right w:val="single" w:color="auto" w:sz="4" w:space="0"/>
            </w:tcBorders>
            <w:vAlign w:val="center"/>
          </w:tcPr>
          <w:p w14:paraId="32BBEF87">
            <w:pPr>
              <w:widowControl/>
              <w:ind w:left="-420" w:leftChars="-200" w:right="-420" w:rightChars="-200"/>
              <w:jc w:val="center"/>
              <w:rPr>
                <w:rFonts w:ascii="宋体" w:cs="宋体"/>
                <w:color w:val="000000"/>
                <w:kern w:val="0"/>
                <w:sz w:val="24"/>
                <w:szCs w:val="24"/>
              </w:rPr>
            </w:pPr>
            <w:r>
              <w:rPr>
                <w:rFonts w:hint="eastAsia" w:ascii="宋体" w:hAnsi="宋体" w:cs="宋体"/>
                <w:color w:val="000000"/>
                <w:kern w:val="0"/>
                <w:sz w:val="24"/>
                <w:szCs w:val="24"/>
              </w:rPr>
              <w:t>财政拨款</w:t>
            </w:r>
          </w:p>
        </w:tc>
      </w:tr>
    </w:tbl>
    <w:p w14:paraId="1002798C">
      <w:pPr>
        <w:outlineLvl w:val="0"/>
        <w:rPr>
          <w:rFonts w:ascii="黑体" w:hAnsi="黑体" w:eastAsia="黑体" w:cs="Times New Roman"/>
          <w:b/>
          <w:bCs/>
          <w:sz w:val="32"/>
          <w:szCs w:val="32"/>
        </w:rPr>
      </w:pPr>
      <w:r>
        <w:rPr>
          <w:rFonts w:ascii="黑体" w:hAnsi="黑体" w:eastAsia="黑体" w:cs="黑体"/>
          <w:b/>
          <w:bCs/>
          <w:sz w:val="32"/>
          <w:szCs w:val="32"/>
        </w:rPr>
        <w:t xml:space="preserve">              </w:t>
      </w:r>
      <w:r>
        <w:rPr>
          <w:rFonts w:hint="eastAsia" w:ascii="黑体" w:hAnsi="黑体" w:eastAsia="黑体" w:cs="黑体"/>
          <w:b/>
          <w:bCs/>
          <w:sz w:val="32"/>
          <w:szCs w:val="32"/>
        </w:rPr>
        <w:t>第二部分：绩效预算信息</w:t>
      </w:r>
    </w:p>
    <w:p w14:paraId="66D69A75">
      <w:pPr>
        <w:jc w:val="center"/>
        <w:outlineLvl w:val="0"/>
        <w:rPr>
          <w:rFonts w:ascii="宋体" w:cs="Times New Roman"/>
        </w:rPr>
      </w:pPr>
      <w:r>
        <w:rPr>
          <w:rFonts w:ascii="宋体" w:hAnsi="宋体" w:cs="宋体"/>
        </w:rPr>
        <w:t xml:space="preserve"> </w:t>
      </w:r>
    </w:p>
    <w:p w14:paraId="5C7C982B">
      <w:pPr>
        <w:numPr>
          <w:ilvl w:val="0"/>
          <w:numId w:val="0"/>
        </w:numPr>
        <w:spacing w:line="520" w:lineRule="exact"/>
        <w:ind w:leftChars="0"/>
        <w:jc w:val="left"/>
        <w:rPr>
          <w:rFonts w:hint="eastAsia" w:ascii="黑体" w:hAnsi="黑体" w:eastAsia="黑体" w:cs="Times New Roman"/>
          <w:b/>
          <w:bCs/>
          <w:sz w:val="32"/>
          <w:szCs w:val="32"/>
        </w:rPr>
      </w:pPr>
      <w:r>
        <w:rPr>
          <w:rFonts w:ascii="黑体" w:hAnsi="黑体" w:eastAsia="黑体" w:cs="黑体"/>
          <w:b/>
          <w:bCs/>
          <w:sz w:val="32"/>
          <w:szCs w:val="32"/>
        </w:rPr>
        <w:t xml:space="preserve"> </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lang w:eastAsia="zh-CN"/>
        </w:rPr>
        <w:t>一、</w:t>
      </w:r>
      <w:r>
        <w:rPr>
          <w:rFonts w:hint="eastAsia" w:ascii="黑体" w:hAnsi="黑体" w:eastAsia="黑体" w:cs="黑体"/>
          <w:b/>
          <w:bCs/>
          <w:sz w:val="32"/>
          <w:szCs w:val="32"/>
        </w:rPr>
        <w:t>总体绩效目标：</w:t>
      </w:r>
    </w:p>
    <w:p w14:paraId="41CE231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ascii="仿宋" w:hAnsi="仿宋" w:eastAsia="仿宋"/>
          <w:sz w:val="32"/>
          <w:szCs w:val="32"/>
        </w:rPr>
      </w:pPr>
      <w:r>
        <w:rPr>
          <w:rFonts w:hint="eastAsia" w:ascii="仿宋" w:hAnsi="仿宋" w:eastAsia="仿宋"/>
          <w:b/>
          <w:bCs/>
          <w:sz w:val="32"/>
          <w:szCs w:val="32"/>
          <w:lang w:eastAsia="zh-CN"/>
        </w:rPr>
        <w:t>（一）</w:t>
      </w:r>
      <w:r>
        <w:rPr>
          <w:rFonts w:ascii="仿宋" w:hAnsi="仿宋" w:eastAsia="仿宋"/>
          <w:b/>
          <w:bCs/>
          <w:sz w:val="32"/>
          <w:szCs w:val="32"/>
        </w:rPr>
        <w:t>年度发展规划目标</w:t>
      </w:r>
    </w:p>
    <w:p w14:paraId="769FE8F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ascii="仿宋" w:hAnsi="仿宋" w:eastAsia="仿宋" w:cs="仿宋"/>
          <w:sz w:val="32"/>
          <w:szCs w:val="32"/>
        </w:rPr>
      </w:pPr>
      <w:r>
        <w:rPr>
          <w:rFonts w:hint="eastAsia" w:ascii="仿宋" w:hAnsi="仿宋" w:eastAsia="仿宋" w:cs="仿宋"/>
          <w:sz w:val="32"/>
          <w:szCs w:val="32"/>
        </w:rPr>
        <w:t>2018年，县直机关工委将以习近平新时代中国特色社会主义思想为统领，继续扎实</w:t>
      </w:r>
      <w:r>
        <w:rPr>
          <w:rFonts w:hint="eastAsia" w:ascii="仿宋" w:hAnsi="仿宋" w:eastAsia="仿宋" w:cs="仿宋"/>
          <w:sz w:val="32"/>
          <w:szCs w:val="32"/>
          <w:lang w:eastAsia="zh-CN"/>
        </w:rPr>
        <w:t>深入学习贯彻</w:t>
      </w:r>
      <w:r>
        <w:rPr>
          <w:rFonts w:hint="eastAsia" w:ascii="仿宋" w:hAnsi="仿宋" w:eastAsia="仿宋" w:cs="仿宋"/>
          <w:sz w:val="32"/>
          <w:szCs w:val="32"/>
        </w:rPr>
        <w:t>宣传贯彻党的十九大精神和习近平总书记系列</w:t>
      </w:r>
      <w:r>
        <w:rPr>
          <w:rFonts w:hint="eastAsia" w:ascii="仿宋" w:hAnsi="仿宋" w:eastAsia="仿宋" w:cs="仿宋"/>
          <w:sz w:val="32"/>
          <w:szCs w:val="32"/>
          <w:lang w:eastAsia="zh-CN"/>
        </w:rPr>
        <w:t>重要</w:t>
      </w:r>
      <w:r>
        <w:rPr>
          <w:rFonts w:hint="eastAsia" w:ascii="仿宋" w:hAnsi="仿宋" w:eastAsia="仿宋" w:cs="仿宋"/>
          <w:sz w:val="32"/>
          <w:szCs w:val="32"/>
        </w:rPr>
        <w:t>讲话精神，进一步创新工作举措，狠抓工作落实，不断夯实机关党建基础，提高机关党建科学化水平，开创机关党建新局面。</w:t>
      </w:r>
    </w:p>
    <w:p w14:paraId="4610DE0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进一步推进机关党的思想政治建设。以进一步学懂弄通做实党的十九大精神为抓手，组织广大机关党员继续</w:t>
      </w:r>
      <w:r>
        <w:rPr>
          <w:rFonts w:hint="eastAsia" w:ascii="仿宋" w:hAnsi="仿宋" w:eastAsia="仿宋" w:cs="仿宋"/>
          <w:sz w:val="32"/>
          <w:szCs w:val="32"/>
          <w:lang w:eastAsia="zh-CN"/>
        </w:rPr>
        <w:t>深入学习贯彻</w:t>
      </w:r>
      <w:r>
        <w:rPr>
          <w:rFonts w:hint="eastAsia" w:ascii="仿宋" w:hAnsi="仿宋" w:eastAsia="仿宋" w:cs="仿宋"/>
          <w:sz w:val="32"/>
          <w:szCs w:val="32"/>
        </w:rPr>
        <w:t>党的十九大精神、党章党规和习近平总书记系列</w:t>
      </w:r>
      <w:r>
        <w:rPr>
          <w:rFonts w:hint="eastAsia" w:ascii="仿宋" w:hAnsi="仿宋" w:eastAsia="仿宋" w:cs="仿宋"/>
          <w:sz w:val="32"/>
          <w:szCs w:val="32"/>
          <w:lang w:eastAsia="zh-CN"/>
        </w:rPr>
        <w:t>重要</w:t>
      </w:r>
      <w:r>
        <w:rPr>
          <w:rFonts w:hint="eastAsia" w:ascii="仿宋" w:hAnsi="仿宋" w:eastAsia="仿宋" w:cs="仿宋"/>
          <w:sz w:val="32"/>
          <w:szCs w:val="32"/>
        </w:rPr>
        <w:t>讲话精神，引导机关党员干部进一步解放思想，坚定信心，扎实做好各项工作。同时，研究新形势下机关党员干部的新变化、新特点、新需求，探索学习的新方法、新途径、新载体，以“七一”等重要节日节点为依托，组织开展针对机关党务干部和预备党员、积极分子的教育培训，建立健全推动学习经常化、规范化、制度化、科学化的长效机制。</w:t>
      </w:r>
    </w:p>
    <w:p w14:paraId="2937783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进一步加强和规范机关党的组织建设。按照“八规范一丰富”工作要求，进一步健全和完善党建工作制度，抓好基层组织建设和党员发展工作，提升机关党建软硬件水平。强化督导检查，重点检查各级党组织贯彻落实“三会一课”、组织生活会、民主评议党员和谈心谈话等党组织基本生活制度情况，推动机关党建制度化、规范化。认真开展好机关党员活动日活动，发动党员志愿者围绕全县工作大局开展服务，增强党员的大局意识和服务意识。</w:t>
      </w:r>
    </w:p>
    <w:p w14:paraId="5C686C9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ascii="方正仿宋_GBK" w:eastAsia="方正仿宋_GBK"/>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进一步推进机关党的作风建设和反腐倡廉建设。认真贯彻落实《中国共产党廉洁自律准则》和《中国共产党纪律处分条例》，增强纪律观念，严格执行中央八项规定，厉行勤俭节约，不断拓展从源头上防治腐败工作的领域，塑造机关干部“担当、奉献、求实、创新”精神，努力营造“为民务实清廉”的工作作风。</w:t>
      </w:r>
    </w:p>
    <w:p w14:paraId="27F51BB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ascii="仿宋" w:hAnsi="仿宋" w:eastAsia="仿宋"/>
          <w:b/>
          <w:bCs/>
          <w:sz w:val="32"/>
          <w:szCs w:val="32"/>
        </w:rPr>
      </w:pPr>
      <w:r>
        <w:rPr>
          <w:rFonts w:hint="eastAsia" w:ascii="仿宋" w:hAnsi="仿宋" w:eastAsia="仿宋"/>
          <w:b/>
          <w:bCs/>
          <w:sz w:val="32"/>
          <w:szCs w:val="32"/>
          <w:lang w:eastAsia="zh-CN"/>
        </w:rPr>
        <w:t>（二）</w:t>
      </w:r>
      <w:r>
        <w:rPr>
          <w:rFonts w:ascii="仿宋" w:hAnsi="仿宋" w:eastAsia="仿宋"/>
          <w:b/>
          <w:bCs/>
          <w:sz w:val="32"/>
          <w:szCs w:val="32"/>
        </w:rPr>
        <w:t>职责分类绩效目标情况说明</w:t>
      </w:r>
    </w:p>
    <w:p w14:paraId="794458A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ascii="仿宋" w:hAnsi="仿宋" w:eastAsia="仿宋"/>
          <w:sz w:val="32"/>
          <w:szCs w:val="32"/>
        </w:rPr>
      </w:pPr>
      <w:r>
        <w:rPr>
          <w:rFonts w:ascii="仿宋" w:hAnsi="仿宋" w:eastAsia="仿宋"/>
          <w:sz w:val="32"/>
          <w:szCs w:val="32"/>
        </w:rPr>
        <w:t>加强县直机关党的思想政治建设、组织建设、作风建设等，做好县直机关其他党建工作。</w:t>
      </w:r>
    </w:p>
    <w:p w14:paraId="01B990D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ascii="仿宋" w:hAnsi="仿宋" w:eastAsia="仿宋"/>
          <w:sz w:val="32"/>
          <w:szCs w:val="32"/>
        </w:rPr>
        <w:t>1、组织建设</w:t>
      </w:r>
    </w:p>
    <w:p w14:paraId="3F3A68F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ascii="仿宋" w:hAnsi="仿宋" w:eastAsia="仿宋"/>
          <w:sz w:val="32"/>
          <w:szCs w:val="32"/>
        </w:rPr>
        <w:t>举办预备党员、入党积极分子培训班。为切实把好党员“入口关”，提高预备党员和入党积极分子的政治理论素养，深入贯彻落实党的十九</w:t>
      </w:r>
      <w:r>
        <w:rPr>
          <w:rFonts w:hint="eastAsia" w:ascii="仿宋" w:hAnsi="仿宋" w:eastAsia="仿宋"/>
          <w:sz w:val="32"/>
          <w:szCs w:val="32"/>
          <w:lang w:eastAsia="zh-CN"/>
        </w:rPr>
        <w:t>届六中全会</w:t>
      </w:r>
      <w:r>
        <w:rPr>
          <w:rFonts w:ascii="仿宋" w:hAnsi="仿宋" w:eastAsia="仿宋"/>
          <w:sz w:val="32"/>
          <w:szCs w:val="32"/>
        </w:rPr>
        <w:t>、精神对全县预备党员和入党积极分子进行集中授课。县直机关工委共下属党支部106个，通过培训受训人员合格率达到90%以上，预备党员和入党积极分子既接受了党性教育，了解了当前中央和省市的工作部署，又端正了入党动机，激发了他们积极向党组织靠拢的信心和决心。</w:t>
      </w:r>
    </w:p>
    <w:p w14:paraId="03397AF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ascii="仿宋" w:hAnsi="仿宋" w:eastAsia="仿宋"/>
          <w:sz w:val="32"/>
          <w:szCs w:val="32"/>
        </w:rPr>
        <w:t>2、县直机关党风廉政建设</w:t>
      </w:r>
    </w:p>
    <w:p w14:paraId="33BBBF7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ascii="仿宋" w:hAnsi="仿宋" w:eastAsia="仿宋"/>
          <w:sz w:val="32"/>
          <w:szCs w:val="32"/>
        </w:rPr>
        <w:t>以落实中央八项规定为保证，全面加强机关党风廉政建设。落实党风廉政建设责任制，组织开展创建廉洁服务型党组织活动，加强对机关党员党性、党风、党纪教育，不断增强党员</w:t>
      </w:r>
      <w:r>
        <w:rPr>
          <w:rFonts w:hint="eastAsia" w:ascii="仿宋" w:hAnsi="仿宋" w:eastAsia="仿宋"/>
          <w:sz w:val="32"/>
          <w:szCs w:val="32"/>
          <w:lang w:eastAsia="zh-CN"/>
        </w:rPr>
        <w:t>反</w:t>
      </w:r>
      <w:r>
        <w:rPr>
          <w:rFonts w:ascii="仿宋" w:hAnsi="仿宋" w:eastAsia="仿宋"/>
          <w:sz w:val="32"/>
          <w:szCs w:val="32"/>
        </w:rPr>
        <w:t>腐倡廉能力，杜绝党员违法违纪行为。认真开展《中国共产党党内监督条例》落实情况自查自纠，增强机关党员干部廉洁自律的自觉性和主动性。</w:t>
      </w:r>
    </w:p>
    <w:p w14:paraId="1CD70D9E">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ascii="仿宋" w:hAnsi="仿宋" w:eastAsia="仿宋"/>
          <w:sz w:val="32"/>
          <w:szCs w:val="32"/>
        </w:rPr>
        <w:t>3、思想政治建设</w:t>
      </w:r>
    </w:p>
    <w:p w14:paraId="49C7746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ascii="仿宋" w:hAnsi="仿宋" w:eastAsia="仿宋"/>
          <w:sz w:val="32"/>
          <w:szCs w:val="32"/>
        </w:rPr>
        <w:t>组织开展</w:t>
      </w:r>
      <w:r>
        <w:rPr>
          <w:rFonts w:hint="eastAsia" w:ascii="仿宋" w:hAnsi="仿宋" w:eastAsia="仿宋"/>
          <w:sz w:val="32"/>
          <w:szCs w:val="32"/>
          <w:lang w:eastAsia="zh-CN"/>
        </w:rPr>
        <w:t>庆祝</w:t>
      </w:r>
      <w:r>
        <w:rPr>
          <w:rFonts w:ascii="仿宋" w:hAnsi="仿宋" w:eastAsia="仿宋"/>
          <w:sz w:val="32"/>
          <w:szCs w:val="32"/>
        </w:rPr>
        <w:t>建党97周年系列活动。为庆祝建党97周年，中共曲阳县直机关工委印发《关于开展庆祝建党97周年系列活动的实施方案》，组织县直机关广大党员进行知识竞赛和“庆七一”知识竞赛等一系列活动。丰富党员组织生活完成率达到了100%。县直各基层党组织也结合单位实际，组织开展重温入党誓词、集中答题、接受红色教育等形式多样的</w:t>
      </w:r>
      <w:r>
        <w:rPr>
          <w:rFonts w:hint="eastAsia" w:ascii="仿宋" w:hAnsi="仿宋" w:eastAsia="仿宋"/>
          <w:sz w:val="32"/>
          <w:szCs w:val="32"/>
          <w:lang w:eastAsia="zh-CN"/>
        </w:rPr>
        <w:t>庆祝</w:t>
      </w:r>
      <w:r>
        <w:rPr>
          <w:rFonts w:ascii="仿宋" w:hAnsi="仿宋" w:eastAsia="仿宋"/>
          <w:sz w:val="32"/>
          <w:szCs w:val="32"/>
        </w:rPr>
        <w:t>活动，进一步增强机关党员的归属感，加强党员的凝聚力和战斗力。</w:t>
      </w:r>
    </w:p>
    <w:p w14:paraId="5B4E91B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hint="eastAsia" w:ascii="仿宋" w:hAnsi="仿宋" w:eastAsia="仿宋"/>
          <w:b/>
          <w:bCs/>
          <w:sz w:val="32"/>
          <w:szCs w:val="32"/>
        </w:rPr>
      </w:pPr>
      <w:r>
        <w:rPr>
          <w:rFonts w:hint="eastAsia" w:ascii="仿宋" w:hAnsi="仿宋" w:eastAsia="仿宋"/>
          <w:b/>
          <w:bCs/>
          <w:sz w:val="32"/>
          <w:szCs w:val="32"/>
          <w:lang w:eastAsia="zh-CN"/>
        </w:rPr>
        <w:t>（三）</w:t>
      </w:r>
      <w:r>
        <w:rPr>
          <w:rFonts w:hint="eastAsia" w:ascii="仿宋" w:hAnsi="仿宋" w:eastAsia="仿宋"/>
          <w:b/>
          <w:bCs/>
          <w:sz w:val="32"/>
          <w:szCs w:val="32"/>
        </w:rPr>
        <w:t>实现年度规划目标的保障措施</w:t>
      </w:r>
    </w:p>
    <w:p w14:paraId="4E22096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ascii="仿宋" w:hAnsi="仿宋" w:eastAsia="仿宋"/>
          <w:sz w:val="32"/>
          <w:szCs w:val="32"/>
        </w:rPr>
        <w:t>认真学习贯彻党的十九大精神和习近平总书记系列</w:t>
      </w:r>
      <w:r>
        <w:rPr>
          <w:rFonts w:hint="eastAsia" w:ascii="仿宋" w:hAnsi="仿宋" w:eastAsia="仿宋"/>
          <w:sz w:val="32"/>
          <w:szCs w:val="32"/>
          <w:lang w:eastAsia="zh-CN"/>
        </w:rPr>
        <w:t>重要</w:t>
      </w:r>
      <w:r>
        <w:rPr>
          <w:rFonts w:ascii="仿宋" w:hAnsi="仿宋" w:eastAsia="仿宋"/>
          <w:sz w:val="32"/>
          <w:szCs w:val="32"/>
        </w:rPr>
        <w:t>讲话精神，中共曲阳县直机关工委将充分发挥基层党组织的战斗堡垒作用和党员的先锋模范作用，为决胜全面建成小康社会，全力打造“两都两地”，奋力开启新时代全面建设经济强县、美丽曲阳新征程提供坚强有力的组织保障。</w:t>
      </w:r>
    </w:p>
    <w:p w14:paraId="0F604FF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150"/>
        <w:jc w:val="both"/>
        <w:textAlignment w:val="auto"/>
        <w:outlineLvl w:val="9"/>
        <w:rPr>
          <w:rFonts w:ascii="仿宋" w:hAnsi="仿宋" w:eastAsia="仿宋"/>
          <w:sz w:val="32"/>
          <w:szCs w:val="32"/>
        </w:rPr>
      </w:pPr>
      <w:r>
        <w:rPr>
          <w:rFonts w:ascii="仿宋" w:hAnsi="仿宋" w:eastAsia="仿宋"/>
          <w:sz w:val="32"/>
          <w:szCs w:val="32"/>
        </w:rPr>
        <w:t xml:space="preserve"> 1、我单位成立“四风”和纪律作风领导小组，下设办公室，由县直工委书记任组长，主抓全面作风和纪律工作，副书记任副组长，负责完善“四风”及纪律方面督导工作。小组成员负责上传下达，收集资料，配合领导认真完成各项工作任务。</w:t>
      </w:r>
    </w:p>
    <w:p w14:paraId="79F9B33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hint="eastAsia" w:ascii="仿宋" w:hAnsi="仿宋" w:eastAsia="仿宋"/>
          <w:sz w:val="32"/>
          <w:szCs w:val="32"/>
          <w:lang w:val="en-US" w:eastAsia="zh-CN"/>
        </w:rPr>
        <w:t xml:space="preserve"> </w:t>
      </w:r>
      <w:r>
        <w:rPr>
          <w:rFonts w:ascii="仿宋" w:hAnsi="仿宋" w:eastAsia="仿宋"/>
          <w:sz w:val="32"/>
          <w:szCs w:val="32"/>
        </w:rPr>
        <w:t>2、每年三四月份定期开展积极分子、预备党员培训班，老师授课，课后考试达到预期效果，提高广大党员的理论水平。</w:t>
      </w:r>
    </w:p>
    <w:p w14:paraId="595E33E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hint="eastAsia" w:ascii="仿宋" w:hAnsi="仿宋" w:eastAsia="仿宋"/>
          <w:sz w:val="32"/>
          <w:szCs w:val="32"/>
          <w:lang w:val="en-US" w:eastAsia="zh-CN"/>
        </w:rPr>
        <w:t xml:space="preserve"> </w:t>
      </w:r>
      <w:r>
        <w:rPr>
          <w:rFonts w:ascii="仿宋" w:hAnsi="仿宋" w:eastAsia="仿宋"/>
          <w:sz w:val="32"/>
          <w:szCs w:val="32"/>
        </w:rPr>
        <w:t>3、县直工委全体定期学习“三会一课”制度，通过学习交流学习经验，武装头脑，达到了学习效果。另外由县直工委书记任组长，副书记任副组长，带队定期督导检查，落实“三会一课”的学习情况。</w:t>
      </w:r>
    </w:p>
    <w:p w14:paraId="1BF9E57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jc w:val="both"/>
        <w:textAlignment w:val="auto"/>
        <w:outlineLvl w:val="9"/>
        <w:rPr>
          <w:rFonts w:ascii="仿宋" w:hAnsi="仿宋" w:eastAsia="仿宋"/>
          <w:sz w:val="32"/>
          <w:szCs w:val="32"/>
        </w:rPr>
      </w:pPr>
      <w:r>
        <w:rPr>
          <w:rFonts w:hint="eastAsia" w:ascii="仿宋" w:hAnsi="仿宋" w:eastAsia="仿宋"/>
          <w:sz w:val="32"/>
          <w:szCs w:val="32"/>
          <w:lang w:val="en-US" w:eastAsia="zh-CN"/>
        </w:rPr>
        <w:t xml:space="preserve"> </w:t>
      </w:r>
      <w:r>
        <w:rPr>
          <w:rFonts w:ascii="仿宋" w:hAnsi="仿宋" w:eastAsia="仿宋"/>
          <w:sz w:val="32"/>
          <w:szCs w:val="32"/>
        </w:rPr>
        <w:t>4、每年“七一”定期开展知识竞赛、演讲比赛等系列党员活动，丰富广大党员的组织生活。</w:t>
      </w:r>
    </w:p>
    <w:p w14:paraId="0966A41A">
      <w:pPr>
        <w:rPr>
          <w:rFonts w:cs="Times New Roman"/>
        </w:rPr>
        <w:sectPr>
          <w:pgSz w:w="11906" w:h="16838"/>
          <w:pgMar w:top="1440" w:right="1800" w:bottom="1440" w:left="1800" w:header="851" w:footer="992" w:gutter="0"/>
          <w:cols w:space="425" w:num="1"/>
          <w:docGrid w:type="lines" w:linePitch="312" w:charSpace="0"/>
        </w:sectPr>
      </w:pPr>
    </w:p>
    <w:p w14:paraId="1FBE8D71">
      <w:pPr>
        <w:jc w:val="center"/>
        <w:outlineLvl w:val="0"/>
        <w:rPr>
          <w:rFonts w:ascii="黑体" w:hAnsi="黑体" w:eastAsia="黑体" w:cs="Times New Roman"/>
          <w:b/>
          <w:bCs/>
          <w:sz w:val="32"/>
          <w:szCs w:val="32"/>
        </w:rPr>
      </w:pPr>
      <w:bookmarkStart w:id="0" w:name="_Toc441150763"/>
      <w:r>
        <w:rPr>
          <w:rFonts w:hint="eastAsia" w:ascii="黑体" w:hAnsi="黑体" w:eastAsia="黑体" w:cs="黑体"/>
          <w:b/>
          <w:bCs/>
          <w:sz w:val="32"/>
          <w:szCs w:val="32"/>
        </w:rPr>
        <w:t>二、部门职责</w:t>
      </w:r>
      <w:r>
        <w:rPr>
          <w:rFonts w:ascii="黑体" w:hAnsi="黑体" w:eastAsia="黑体" w:cs="黑体"/>
          <w:b/>
          <w:bCs/>
          <w:sz w:val="32"/>
          <w:szCs w:val="32"/>
        </w:rPr>
        <w:t>-</w:t>
      </w:r>
      <w:r>
        <w:rPr>
          <w:rFonts w:hint="eastAsia" w:ascii="黑体" w:hAnsi="黑体" w:eastAsia="黑体" w:cs="黑体"/>
          <w:b/>
          <w:bCs/>
          <w:sz w:val="32"/>
          <w:szCs w:val="32"/>
        </w:rPr>
        <w:t>工作活动绩效目标</w:t>
      </w:r>
    </w:p>
    <w:tbl>
      <w:tblPr>
        <w:tblStyle w:val="5"/>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2973C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73DC8BEA">
            <w:pPr>
              <w:spacing w:line="300" w:lineRule="exact"/>
              <w:jc w:val="left"/>
              <w:rPr>
                <w:rFonts w:ascii="方正小标宋_GBK" w:eastAsia="方正小标宋_GBK"/>
                <w:sz w:val="24"/>
              </w:rPr>
            </w:pPr>
            <w:r>
              <w:rPr>
                <w:rFonts w:ascii="方正小标宋_GBK" w:eastAsia="方正小标宋_GBK"/>
                <w:sz w:val="24"/>
              </w:rPr>
              <w:t>286</w:t>
            </w:r>
            <w:r>
              <w:rPr>
                <w:rFonts w:hint="eastAsia" w:ascii="方正小标宋_GBK" w:eastAsia="方正小标宋_GBK"/>
                <w:sz w:val="24"/>
              </w:rPr>
              <w:t>中国共产党曲阳县直属机关工作委员会</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738308C4">
            <w:pPr>
              <w:spacing w:line="300" w:lineRule="exact"/>
              <w:jc w:val="right"/>
              <w:rPr>
                <w:rFonts w:ascii="方正书宋_GBK" w:eastAsia="方正书宋_GBK"/>
                <w:sz w:val="24"/>
              </w:rPr>
            </w:pPr>
            <w:r>
              <w:rPr>
                <w:rFonts w:hint="eastAsia" w:ascii="方正书宋_GBK" w:eastAsia="方正书宋_GBK"/>
                <w:sz w:val="24"/>
              </w:rPr>
              <w:t>单位：万元</w:t>
            </w:r>
          </w:p>
        </w:tc>
      </w:tr>
      <w:tr w14:paraId="39515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1DDD28DE">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214BB519">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287FACF2">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6A766C1F">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0A1723E3">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111709D3">
            <w:pPr>
              <w:spacing w:line="300" w:lineRule="exact"/>
              <w:jc w:val="center"/>
              <w:rPr>
                <w:rFonts w:ascii="方正书宋_GBK" w:eastAsia="方正书宋_GBK"/>
                <w:b/>
              </w:rPr>
            </w:pPr>
            <w:r>
              <w:rPr>
                <w:rFonts w:hint="eastAsia" w:ascii="方正书宋_GBK" w:eastAsia="方正书宋_GBK"/>
                <w:b/>
              </w:rPr>
              <w:t>评价标准</w:t>
            </w:r>
          </w:p>
        </w:tc>
      </w:tr>
      <w:tr w14:paraId="186BB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9" w:hRule="atLeast"/>
          <w:tblHeader/>
          <w:jc w:val="center"/>
        </w:trPr>
        <w:tc>
          <w:tcPr>
            <w:tcW w:w="2341" w:type="dxa"/>
            <w:vMerge w:val="continue"/>
            <w:shd w:val="clear" w:color="auto" w:fill="auto"/>
            <w:vAlign w:val="center"/>
          </w:tcPr>
          <w:p w14:paraId="70734A11">
            <w:pPr>
              <w:spacing w:line="300" w:lineRule="exact"/>
              <w:jc w:val="left"/>
              <w:outlineLvl w:val="0"/>
            </w:pPr>
          </w:p>
        </w:tc>
        <w:tc>
          <w:tcPr>
            <w:tcW w:w="1276" w:type="dxa"/>
            <w:vMerge w:val="continue"/>
            <w:shd w:val="clear" w:color="auto" w:fill="auto"/>
            <w:vAlign w:val="center"/>
          </w:tcPr>
          <w:p w14:paraId="6647450F">
            <w:pPr>
              <w:spacing w:line="300" w:lineRule="exact"/>
              <w:jc w:val="left"/>
              <w:outlineLvl w:val="0"/>
            </w:pPr>
          </w:p>
        </w:tc>
        <w:tc>
          <w:tcPr>
            <w:tcW w:w="2976" w:type="dxa"/>
            <w:vMerge w:val="continue"/>
            <w:shd w:val="clear" w:color="auto" w:fill="auto"/>
            <w:vAlign w:val="center"/>
          </w:tcPr>
          <w:p w14:paraId="27400EA4">
            <w:pPr>
              <w:spacing w:line="300" w:lineRule="exact"/>
              <w:jc w:val="left"/>
              <w:outlineLvl w:val="0"/>
            </w:pPr>
          </w:p>
        </w:tc>
        <w:tc>
          <w:tcPr>
            <w:tcW w:w="2976" w:type="dxa"/>
            <w:vMerge w:val="continue"/>
            <w:shd w:val="clear" w:color="auto" w:fill="auto"/>
            <w:vAlign w:val="center"/>
          </w:tcPr>
          <w:p w14:paraId="1FB9A7EC">
            <w:pPr>
              <w:spacing w:line="300" w:lineRule="exact"/>
              <w:jc w:val="left"/>
              <w:outlineLvl w:val="0"/>
            </w:pPr>
          </w:p>
        </w:tc>
        <w:tc>
          <w:tcPr>
            <w:tcW w:w="1417" w:type="dxa"/>
            <w:vMerge w:val="continue"/>
            <w:shd w:val="clear" w:color="auto" w:fill="auto"/>
            <w:vAlign w:val="center"/>
          </w:tcPr>
          <w:p w14:paraId="6D920666">
            <w:pPr>
              <w:spacing w:line="300" w:lineRule="exact"/>
              <w:jc w:val="left"/>
              <w:outlineLvl w:val="0"/>
            </w:pPr>
          </w:p>
        </w:tc>
        <w:tc>
          <w:tcPr>
            <w:tcW w:w="737" w:type="dxa"/>
            <w:shd w:val="clear" w:color="auto" w:fill="auto"/>
            <w:vAlign w:val="center"/>
          </w:tcPr>
          <w:p w14:paraId="10B0F392">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08F43969">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2950419C">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61484DF8">
            <w:pPr>
              <w:spacing w:line="300" w:lineRule="exact"/>
              <w:jc w:val="center"/>
              <w:rPr>
                <w:rFonts w:ascii="方正书宋_GBK" w:eastAsia="方正书宋_GBK"/>
                <w:b/>
              </w:rPr>
            </w:pPr>
            <w:r>
              <w:rPr>
                <w:rFonts w:hint="eastAsia" w:ascii="方正书宋_GBK" w:eastAsia="方正书宋_GBK"/>
                <w:b/>
              </w:rPr>
              <w:t>差</w:t>
            </w:r>
          </w:p>
        </w:tc>
      </w:tr>
      <w:tr w14:paraId="6B4F2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9CA624B">
            <w:pPr>
              <w:spacing w:line="300" w:lineRule="exact"/>
              <w:jc w:val="left"/>
              <w:rPr>
                <w:rFonts w:ascii="方正书宋_GBK" w:eastAsia="方正书宋_GBK"/>
                <w:b/>
              </w:rPr>
            </w:pPr>
            <w:r>
              <w:rPr>
                <w:rFonts w:hint="eastAsia" w:ascii="方正书宋_GBK" w:eastAsia="方正书宋_GBK"/>
                <w:b/>
              </w:rPr>
              <w:t>一、县直机关党的建设</w:t>
            </w:r>
          </w:p>
        </w:tc>
        <w:tc>
          <w:tcPr>
            <w:tcW w:w="1276" w:type="dxa"/>
            <w:shd w:val="clear" w:color="auto" w:fill="auto"/>
            <w:vAlign w:val="center"/>
          </w:tcPr>
          <w:p w14:paraId="6C6149F2">
            <w:pPr>
              <w:spacing w:line="300" w:lineRule="exact"/>
              <w:jc w:val="left"/>
              <w:rPr>
                <w:rFonts w:ascii="方正书宋_GBK" w:eastAsia="方正书宋_GBK"/>
              </w:rPr>
            </w:pPr>
            <w:r>
              <w:rPr>
                <w:rFonts w:ascii="方正书宋_GBK" w:eastAsia="方正书宋_GBK"/>
              </w:rPr>
              <w:t>5.00</w:t>
            </w:r>
          </w:p>
        </w:tc>
        <w:tc>
          <w:tcPr>
            <w:tcW w:w="2976" w:type="dxa"/>
            <w:shd w:val="clear" w:color="auto" w:fill="auto"/>
            <w:vAlign w:val="center"/>
          </w:tcPr>
          <w:p w14:paraId="6F1A70B3">
            <w:pPr>
              <w:spacing w:line="300" w:lineRule="exact"/>
              <w:jc w:val="left"/>
              <w:rPr>
                <w:rFonts w:ascii="方正书宋_GBK" w:eastAsia="方正书宋_GBK"/>
              </w:rPr>
            </w:pPr>
            <w:r>
              <w:rPr>
                <w:rFonts w:hint="eastAsia" w:ascii="方正书宋_GBK" w:eastAsia="方正书宋_GBK"/>
              </w:rPr>
              <w:t>加强县直机关党的思想政治建设、组织建设、作风建设、制度建设和反腐倡廉建设，做好县直机关其他党建工作</w:t>
            </w:r>
          </w:p>
        </w:tc>
        <w:tc>
          <w:tcPr>
            <w:tcW w:w="2976" w:type="dxa"/>
            <w:shd w:val="clear" w:color="auto" w:fill="auto"/>
            <w:vAlign w:val="center"/>
          </w:tcPr>
          <w:p w14:paraId="249452A8">
            <w:pPr>
              <w:spacing w:line="300" w:lineRule="exact"/>
              <w:jc w:val="left"/>
              <w:rPr>
                <w:rFonts w:ascii="方正书宋_GBK" w:eastAsia="方正书宋_GBK"/>
              </w:rPr>
            </w:pPr>
            <w:r>
              <w:rPr>
                <w:rFonts w:hint="eastAsia" w:ascii="方正书宋_GBK" w:eastAsia="方正书宋_GBK"/>
              </w:rPr>
              <w:t>政治觉悟和思想道德素质明显提高；党组织战斗堡垒作用和党员先锋模范作用进一步增强；其他党建工作得到有效落实。</w:t>
            </w:r>
          </w:p>
        </w:tc>
        <w:tc>
          <w:tcPr>
            <w:tcW w:w="1417" w:type="dxa"/>
            <w:shd w:val="clear" w:color="auto" w:fill="auto"/>
            <w:vAlign w:val="center"/>
          </w:tcPr>
          <w:p w14:paraId="65390EF3">
            <w:pPr>
              <w:spacing w:line="300" w:lineRule="exact"/>
              <w:jc w:val="left"/>
              <w:rPr>
                <w:rFonts w:ascii="方正书宋_GBK" w:eastAsia="方正书宋_GBK"/>
              </w:rPr>
            </w:pPr>
          </w:p>
        </w:tc>
        <w:tc>
          <w:tcPr>
            <w:tcW w:w="737" w:type="dxa"/>
            <w:shd w:val="clear" w:color="auto" w:fill="auto"/>
            <w:vAlign w:val="center"/>
          </w:tcPr>
          <w:p w14:paraId="5BAAAF68">
            <w:pPr>
              <w:spacing w:line="300" w:lineRule="exact"/>
              <w:jc w:val="center"/>
              <w:rPr>
                <w:rFonts w:ascii="方正书宋_GBK" w:eastAsia="方正书宋_GBK"/>
              </w:rPr>
            </w:pPr>
          </w:p>
        </w:tc>
        <w:tc>
          <w:tcPr>
            <w:tcW w:w="737" w:type="dxa"/>
            <w:shd w:val="clear" w:color="auto" w:fill="auto"/>
            <w:vAlign w:val="center"/>
          </w:tcPr>
          <w:p w14:paraId="78EDDA62">
            <w:pPr>
              <w:spacing w:line="300" w:lineRule="exact"/>
              <w:jc w:val="center"/>
              <w:rPr>
                <w:rFonts w:ascii="方正书宋_GBK" w:eastAsia="方正书宋_GBK"/>
              </w:rPr>
            </w:pPr>
          </w:p>
        </w:tc>
        <w:tc>
          <w:tcPr>
            <w:tcW w:w="737" w:type="dxa"/>
            <w:shd w:val="clear" w:color="auto" w:fill="auto"/>
            <w:vAlign w:val="center"/>
          </w:tcPr>
          <w:p w14:paraId="2A4F02CD">
            <w:pPr>
              <w:spacing w:line="300" w:lineRule="exact"/>
              <w:jc w:val="center"/>
              <w:rPr>
                <w:rFonts w:ascii="方正书宋_GBK" w:eastAsia="方正书宋_GBK"/>
              </w:rPr>
            </w:pPr>
          </w:p>
        </w:tc>
        <w:tc>
          <w:tcPr>
            <w:tcW w:w="737" w:type="dxa"/>
            <w:shd w:val="clear" w:color="auto" w:fill="auto"/>
            <w:vAlign w:val="center"/>
          </w:tcPr>
          <w:p w14:paraId="60CB7737">
            <w:pPr>
              <w:spacing w:line="300" w:lineRule="exact"/>
              <w:jc w:val="center"/>
              <w:rPr>
                <w:rFonts w:ascii="方正书宋_GBK" w:eastAsia="方正书宋_GBK"/>
              </w:rPr>
            </w:pPr>
          </w:p>
        </w:tc>
      </w:tr>
      <w:tr w14:paraId="2B4BF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B81C1A6">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、思想政治建设</w:t>
            </w:r>
          </w:p>
        </w:tc>
        <w:tc>
          <w:tcPr>
            <w:tcW w:w="1276" w:type="dxa"/>
            <w:vMerge w:val="restart"/>
            <w:shd w:val="clear" w:color="auto" w:fill="auto"/>
            <w:vAlign w:val="center"/>
          </w:tcPr>
          <w:p w14:paraId="4F62C0E0">
            <w:pPr>
              <w:spacing w:line="300" w:lineRule="exact"/>
              <w:jc w:val="left"/>
              <w:rPr>
                <w:rFonts w:ascii="方正书宋_GBK" w:eastAsia="方正书宋_GBK"/>
              </w:rPr>
            </w:pPr>
            <w:r>
              <w:rPr>
                <w:rFonts w:ascii="方正书宋_GBK" w:eastAsia="方正书宋_GBK"/>
              </w:rPr>
              <w:t>5.00</w:t>
            </w:r>
          </w:p>
        </w:tc>
        <w:tc>
          <w:tcPr>
            <w:tcW w:w="2976" w:type="dxa"/>
            <w:vMerge w:val="restart"/>
            <w:shd w:val="clear" w:color="auto" w:fill="auto"/>
            <w:vAlign w:val="center"/>
          </w:tcPr>
          <w:p w14:paraId="560DEBB4">
            <w:pPr>
              <w:spacing w:line="300" w:lineRule="exact"/>
              <w:jc w:val="left"/>
              <w:rPr>
                <w:rFonts w:ascii="方正书宋_GBK" w:eastAsia="方正书宋_GBK"/>
              </w:rPr>
            </w:pPr>
            <w:r>
              <w:rPr>
                <w:rFonts w:hint="eastAsia" w:ascii="方正书宋_GBK" w:eastAsia="方正书宋_GBK"/>
              </w:rPr>
              <w:t>指导县直机关各级党组织用马克思主义中国化的最新理论成果，教育县直党员干部树立正确的世界观、人生观和价值观；指导县直加强学习型党组织建设和理论学习中心组学习。负责县直精神文明建设及普法工作。</w:t>
            </w:r>
          </w:p>
        </w:tc>
        <w:tc>
          <w:tcPr>
            <w:tcW w:w="2976" w:type="dxa"/>
            <w:vMerge w:val="restart"/>
            <w:shd w:val="clear" w:color="auto" w:fill="auto"/>
            <w:vAlign w:val="center"/>
          </w:tcPr>
          <w:p w14:paraId="11D8C75F">
            <w:pPr>
              <w:spacing w:line="300" w:lineRule="exact"/>
              <w:jc w:val="left"/>
              <w:rPr>
                <w:rFonts w:ascii="方正书宋_GBK" w:eastAsia="方正书宋_GBK"/>
              </w:rPr>
            </w:pPr>
            <w:r>
              <w:rPr>
                <w:rFonts w:hint="eastAsia" w:ascii="方正书宋_GBK" w:eastAsia="方正书宋_GBK"/>
              </w:rPr>
              <w:t>利用各种有效载体开展宣传教育活动</w:t>
            </w:r>
            <w:r>
              <w:rPr>
                <w:rFonts w:ascii="方正书宋_GBK" w:eastAsia="方正书宋_GBK"/>
              </w:rPr>
              <w:t>,</w:t>
            </w:r>
            <w:r>
              <w:rPr>
                <w:rFonts w:hint="eastAsia" w:ascii="方正书宋_GBK" w:eastAsia="方正书宋_GBK"/>
              </w:rPr>
              <w:t>效果明显</w:t>
            </w:r>
            <w:r>
              <w:rPr>
                <w:rFonts w:ascii="方正书宋_GBK" w:eastAsia="方正书宋_GBK"/>
              </w:rPr>
              <w:t>;</w:t>
            </w:r>
            <w:r>
              <w:rPr>
                <w:rFonts w:hint="eastAsia" w:ascii="方正书宋_GBK" w:eastAsia="方正书宋_GBK"/>
              </w:rPr>
              <w:t>学习制度得到普遍落实，各项活动普遍参加</w:t>
            </w:r>
            <w:r>
              <w:rPr>
                <w:rFonts w:ascii="方正书宋_GBK" w:eastAsia="方正书宋_GBK"/>
              </w:rPr>
              <w:t>;</w:t>
            </w:r>
            <w:r>
              <w:rPr>
                <w:rFonts w:hint="eastAsia" w:ascii="方正书宋_GBK" w:eastAsia="方正书宋_GBK"/>
              </w:rPr>
              <w:t>精神文明创建活动参与广泛，公民道德素质、各项活动满意率明显提高。</w:t>
            </w:r>
          </w:p>
        </w:tc>
        <w:tc>
          <w:tcPr>
            <w:tcW w:w="1417" w:type="dxa"/>
            <w:shd w:val="clear" w:color="auto" w:fill="auto"/>
            <w:vAlign w:val="center"/>
          </w:tcPr>
          <w:p w14:paraId="34CFC992">
            <w:pPr>
              <w:spacing w:line="300" w:lineRule="exact"/>
              <w:jc w:val="left"/>
              <w:rPr>
                <w:rFonts w:ascii="方正书宋_GBK" w:eastAsia="方正书宋_GBK"/>
              </w:rPr>
            </w:pPr>
            <w:r>
              <w:rPr>
                <w:rFonts w:hint="eastAsia" w:ascii="方正书宋_GBK" w:eastAsia="方正书宋_GBK"/>
              </w:rPr>
              <w:t>党员干部教育覆盖率</w:t>
            </w:r>
          </w:p>
        </w:tc>
        <w:tc>
          <w:tcPr>
            <w:tcW w:w="737" w:type="dxa"/>
            <w:shd w:val="clear" w:color="auto" w:fill="auto"/>
            <w:vAlign w:val="center"/>
          </w:tcPr>
          <w:p w14:paraId="6D930361">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04ACF0E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1D181E2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46BB250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14:paraId="1E183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9F0C015">
            <w:pPr>
              <w:spacing w:line="300" w:lineRule="exact"/>
              <w:jc w:val="left"/>
              <w:rPr>
                <w:rFonts w:ascii="方正书宋_GBK" w:eastAsia="方正书宋_GBK"/>
                <w:b/>
              </w:rPr>
            </w:pPr>
          </w:p>
        </w:tc>
        <w:tc>
          <w:tcPr>
            <w:tcW w:w="1276" w:type="dxa"/>
            <w:vMerge w:val="continue"/>
            <w:shd w:val="clear" w:color="auto" w:fill="auto"/>
            <w:vAlign w:val="center"/>
          </w:tcPr>
          <w:p w14:paraId="1B439A00">
            <w:pPr>
              <w:spacing w:line="300" w:lineRule="exact"/>
              <w:jc w:val="left"/>
              <w:rPr>
                <w:rFonts w:ascii="方正书宋_GBK" w:eastAsia="方正书宋_GBK"/>
              </w:rPr>
            </w:pPr>
          </w:p>
        </w:tc>
        <w:tc>
          <w:tcPr>
            <w:tcW w:w="2976" w:type="dxa"/>
            <w:vMerge w:val="continue"/>
            <w:shd w:val="clear" w:color="auto" w:fill="auto"/>
            <w:vAlign w:val="center"/>
          </w:tcPr>
          <w:p w14:paraId="5FBA7AA1">
            <w:pPr>
              <w:spacing w:line="300" w:lineRule="exact"/>
              <w:jc w:val="left"/>
              <w:rPr>
                <w:rFonts w:ascii="方正书宋_GBK" w:eastAsia="方正书宋_GBK"/>
              </w:rPr>
            </w:pPr>
          </w:p>
        </w:tc>
        <w:tc>
          <w:tcPr>
            <w:tcW w:w="2976" w:type="dxa"/>
            <w:vMerge w:val="continue"/>
            <w:shd w:val="clear" w:color="auto" w:fill="auto"/>
            <w:vAlign w:val="center"/>
          </w:tcPr>
          <w:p w14:paraId="59C1C5E2">
            <w:pPr>
              <w:spacing w:line="300" w:lineRule="exact"/>
              <w:jc w:val="left"/>
              <w:rPr>
                <w:rFonts w:ascii="方正书宋_GBK" w:eastAsia="方正书宋_GBK"/>
              </w:rPr>
            </w:pPr>
          </w:p>
        </w:tc>
        <w:tc>
          <w:tcPr>
            <w:tcW w:w="1417" w:type="dxa"/>
            <w:shd w:val="clear" w:color="auto" w:fill="auto"/>
            <w:vAlign w:val="center"/>
          </w:tcPr>
          <w:p w14:paraId="6F5D043E">
            <w:pPr>
              <w:spacing w:line="300" w:lineRule="exact"/>
              <w:jc w:val="left"/>
              <w:rPr>
                <w:rFonts w:ascii="方正书宋_GBK" w:eastAsia="方正书宋_GBK"/>
              </w:rPr>
            </w:pPr>
            <w:r>
              <w:rPr>
                <w:rFonts w:hint="eastAsia" w:ascii="方正书宋_GBK" w:eastAsia="方正书宋_GBK"/>
              </w:rPr>
              <w:t>领导干部参与率</w:t>
            </w:r>
          </w:p>
        </w:tc>
        <w:tc>
          <w:tcPr>
            <w:tcW w:w="737" w:type="dxa"/>
            <w:shd w:val="clear" w:color="auto" w:fill="auto"/>
            <w:vAlign w:val="center"/>
          </w:tcPr>
          <w:p w14:paraId="55CDA634">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358E7BC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181AFB4A">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00450FB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14:paraId="1B5C9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7B4EADF">
            <w:pPr>
              <w:spacing w:line="300" w:lineRule="exact"/>
              <w:jc w:val="left"/>
              <w:rPr>
                <w:rFonts w:ascii="方正书宋_GBK" w:eastAsia="方正书宋_GBK"/>
                <w:b/>
              </w:rPr>
            </w:pPr>
          </w:p>
        </w:tc>
        <w:tc>
          <w:tcPr>
            <w:tcW w:w="1276" w:type="dxa"/>
            <w:vMerge w:val="continue"/>
            <w:shd w:val="clear" w:color="auto" w:fill="auto"/>
            <w:vAlign w:val="center"/>
          </w:tcPr>
          <w:p w14:paraId="65C67362">
            <w:pPr>
              <w:spacing w:line="300" w:lineRule="exact"/>
              <w:jc w:val="left"/>
              <w:rPr>
                <w:rFonts w:ascii="方正书宋_GBK" w:eastAsia="方正书宋_GBK"/>
              </w:rPr>
            </w:pPr>
          </w:p>
        </w:tc>
        <w:tc>
          <w:tcPr>
            <w:tcW w:w="2976" w:type="dxa"/>
            <w:vMerge w:val="continue"/>
            <w:shd w:val="clear" w:color="auto" w:fill="auto"/>
            <w:vAlign w:val="center"/>
          </w:tcPr>
          <w:p w14:paraId="4A9AEBAD">
            <w:pPr>
              <w:spacing w:line="300" w:lineRule="exact"/>
              <w:jc w:val="left"/>
              <w:rPr>
                <w:rFonts w:ascii="方正书宋_GBK" w:eastAsia="方正书宋_GBK"/>
              </w:rPr>
            </w:pPr>
          </w:p>
        </w:tc>
        <w:tc>
          <w:tcPr>
            <w:tcW w:w="2976" w:type="dxa"/>
            <w:vMerge w:val="continue"/>
            <w:shd w:val="clear" w:color="auto" w:fill="auto"/>
            <w:vAlign w:val="center"/>
          </w:tcPr>
          <w:p w14:paraId="725CA6FA">
            <w:pPr>
              <w:spacing w:line="300" w:lineRule="exact"/>
              <w:jc w:val="left"/>
              <w:rPr>
                <w:rFonts w:ascii="方正书宋_GBK" w:eastAsia="方正书宋_GBK"/>
              </w:rPr>
            </w:pPr>
          </w:p>
        </w:tc>
        <w:tc>
          <w:tcPr>
            <w:tcW w:w="1417" w:type="dxa"/>
            <w:shd w:val="clear" w:color="auto" w:fill="auto"/>
            <w:vAlign w:val="center"/>
          </w:tcPr>
          <w:p w14:paraId="7C7B59F2">
            <w:pPr>
              <w:spacing w:line="300" w:lineRule="exact"/>
              <w:jc w:val="left"/>
              <w:rPr>
                <w:rFonts w:ascii="方正书宋_GBK" w:eastAsia="方正书宋_GBK"/>
              </w:rPr>
            </w:pPr>
            <w:r>
              <w:rPr>
                <w:rFonts w:hint="eastAsia" w:ascii="方正书宋_GBK" w:eastAsia="方正书宋_GBK"/>
              </w:rPr>
              <w:t>思想教育活动完成率</w:t>
            </w:r>
          </w:p>
        </w:tc>
        <w:tc>
          <w:tcPr>
            <w:tcW w:w="737" w:type="dxa"/>
            <w:shd w:val="clear" w:color="auto" w:fill="auto"/>
            <w:vAlign w:val="center"/>
          </w:tcPr>
          <w:p w14:paraId="40EDC75C">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7B3C7E80">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31A5285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0FA8EB8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14:paraId="449B4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CF5D0B2">
            <w:pPr>
              <w:spacing w:line="300" w:lineRule="exact"/>
              <w:jc w:val="left"/>
              <w:rPr>
                <w:rFonts w:ascii="方正书宋_GBK" w:eastAsia="方正书宋_GBK"/>
                <w:b/>
              </w:rPr>
            </w:pPr>
          </w:p>
        </w:tc>
        <w:tc>
          <w:tcPr>
            <w:tcW w:w="1276" w:type="dxa"/>
            <w:vMerge w:val="continue"/>
            <w:shd w:val="clear" w:color="auto" w:fill="auto"/>
            <w:vAlign w:val="center"/>
          </w:tcPr>
          <w:p w14:paraId="77E8F5F0">
            <w:pPr>
              <w:spacing w:line="300" w:lineRule="exact"/>
              <w:jc w:val="left"/>
              <w:rPr>
                <w:rFonts w:ascii="方正书宋_GBK" w:eastAsia="方正书宋_GBK"/>
              </w:rPr>
            </w:pPr>
          </w:p>
        </w:tc>
        <w:tc>
          <w:tcPr>
            <w:tcW w:w="2976" w:type="dxa"/>
            <w:vMerge w:val="continue"/>
            <w:shd w:val="clear" w:color="auto" w:fill="auto"/>
            <w:vAlign w:val="center"/>
          </w:tcPr>
          <w:p w14:paraId="4B7AC7CE">
            <w:pPr>
              <w:spacing w:line="300" w:lineRule="exact"/>
              <w:jc w:val="left"/>
              <w:rPr>
                <w:rFonts w:ascii="方正书宋_GBK" w:eastAsia="方正书宋_GBK"/>
              </w:rPr>
            </w:pPr>
          </w:p>
        </w:tc>
        <w:tc>
          <w:tcPr>
            <w:tcW w:w="2976" w:type="dxa"/>
            <w:vMerge w:val="continue"/>
            <w:shd w:val="clear" w:color="auto" w:fill="auto"/>
            <w:vAlign w:val="center"/>
          </w:tcPr>
          <w:p w14:paraId="4BF93791">
            <w:pPr>
              <w:spacing w:line="300" w:lineRule="exact"/>
              <w:jc w:val="left"/>
              <w:rPr>
                <w:rFonts w:ascii="方正书宋_GBK" w:eastAsia="方正书宋_GBK"/>
              </w:rPr>
            </w:pPr>
          </w:p>
        </w:tc>
        <w:tc>
          <w:tcPr>
            <w:tcW w:w="1417" w:type="dxa"/>
            <w:shd w:val="clear" w:color="auto" w:fill="auto"/>
            <w:vAlign w:val="center"/>
          </w:tcPr>
          <w:p w14:paraId="55973B1D">
            <w:pPr>
              <w:spacing w:line="300" w:lineRule="exact"/>
              <w:jc w:val="left"/>
              <w:rPr>
                <w:rFonts w:ascii="方正书宋_GBK" w:eastAsia="方正书宋_GBK"/>
              </w:rPr>
            </w:pPr>
            <w:r>
              <w:rPr>
                <w:rFonts w:hint="eastAsia" w:ascii="方正书宋_GBK" w:eastAsia="方正书宋_GBK"/>
              </w:rPr>
              <w:t>干部职工参与率</w:t>
            </w:r>
          </w:p>
        </w:tc>
        <w:tc>
          <w:tcPr>
            <w:tcW w:w="737" w:type="dxa"/>
            <w:shd w:val="clear" w:color="auto" w:fill="auto"/>
            <w:vAlign w:val="center"/>
          </w:tcPr>
          <w:p w14:paraId="64854814">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A2D45DA">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6C5BD34A">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500E097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14:paraId="4DBAA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0BC23EF9">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、组织建设</w:t>
            </w:r>
          </w:p>
        </w:tc>
        <w:tc>
          <w:tcPr>
            <w:tcW w:w="1276" w:type="dxa"/>
            <w:vMerge w:val="restart"/>
            <w:shd w:val="clear" w:color="auto" w:fill="auto"/>
            <w:vAlign w:val="center"/>
          </w:tcPr>
          <w:p w14:paraId="20A86EF9">
            <w:pPr>
              <w:spacing w:line="300" w:lineRule="exact"/>
              <w:jc w:val="left"/>
              <w:rPr>
                <w:rFonts w:ascii="方正书宋_GBK" w:eastAsia="方正书宋_GBK"/>
              </w:rPr>
            </w:pPr>
          </w:p>
        </w:tc>
        <w:tc>
          <w:tcPr>
            <w:tcW w:w="2976" w:type="dxa"/>
            <w:vMerge w:val="restart"/>
            <w:shd w:val="clear" w:color="auto" w:fill="auto"/>
            <w:vAlign w:val="center"/>
          </w:tcPr>
          <w:p w14:paraId="12498DE7">
            <w:pPr>
              <w:spacing w:line="300" w:lineRule="exact"/>
              <w:jc w:val="left"/>
              <w:rPr>
                <w:rFonts w:ascii="方正书宋_GBK" w:eastAsia="方正书宋_GBK"/>
              </w:rPr>
            </w:pPr>
            <w:r>
              <w:rPr>
                <w:rFonts w:hint="eastAsia" w:ascii="方正书宋_GBK" w:eastAsia="方正书宋_GBK"/>
              </w:rPr>
              <w:t>指导县直机关认真落实</w:t>
            </w:r>
            <w:r>
              <w:rPr>
                <w:rFonts w:hint="eastAsia" w:ascii="方正书宋_GBK" w:eastAsia="方正书宋_GBK"/>
                <w:lang w:eastAsia="zh-CN"/>
              </w:rPr>
              <w:t>《中国共产党章程》</w:t>
            </w:r>
            <w:r>
              <w:rPr>
                <w:rFonts w:hint="eastAsia" w:ascii="方正书宋_GBK" w:eastAsia="方正书宋_GBK"/>
              </w:rPr>
              <w:t>，加强基层党组织建设，严格组织生活制度，丰富党建活动内容，做好党员发展、教育、管理、服务和党务干部的教育培训工作，充分发挥党组织的战斗堡垒作用和党员的先锋模范作用。</w:t>
            </w:r>
          </w:p>
        </w:tc>
        <w:tc>
          <w:tcPr>
            <w:tcW w:w="2976" w:type="dxa"/>
            <w:vMerge w:val="restart"/>
            <w:shd w:val="clear" w:color="auto" w:fill="auto"/>
            <w:vAlign w:val="center"/>
          </w:tcPr>
          <w:p w14:paraId="5EFE8134">
            <w:pPr>
              <w:spacing w:line="300" w:lineRule="exact"/>
              <w:jc w:val="left"/>
              <w:rPr>
                <w:rFonts w:ascii="方正书宋_GBK" w:eastAsia="方正书宋_GBK"/>
              </w:rPr>
            </w:pPr>
            <w:r>
              <w:rPr>
                <w:rFonts w:hint="eastAsia" w:ascii="方正书宋_GBK" w:eastAsia="方正书宋_GBK"/>
              </w:rPr>
              <w:t>党组织、党员作用突出。</w:t>
            </w:r>
          </w:p>
        </w:tc>
        <w:tc>
          <w:tcPr>
            <w:tcW w:w="1417" w:type="dxa"/>
            <w:shd w:val="clear" w:color="auto" w:fill="auto"/>
            <w:vAlign w:val="center"/>
          </w:tcPr>
          <w:p w14:paraId="481EBD39">
            <w:pPr>
              <w:spacing w:line="300" w:lineRule="exact"/>
              <w:jc w:val="left"/>
              <w:rPr>
                <w:rFonts w:ascii="方正书宋_GBK" w:eastAsia="方正书宋_GBK"/>
              </w:rPr>
            </w:pPr>
            <w:r>
              <w:rPr>
                <w:rFonts w:hint="eastAsia" w:ascii="方正书宋_GBK" w:eastAsia="方正书宋_GBK"/>
              </w:rPr>
              <w:t>基层党组织建设工作完成率</w:t>
            </w:r>
          </w:p>
        </w:tc>
        <w:tc>
          <w:tcPr>
            <w:tcW w:w="737" w:type="dxa"/>
            <w:shd w:val="clear" w:color="auto" w:fill="auto"/>
            <w:vAlign w:val="center"/>
          </w:tcPr>
          <w:p w14:paraId="69590924">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6557D489">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12183050">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1F5998B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14:paraId="6353D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1360768">
            <w:pPr>
              <w:spacing w:line="300" w:lineRule="exact"/>
              <w:jc w:val="left"/>
              <w:rPr>
                <w:rFonts w:ascii="方正书宋_GBK" w:eastAsia="方正书宋_GBK"/>
                <w:b/>
              </w:rPr>
            </w:pPr>
          </w:p>
        </w:tc>
        <w:tc>
          <w:tcPr>
            <w:tcW w:w="1276" w:type="dxa"/>
            <w:vMerge w:val="continue"/>
            <w:shd w:val="clear" w:color="auto" w:fill="auto"/>
            <w:vAlign w:val="center"/>
          </w:tcPr>
          <w:p w14:paraId="66DE1B66">
            <w:pPr>
              <w:spacing w:line="300" w:lineRule="exact"/>
              <w:jc w:val="left"/>
              <w:rPr>
                <w:rFonts w:ascii="方正书宋_GBK" w:eastAsia="方正书宋_GBK"/>
              </w:rPr>
            </w:pPr>
          </w:p>
        </w:tc>
        <w:tc>
          <w:tcPr>
            <w:tcW w:w="2976" w:type="dxa"/>
            <w:vMerge w:val="continue"/>
            <w:shd w:val="clear" w:color="auto" w:fill="auto"/>
            <w:vAlign w:val="center"/>
          </w:tcPr>
          <w:p w14:paraId="35967039">
            <w:pPr>
              <w:spacing w:line="300" w:lineRule="exact"/>
              <w:jc w:val="left"/>
              <w:rPr>
                <w:rFonts w:ascii="方正书宋_GBK" w:eastAsia="方正书宋_GBK"/>
              </w:rPr>
            </w:pPr>
          </w:p>
        </w:tc>
        <w:tc>
          <w:tcPr>
            <w:tcW w:w="2976" w:type="dxa"/>
            <w:vMerge w:val="continue"/>
            <w:shd w:val="clear" w:color="auto" w:fill="auto"/>
            <w:vAlign w:val="center"/>
          </w:tcPr>
          <w:p w14:paraId="40259023">
            <w:pPr>
              <w:spacing w:line="300" w:lineRule="exact"/>
              <w:jc w:val="left"/>
              <w:rPr>
                <w:rFonts w:ascii="方正书宋_GBK" w:eastAsia="方正书宋_GBK"/>
              </w:rPr>
            </w:pPr>
          </w:p>
        </w:tc>
        <w:tc>
          <w:tcPr>
            <w:tcW w:w="1417" w:type="dxa"/>
            <w:shd w:val="clear" w:color="auto" w:fill="auto"/>
            <w:vAlign w:val="center"/>
          </w:tcPr>
          <w:p w14:paraId="1F1527EA">
            <w:pPr>
              <w:spacing w:line="300" w:lineRule="exact"/>
              <w:jc w:val="left"/>
              <w:rPr>
                <w:rFonts w:ascii="方正书宋_GBK" w:eastAsia="方正书宋_GBK"/>
              </w:rPr>
            </w:pPr>
            <w:r>
              <w:rPr>
                <w:rFonts w:hint="eastAsia" w:ascii="方正书宋_GBK" w:eastAsia="方正书宋_GBK"/>
              </w:rPr>
              <w:t>党务干部党务工作考核优秀率</w:t>
            </w:r>
          </w:p>
        </w:tc>
        <w:tc>
          <w:tcPr>
            <w:tcW w:w="737" w:type="dxa"/>
            <w:shd w:val="clear" w:color="auto" w:fill="auto"/>
            <w:vAlign w:val="center"/>
          </w:tcPr>
          <w:p w14:paraId="776F442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000BB68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71E48E6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70%</w:t>
            </w:r>
          </w:p>
        </w:tc>
        <w:tc>
          <w:tcPr>
            <w:tcW w:w="737" w:type="dxa"/>
            <w:shd w:val="clear" w:color="auto" w:fill="auto"/>
            <w:vAlign w:val="center"/>
          </w:tcPr>
          <w:p w14:paraId="38419F9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70%</w:t>
            </w:r>
          </w:p>
        </w:tc>
      </w:tr>
      <w:tr w14:paraId="52B2D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493D44F">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、县直机关党风廉政建设</w:t>
            </w:r>
          </w:p>
        </w:tc>
        <w:tc>
          <w:tcPr>
            <w:tcW w:w="1276" w:type="dxa"/>
            <w:vMerge w:val="restart"/>
            <w:shd w:val="clear" w:color="auto" w:fill="auto"/>
            <w:vAlign w:val="center"/>
          </w:tcPr>
          <w:p w14:paraId="7607BF37">
            <w:pPr>
              <w:spacing w:line="300" w:lineRule="exact"/>
              <w:jc w:val="left"/>
              <w:rPr>
                <w:rFonts w:ascii="方正书宋_GBK" w:eastAsia="方正书宋_GBK"/>
              </w:rPr>
            </w:pPr>
          </w:p>
        </w:tc>
        <w:tc>
          <w:tcPr>
            <w:tcW w:w="2976" w:type="dxa"/>
            <w:vMerge w:val="restart"/>
            <w:shd w:val="clear" w:color="auto" w:fill="auto"/>
            <w:vAlign w:val="center"/>
          </w:tcPr>
          <w:p w14:paraId="40DC39C3">
            <w:pPr>
              <w:spacing w:line="300" w:lineRule="exact"/>
              <w:jc w:val="left"/>
              <w:rPr>
                <w:rFonts w:ascii="方正书宋_GBK" w:eastAsia="方正书宋_GBK"/>
              </w:rPr>
            </w:pPr>
            <w:r>
              <w:rPr>
                <w:rFonts w:hint="eastAsia" w:ascii="方正书宋_GBK" w:eastAsia="方正书宋_GBK"/>
              </w:rPr>
              <w:t>开展县直各部门机关党委的纪律检查工作，审议县直</w:t>
            </w:r>
            <w:r>
              <w:rPr>
                <w:rFonts w:hint="eastAsia" w:ascii="方正书宋_GBK" w:eastAsia="方正书宋_GBK"/>
                <w:lang w:eastAsia="zh-CN"/>
              </w:rPr>
              <w:t>党员</w:t>
            </w:r>
            <w:r>
              <w:rPr>
                <w:rFonts w:hint="eastAsia" w:ascii="方正书宋_GBK" w:eastAsia="方正书宋_GBK"/>
              </w:rPr>
              <w:t>干部违反党纪问题，审批县直</w:t>
            </w:r>
            <w:r>
              <w:rPr>
                <w:rFonts w:hint="eastAsia" w:ascii="方正书宋_GBK" w:eastAsia="方正书宋_GBK"/>
                <w:lang w:eastAsia="zh-CN"/>
              </w:rPr>
              <w:t>党员</w:t>
            </w:r>
            <w:r>
              <w:rPr>
                <w:rFonts w:hint="eastAsia" w:ascii="方正书宋_GBK" w:eastAsia="方正书宋_GBK"/>
              </w:rPr>
              <w:t>干部违反党纪处理决定</w:t>
            </w:r>
            <w:r>
              <w:rPr>
                <w:rFonts w:ascii="方正书宋_GBK" w:eastAsia="方正书宋_GBK"/>
              </w:rPr>
              <w:t>;</w:t>
            </w:r>
            <w:r>
              <w:rPr>
                <w:rFonts w:hint="eastAsia" w:ascii="方正书宋_GBK" w:eastAsia="方正书宋_GBK"/>
              </w:rPr>
              <w:t>核查县直</w:t>
            </w:r>
            <w:r>
              <w:rPr>
                <w:rFonts w:hint="eastAsia" w:ascii="方正书宋_GBK" w:eastAsia="方正书宋_GBK"/>
                <w:lang w:eastAsia="zh-CN"/>
              </w:rPr>
              <w:t>党员</w:t>
            </w:r>
            <w:r>
              <w:rPr>
                <w:rFonts w:hint="eastAsia" w:ascii="方正书宋_GBK" w:eastAsia="方正书宋_GBK"/>
              </w:rPr>
              <w:t>干部的违纪问题，负责县直机关行政监察职能绩效目标考核等工作。</w:t>
            </w:r>
          </w:p>
        </w:tc>
        <w:tc>
          <w:tcPr>
            <w:tcW w:w="2976" w:type="dxa"/>
            <w:vMerge w:val="restart"/>
            <w:shd w:val="clear" w:color="auto" w:fill="auto"/>
            <w:vAlign w:val="center"/>
          </w:tcPr>
          <w:p w14:paraId="3F0A8F83">
            <w:pPr>
              <w:spacing w:line="300" w:lineRule="exact"/>
              <w:jc w:val="left"/>
              <w:rPr>
                <w:rFonts w:ascii="方正书宋_GBK" w:eastAsia="方正书宋_GBK"/>
              </w:rPr>
            </w:pPr>
            <w:r>
              <w:rPr>
                <w:rFonts w:hint="eastAsia" w:ascii="方正书宋_GBK" w:eastAsia="方正书宋_GBK"/>
              </w:rPr>
              <w:t>违纪案件明显减少，作风进一步好转。</w:t>
            </w:r>
          </w:p>
        </w:tc>
        <w:tc>
          <w:tcPr>
            <w:tcW w:w="1417" w:type="dxa"/>
            <w:shd w:val="clear" w:color="auto" w:fill="auto"/>
            <w:vAlign w:val="center"/>
          </w:tcPr>
          <w:p w14:paraId="35EDB3CC">
            <w:pPr>
              <w:spacing w:line="300" w:lineRule="exact"/>
              <w:jc w:val="left"/>
              <w:rPr>
                <w:rFonts w:ascii="方正书宋_GBK" w:eastAsia="方正书宋_GBK"/>
              </w:rPr>
            </w:pPr>
            <w:r>
              <w:rPr>
                <w:rFonts w:hint="eastAsia" w:ascii="方正书宋_GBK" w:eastAsia="方正书宋_GBK"/>
              </w:rPr>
              <w:t>党员干部违纪核查工作完成率</w:t>
            </w:r>
          </w:p>
        </w:tc>
        <w:tc>
          <w:tcPr>
            <w:tcW w:w="737" w:type="dxa"/>
            <w:shd w:val="clear" w:color="auto" w:fill="auto"/>
            <w:vAlign w:val="center"/>
          </w:tcPr>
          <w:p w14:paraId="0C89A880">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8B58AF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0EE2033C">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5903CA9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14:paraId="15893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59B7B50">
            <w:pPr>
              <w:spacing w:line="300" w:lineRule="exact"/>
              <w:jc w:val="left"/>
              <w:rPr>
                <w:rFonts w:ascii="方正书宋_GBK" w:eastAsia="方正书宋_GBK"/>
                <w:b/>
              </w:rPr>
            </w:pPr>
          </w:p>
        </w:tc>
        <w:tc>
          <w:tcPr>
            <w:tcW w:w="1276" w:type="dxa"/>
            <w:vMerge w:val="continue"/>
            <w:shd w:val="clear" w:color="auto" w:fill="auto"/>
            <w:vAlign w:val="center"/>
          </w:tcPr>
          <w:p w14:paraId="2E1B0C7E">
            <w:pPr>
              <w:spacing w:line="300" w:lineRule="exact"/>
              <w:jc w:val="left"/>
              <w:rPr>
                <w:rFonts w:ascii="方正书宋_GBK" w:eastAsia="方正书宋_GBK"/>
              </w:rPr>
            </w:pPr>
          </w:p>
        </w:tc>
        <w:tc>
          <w:tcPr>
            <w:tcW w:w="2976" w:type="dxa"/>
            <w:vMerge w:val="continue"/>
            <w:shd w:val="clear" w:color="auto" w:fill="auto"/>
            <w:vAlign w:val="center"/>
          </w:tcPr>
          <w:p w14:paraId="6704B2C3">
            <w:pPr>
              <w:spacing w:line="300" w:lineRule="exact"/>
              <w:jc w:val="left"/>
              <w:rPr>
                <w:rFonts w:ascii="方正书宋_GBK" w:eastAsia="方正书宋_GBK"/>
              </w:rPr>
            </w:pPr>
          </w:p>
        </w:tc>
        <w:tc>
          <w:tcPr>
            <w:tcW w:w="2976" w:type="dxa"/>
            <w:vMerge w:val="continue"/>
            <w:shd w:val="clear" w:color="auto" w:fill="auto"/>
            <w:vAlign w:val="center"/>
          </w:tcPr>
          <w:p w14:paraId="1009153A">
            <w:pPr>
              <w:spacing w:line="300" w:lineRule="exact"/>
              <w:jc w:val="left"/>
              <w:rPr>
                <w:rFonts w:ascii="方正书宋_GBK" w:eastAsia="方正书宋_GBK"/>
              </w:rPr>
            </w:pPr>
          </w:p>
        </w:tc>
        <w:tc>
          <w:tcPr>
            <w:tcW w:w="1417" w:type="dxa"/>
            <w:shd w:val="clear" w:color="auto" w:fill="auto"/>
            <w:vAlign w:val="center"/>
          </w:tcPr>
          <w:p w14:paraId="59F5B9EB">
            <w:pPr>
              <w:spacing w:line="300" w:lineRule="exact"/>
              <w:jc w:val="left"/>
              <w:rPr>
                <w:rFonts w:ascii="方正书宋_GBK" w:eastAsia="方正书宋_GBK"/>
              </w:rPr>
            </w:pPr>
            <w:r>
              <w:rPr>
                <w:rFonts w:hint="eastAsia" w:ascii="方正书宋_GBK" w:eastAsia="方正书宋_GBK"/>
              </w:rPr>
              <w:t>党风廉政建设宣传工作完成率</w:t>
            </w:r>
          </w:p>
        </w:tc>
        <w:tc>
          <w:tcPr>
            <w:tcW w:w="737" w:type="dxa"/>
            <w:shd w:val="clear" w:color="auto" w:fill="auto"/>
            <w:vAlign w:val="center"/>
          </w:tcPr>
          <w:p w14:paraId="6064B308">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BBF4650">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5F4EA34C">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13E8E23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14:paraId="62245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288CE9C">
            <w:pPr>
              <w:spacing w:line="300" w:lineRule="exact"/>
              <w:jc w:val="left"/>
              <w:rPr>
                <w:rFonts w:ascii="方正书宋_GBK" w:eastAsia="方正书宋_GBK"/>
                <w:b/>
              </w:rPr>
            </w:pPr>
            <w:r>
              <w:rPr>
                <w:rFonts w:hint="eastAsia" w:ascii="方正书宋_GBK" w:eastAsia="方正书宋_GBK"/>
                <w:b/>
              </w:rPr>
              <w:t>二、县直机关统战、群团和县直人民武装工作</w:t>
            </w:r>
          </w:p>
        </w:tc>
        <w:tc>
          <w:tcPr>
            <w:tcW w:w="1276" w:type="dxa"/>
            <w:shd w:val="clear" w:color="auto" w:fill="auto"/>
            <w:vAlign w:val="center"/>
          </w:tcPr>
          <w:p w14:paraId="2354B733">
            <w:pPr>
              <w:spacing w:line="300" w:lineRule="exact"/>
              <w:jc w:val="left"/>
              <w:rPr>
                <w:rFonts w:ascii="方正书宋_GBK" w:eastAsia="方正书宋_GBK"/>
              </w:rPr>
            </w:pPr>
          </w:p>
        </w:tc>
        <w:tc>
          <w:tcPr>
            <w:tcW w:w="2976" w:type="dxa"/>
            <w:shd w:val="clear" w:color="auto" w:fill="auto"/>
            <w:vAlign w:val="center"/>
          </w:tcPr>
          <w:p w14:paraId="67B7DC1F">
            <w:pPr>
              <w:spacing w:line="300" w:lineRule="exact"/>
              <w:jc w:val="left"/>
              <w:rPr>
                <w:rFonts w:ascii="方正书宋_GBK" w:eastAsia="方正书宋_GBK"/>
              </w:rPr>
            </w:pPr>
            <w:r>
              <w:rPr>
                <w:rFonts w:hint="eastAsia" w:ascii="方正书宋_GBK" w:eastAsia="方正书宋_GBK"/>
              </w:rPr>
              <w:t>指导县直机关动员组织党外人士、群众团体积极开展活动，做好全民国防教育和人民武装工作，发挥各自职能作用，服务中心工作。</w:t>
            </w:r>
          </w:p>
        </w:tc>
        <w:tc>
          <w:tcPr>
            <w:tcW w:w="2976" w:type="dxa"/>
            <w:shd w:val="clear" w:color="auto" w:fill="auto"/>
            <w:vAlign w:val="center"/>
          </w:tcPr>
          <w:p w14:paraId="5DBF73B0">
            <w:pPr>
              <w:spacing w:line="300" w:lineRule="exact"/>
              <w:jc w:val="left"/>
              <w:rPr>
                <w:rFonts w:ascii="方正书宋_GBK" w:eastAsia="方正书宋_GBK"/>
              </w:rPr>
            </w:pPr>
            <w:r>
              <w:rPr>
                <w:rFonts w:hint="eastAsia" w:ascii="方正书宋_GBK" w:eastAsia="方正书宋_GBK"/>
              </w:rPr>
              <w:t>统战、群团工作得到落实，作用发挥明显，受到公众好评；组织健全，工作落实，县直干部职工国防观念和县直民兵战斗力进一步增强。</w:t>
            </w:r>
          </w:p>
        </w:tc>
        <w:tc>
          <w:tcPr>
            <w:tcW w:w="1417" w:type="dxa"/>
            <w:shd w:val="clear" w:color="auto" w:fill="auto"/>
            <w:vAlign w:val="center"/>
          </w:tcPr>
          <w:p w14:paraId="4C25287D">
            <w:pPr>
              <w:spacing w:line="300" w:lineRule="exact"/>
              <w:jc w:val="left"/>
              <w:rPr>
                <w:rFonts w:ascii="方正书宋_GBK" w:eastAsia="方正书宋_GBK"/>
              </w:rPr>
            </w:pPr>
          </w:p>
        </w:tc>
        <w:tc>
          <w:tcPr>
            <w:tcW w:w="737" w:type="dxa"/>
            <w:shd w:val="clear" w:color="auto" w:fill="auto"/>
            <w:vAlign w:val="center"/>
          </w:tcPr>
          <w:p w14:paraId="11CF3FE6">
            <w:pPr>
              <w:spacing w:line="300" w:lineRule="exact"/>
              <w:jc w:val="center"/>
              <w:rPr>
                <w:rFonts w:ascii="方正书宋_GBK" w:eastAsia="方正书宋_GBK"/>
              </w:rPr>
            </w:pPr>
          </w:p>
        </w:tc>
        <w:tc>
          <w:tcPr>
            <w:tcW w:w="737" w:type="dxa"/>
            <w:shd w:val="clear" w:color="auto" w:fill="auto"/>
            <w:vAlign w:val="center"/>
          </w:tcPr>
          <w:p w14:paraId="17917593">
            <w:pPr>
              <w:spacing w:line="300" w:lineRule="exact"/>
              <w:jc w:val="center"/>
              <w:rPr>
                <w:rFonts w:ascii="方正书宋_GBK" w:eastAsia="方正书宋_GBK"/>
              </w:rPr>
            </w:pPr>
          </w:p>
        </w:tc>
        <w:tc>
          <w:tcPr>
            <w:tcW w:w="737" w:type="dxa"/>
            <w:shd w:val="clear" w:color="auto" w:fill="auto"/>
            <w:vAlign w:val="center"/>
          </w:tcPr>
          <w:p w14:paraId="2D780CFF">
            <w:pPr>
              <w:spacing w:line="300" w:lineRule="exact"/>
              <w:jc w:val="center"/>
              <w:rPr>
                <w:rFonts w:ascii="方正书宋_GBK" w:eastAsia="方正书宋_GBK"/>
              </w:rPr>
            </w:pPr>
          </w:p>
        </w:tc>
        <w:tc>
          <w:tcPr>
            <w:tcW w:w="737" w:type="dxa"/>
            <w:shd w:val="clear" w:color="auto" w:fill="auto"/>
            <w:vAlign w:val="center"/>
          </w:tcPr>
          <w:p w14:paraId="00B86D51">
            <w:pPr>
              <w:spacing w:line="300" w:lineRule="exact"/>
              <w:jc w:val="center"/>
              <w:rPr>
                <w:rFonts w:ascii="方正书宋_GBK" w:eastAsia="方正书宋_GBK"/>
              </w:rPr>
            </w:pPr>
          </w:p>
        </w:tc>
      </w:tr>
      <w:tr w14:paraId="22B5B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D1C2D0F">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、统战工作</w:t>
            </w:r>
          </w:p>
        </w:tc>
        <w:tc>
          <w:tcPr>
            <w:tcW w:w="1276" w:type="dxa"/>
            <w:shd w:val="clear" w:color="auto" w:fill="auto"/>
            <w:vAlign w:val="center"/>
          </w:tcPr>
          <w:p w14:paraId="5D95F7BE">
            <w:pPr>
              <w:spacing w:line="300" w:lineRule="exact"/>
              <w:jc w:val="left"/>
              <w:rPr>
                <w:rFonts w:ascii="方正书宋_GBK" w:eastAsia="方正书宋_GBK"/>
              </w:rPr>
            </w:pPr>
          </w:p>
        </w:tc>
        <w:tc>
          <w:tcPr>
            <w:tcW w:w="2976" w:type="dxa"/>
            <w:shd w:val="clear" w:color="auto" w:fill="auto"/>
            <w:vAlign w:val="center"/>
          </w:tcPr>
          <w:p w14:paraId="6F52E6FD">
            <w:pPr>
              <w:spacing w:line="300" w:lineRule="exact"/>
              <w:jc w:val="left"/>
              <w:rPr>
                <w:rFonts w:ascii="方正书宋_GBK" w:eastAsia="方正书宋_GBK"/>
              </w:rPr>
            </w:pPr>
            <w:r>
              <w:rPr>
                <w:rFonts w:hint="eastAsia" w:ascii="方正书宋_GBK" w:eastAsia="方正书宋_GBK"/>
              </w:rPr>
              <w:t>指导县直机关各部门统战工作；组织各界人士积极发挥参政议政、民主监督作用，为县域政治、经济、社会发展献计献策。</w:t>
            </w:r>
          </w:p>
        </w:tc>
        <w:tc>
          <w:tcPr>
            <w:tcW w:w="2976" w:type="dxa"/>
            <w:shd w:val="clear" w:color="auto" w:fill="auto"/>
            <w:vAlign w:val="center"/>
          </w:tcPr>
          <w:p w14:paraId="0372C7DC">
            <w:pPr>
              <w:spacing w:line="300" w:lineRule="exact"/>
              <w:jc w:val="left"/>
              <w:rPr>
                <w:rFonts w:ascii="方正书宋_GBK" w:eastAsia="方正书宋_GBK"/>
              </w:rPr>
            </w:pPr>
            <w:r>
              <w:rPr>
                <w:rFonts w:hint="eastAsia" w:ascii="方正书宋_GBK" w:eastAsia="方正书宋_GBK"/>
              </w:rPr>
              <w:t>统战工作受到公众好评</w:t>
            </w:r>
          </w:p>
        </w:tc>
        <w:tc>
          <w:tcPr>
            <w:tcW w:w="1417" w:type="dxa"/>
            <w:shd w:val="clear" w:color="auto" w:fill="auto"/>
            <w:vAlign w:val="center"/>
          </w:tcPr>
          <w:p w14:paraId="76DB4B4F">
            <w:pPr>
              <w:spacing w:line="300" w:lineRule="exact"/>
              <w:jc w:val="left"/>
              <w:rPr>
                <w:rFonts w:ascii="方正书宋_GBK" w:eastAsia="方正书宋_GBK"/>
              </w:rPr>
            </w:pPr>
            <w:r>
              <w:rPr>
                <w:rFonts w:hint="eastAsia" w:ascii="方正书宋_GBK" w:eastAsia="方正书宋_GBK"/>
              </w:rPr>
              <w:t>县直机关各部门统战工作的指导任务完成率</w:t>
            </w:r>
          </w:p>
        </w:tc>
        <w:tc>
          <w:tcPr>
            <w:tcW w:w="737" w:type="dxa"/>
            <w:shd w:val="clear" w:color="auto" w:fill="auto"/>
            <w:vAlign w:val="center"/>
          </w:tcPr>
          <w:p w14:paraId="753699E6">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6C7001F9">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10EF4BB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79234EE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r>
      <w:tr w14:paraId="2A2B9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5A2D725">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、群团工作</w:t>
            </w:r>
          </w:p>
        </w:tc>
        <w:tc>
          <w:tcPr>
            <w:tcW w:w="1276" w:type="dxa"/>
            <w:vMerge w:val="restart"/>
            <w:shd w:val="clear" w:color="auto" w:fill="auto"/>
            <w:vAlign w:val="center"/>
          </w:tcPr>
          <w:p w14:paraId="4FA9D919">
            <w:pPr>
              <w:spacing w:line="300" w:lineRule="exact"/>
              <w:jc w:val="left"/>
              <w:rPr>
                <w:rFonts w:ascii="方正书宋_GBK" w:eastAsia="方正书宋_GBK"/>
              </w:rPr>
            </w:pPr>
          </w:p>
        </w:tc>
        <w:tc>
          <w:tcPr>
            <w:tcW w:w="2976" w:type="dxa"/>
            <w:vMerge w:val="restart"/>
            <w:shd w:val="clear" w:color="auto" w:fill="auto"/>
            <w:vAlign w:val="center"/>
          </w:tcPr>
          <w:p w14:paraId="2FC74CBD">
            <w:pPr>
              <w:spacing w:line="300" w:lineRule="exact"/>
              <w:jc w:val="left"/>
              <w:rPr>
                <w:rFonts w:ascii="方正书宋_GBK" w:eastAsia="方正书宋_GBK"/>
              </w:rPr>
            </w:pPr>
            <w:r>
              <w:rPr>
                <w:rFonts w:hint="eastAsia" w:ascii="方正书宋_GBK" w:eastAsia="方正书宋_GBK"/>
              </w:rPr>
              <w:t>指导县直机关共青团组织和妇联组织加强队伍建设，积极开展活动，做好换届工作，充分发挥青年和妇女在经济社会发展及机关党建工作中的作用。</w:t>
            </w:r>
          </w:p>
        </w:tc>
        <w:tc>
          <w:tcPr>
            <w:tcW w:w="2976" w:type="dxa"/>
            <w:vMerge w:val="restart"/>
            <w:shd w:val="clear" w:color="auto" w:fill="auto"/>
            <w:vAlign w:val="center"/>
          </w:tcPr>
          <w:p w14:paraId="4FD1D5DF">
            <w:pPr>
              <w:spacing w:line="300" w:lineRule="exact"/>
              <w:jc w:val="left"/>
              <w:rPr>
                <w:rFonts w:ascii="方正书宋_GBK" w:eastAsia="方正书宋_GBK"/>
              </w:rPr>
            </w:pPr>
            <w:r>
              <w:rPr>
                <w:rFonts w:hint="eastAsia" w:ascii="方正书宋_GBK" w:eastAsia="方正书宋_GBK"/>
              </w:rPr>
              <w:t>开展活动公众满意度高。</w:t>
            </w:r>
          </w:p>
        </w:tc>
        <w:tc>
          <w:tcPr>
            <w:tcW w:w="1417" w:type="dxa"/>
            <w:shd w:val="clear" w:color="auto" w:fill="auto"/>
            <w:vAlign w:val="center"/>
          </w:tcPr>
          <w:p w14:paraId="2F2C06A4">
            <w:pPr>
              <w:spacing w:line="300" w:lineRule="exact"/>
              <w:jc w:val="left"/>
              <w:rPr>
                <w:rFonts w:ascii="方正书宋_GBK" w:eastAsia="方正书宋_GBK"/>
              </w:rPr>
            </w:pPr>
            <w:r>
              <w:rPr>
                <w:rFonts w:hint="eastAsia" w:ascii="方正书宋_GBK" w:eastAsia="方正书宋_GBK"/>
              </w:rPr>
              <w:t>换届工作完成率</w:t>
            </w:r>
          </w:p>
        </w:tc>
        <w:tc>
          <w:tcPr>
            <w:tcW w:w="737" w:type="dxa"/>
            <w:shd w:val="clear" w:color="auto" w:fill="auto"/>
            <w:vAlign w:val="center"/>
          </w:tcPr>
          <w:p w14:paraId="07B26B1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2A4E3829">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346DF85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7B99B626">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r>
      <w:tr w14:paraId="5DBDC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5FD4280">
            <w:pPr>
              <w:spacing w:line="300" w:lineRule="exact"/>
              <w:jc w:val="left"/>
              <w:rPr>
                <w:rFonts w:ascii="方正书宋_GBK" w:eastAsia="方正书宋_GBK"/>
                <w:b/>
              </w:rPr>
            </w:pPr>
          </w:p>
        </w:tc>
        <w:tc>
          <w:tcPr>
            <w:tcW w:w="1276" w:type="dxa"/>
            <w:vMerge w:val="continue"/>
            <w:shd w:val="clear" w:color="auto" w:fill="auto"/>
            <w:vAlign w:val="center"/>
          </w:tcPr>
          <w:p w14:paraId="13ECC350">
            <w:pPr>
              <w:spacing w:line="300" w:lineRule="exact"/>
              <w:jc w:val="left"/>
              <w:rPr>
                <w:rFonts w:ascii="方正书宋_GBK" w:eastAsia="方正书宋_GBK"/>
              </w:rPr>
            </w:pPr>
          </w:p>
        </w:tc>
        <w:tc>
          <w:tcPr>
            <w:tcW w:w="2976" w:type="dxa"/>
            <w:vMerge w:val="continue"/>
            <w:shd w:val="clear" w:color="auto" w:fill="auto"/>
            <w:vAlign w:val="center"/>
          </w:tcPr>
          <w:p w14:paraId="6AA90C4C">
            <w:pPr>
              <w:spacing w:line="300" w:lineRule="exact"/>
              <w:jc w:val="left"/>
              <w:rPr>
                <w:rFonts w:ascii="方正书宋_GBK" w:eastAsia="方正书宋_GBK"/>
              </w:rPr>
            </w:pPr>
          </w:p>
        </w:tc>
        <w:tc>
          <w:tcPr>
            <w:tcW w:w="2976" w:type="dxa"/>
            <w:vMerge w:val="continue"/>
            <w:shd w:val="clear" w:color="auto" w:fill="auto"/>
            <w:vAlign w:val="center"/>
          </w:tcPr>
          <w:p w14:paraId="24B17767">
            <w:pPr>
              <w:spacing w:line="300" w:lineRule="exact"/>
              <w:jc w:val="left"/>
              <w:rPr>
                <w:rFonts w:ascii="方正书宋_GBK" w:eastAsia="方正书宋_GBK"/>
              </w:rPr>
            </w:pPr>
          </w:p>
        </w:tc>
        <w:tc>
          <w:tcPr>
            <w:tcW w:w="1417" w:type="dxa"/>
            <w:shd w:val="clear" w:color="auto" w:fill="auto"/>
            <w:vAlign w:val="center"/>
          </w:tcPr>
          <w:p w14:paraId="3B001418">
            <w:pPr>
              <w:spacing w:line="300" w:lineRule="exact"/>
              <w:jc w:val="left"/>
              <w:rPr>
                <w:rFonts w:ascii="方正书宋_GBK" w:eastAsia="方正书宋_GBK"/>
              </w:rPr>
            </w:pPr>
            <w:r>
              <w:rPr>
                <w:rFonts w:hint="eastAsia" w:ascii="方正书宋_GBK" w:eastAsia="方正书宋_GBK"/>
              </w:rPr>
              <w:t>县直机关共青团组织和妇联组织队伍建设的指导工作完成率</w:t>
            </w:r>
          </w:p>
        </w:tc>
        <w:tc>
          <w:tcPr>
            <w:tcW w:w="737" w:type="dxa"/>
            <w:shd w:val="clear" w:color="auto" w:fill="auto"/>
            <w:vAlign w:val="center"/>
          </w:tcPr>
          <w:p w14:paraId="4141F9EF">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6F1C4E99">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24E60A31">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3658156C">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r>
      <w:tr w14:paraId="6285E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1D2748">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、国防教育和专武干部队伍、民兵组织建设</w:t>
            </w:r>
          </w:p>
        </w:tc>
        <w:tc>
          <w:tcPr>
            <w:tcW w:w="1276" w:type="dxa"/>
            <w:shd w:val="clear" w:color="auto" w:fill="auto"/>
            <w:vAlign w:val="center"/>
          </w:tcPr>
          <w:p w14:paraId="60770A56">
            <w:pPr>
              <w:spacing w:line="300" w:lineRule="exact"/>
              <w:jc w:val="left"/>
              <w:rPr>
                <w:rFonts w:ascii="方正书宋_GBK" w:eastAsia="方正书宋_GBK"/>
              </w:rPr>
            </w:pPr>
          </w:p>
        </w:tc>
        <w:tc>
          <w:tcPr>
            <w:tcW w:w="2976" w:type="dxa"/>
            <w:shd w:val="clear" w:color="auto" w:fill="auto"/>
            <w:vAlign w:val="center"/>
          </w:tcPr>
          <w:p w14:paraId="6F37A547">
            <w:pPr>
              <w:spacing w:line="300" w:lineRule="exact"/>
              <w:jc w:val="left"/>
              <w:rPr>
                <w:rFonts w:ascii="方正书宋_GBK" w:eastAsia="方正书宋_GBK"/>
              </w:rPr>
            </w:pPr>
            <w:r>
              <w:rPr>
                <w:rFonts w:hint="eastAsia" w:ascii="方正书宋_GBK" w:eastAsia="方正书宋_GBK"/>
              </w:rPr>
              <w:t>教育引导县直干部职工学习国防知识，增强国防观念，支持国防建设，加强专武干部、国防教育宣传员培训和民兵组织建设，提高工作能力和民兵组织战斗力。</w:t>
            </w:r>
          </w:p>
        </w:tc>
        <w:tc>
          <w:tcPr>
            <w:tcW w:w="2976" w:type="dxa"/>
            <w:shd w:val="clear" w:color="auto" w:fill="auto"/>
            <w:vAlign w:val="center"/>
          </w:tcPr>
          <w:p w14:paraId="25A86A1E">
            <w:pPr>
              <w:spacing w:line="300" w:lineRule="exact"/>
              <w:jc w:val="left"/>
              <w:rPr>
                <w:rFonts w:ascii="方正书宋_GBK" w:eastAsia="方正书宋_GBK"/>
              </w:rPr>
            </w:pPr>
            <w:r>
              <w:rPr>
                <w:rFonts w:hint="eastAsia" w:ascii="方正书宋_GBK" w:eastAsia="方正书宋_GBK"/>
              </w:rPr>
              <w:t>组织健全，工作落实。</w:t>
            </w:r>
          </w:p>
        </w:tc>
        <w:tc>
          <w:tcPr>
            <w:tcW w:w="1417" w:type="dxa"/>
            <w:shd w:val="clear" w:color="auto" w:fill="auto"/>
            <w:vAlign w:val="center"/>
          </w:tcPr>
          <w:p w14:paraId="637DD03C">
            <w:pPr>
              <w:spacing w:line="300" w:lineRule="exact"/>
              <w:jc w:val="left"/>
              <w:rPr>
                <w:rFonts w:ascii="方正书宋_GBK" w:eastAsia="方正书宋_GBK"/>
              </w:rPr>
            </w:pPr>
            <w:r>
              <w:rPr>
                <w:rFonts w:hint="eastAsia" w:ascii="方正书宋_GBK" w:eastAsia="方正书宋_GBK"/>
              </w:rPr>
              <w:t>国防教育计划落实率</w:t>
            </w:r>
          </w:p>
        </w:tc>
        <w:tc>
          <w:tcPr>
            <w:tcW w:w="737" w:type="dxa"/>
            <w:shd w:val="clear" w:color="auto" w:fill="auto"/>
            <w:vAlign w:val="center"/>
          </w:tcPr>
          <w:p w14:paraId="67B41127">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7BB0455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35A12DD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4689953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r w14:paraId="13AA8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71694F0">
            <w:pPr>
              <w:spacing w:line="300" w:lineRule="exact"/>
              <w:jc w:val="left"/>
              <w:rPr>
                <w:rFonts w:ascii="方正书宋_GBK" w:eastAsia="方正书宋_GBK"/>
                <w:b/>
              </w:rPr>
            </w:pPr>
            <w:r>
              <w:rPr>
                <w:rFonts w:hint="eastAsia" w:ascii="方正书宋_GBK" w:eastAsia="方正书宋_GBK"/>
                <w:b/>
              </w:rPr>
              <w:t>三、工委事务管理</w:t>
            </w:r>
          </w:p>
        </w:tc>
        <w:tc>
          <w:tcPr>
            <w:tcW w:w="1276" w:type="dxa"/>
            <w:shd w:val="clear" w:color="auto" w:fill="auto"/>
            <w:vAlign w:val="center"/>
          </w:tcPr>
          <w:p w14:paraId="5ED4FCF5">
            <w:pPr>
              <w:spacing w:line="300" w:lineRule="exact"/>
              <w:jc w:val="left"/>
              <w:rPr>
                <w:rFonts w:ascii="方正书宋_GBK" w:eastAsia="方正书宋_GBK"/>
              </w:rPr>
            </w:pPr>
            <w:r>
              <w:rPr>
                <w:rFonts w:ascii="方正书宋_GBK" w:eastAsia="方正书宋_GBK"/>
              </w:rPr>
              <w:t>2.71</w:t>
            </w:r>
          </w:p>
        </w:tc>
        <w:tc>
          <w:tcPr>
            <w:tcW w:w="2976" w:type="dxa"/>
            <w:shd w:val="clear" w:color="auto" w:fill="auto"/>
            <w:vAlign w:val="center"/>
          </w:tcPr>
          <w:p w14:paraId="44E5D99D">
            <w:pPr>
              <w:spacing w:line="300" w:lineRule="exact"/>
              <w:jc w:val="left"/>
              <w:rPr>
                <w:rFonts w:ascii="方正书宋_GBK" w:eastAsia="方正书宋_GBK"/>
              </w:rPr>
            </w:pPr>
            <w:r>
              <w:rPr>
                <w:rFonts w:hint="eastAsia" w:ascii="方正书宋_GBK" w:eastAsia="方正书宋_GBK"/>
              </w:rPr>
              <w:t>完成好县直机关党委、纪委日常业务工作，机关党建网络建设、调研交流工作以及县直机关文化活动开展、反邪教和老龄工作。</w:t>
            </w:r>
          </w:p>
        </w:tc>
        <w:tc>
          <w:tcPr>
            <w:tcW w:w="2976" w:type="dxa"/>
            <w:shd w:val="clear" w:color="auto" w:fill="auto"/>
            <w:vAlign w:val="center"/>
          </w:tcPr>
          <w:p w14:paraId="1224DAB9">
            <w:pPr>
              <w:spacing w:line="300" w:lineRule="exact"/>
              <w:jc w:val="left"/>
              <w:rPr>
                <w:rFonts w:ascii="方正书宋_GBK" w:eastAsia="方正书宋_GBK"/>
              </w:rPr>
            </w:pPr>
            <w:r>
              <w:rPr>
                <w:rFonts w:hint="eastAsia" w:ascii="方正书宋_GBK" w:eastAsia="方正书宋_GBK"/>
              </w:rPr>
              <w:t>各项工作全部落实</w:t>
            </w:r>
          </w:p>
        </w:tc>
        <w:tc>
          <w:tcPr>
            <w:tcW w:w="1417" w:type="dxa"/>
            <w:shd w:val="clear" w:color="auto" w:fill="auto"/>
            <w:vAlign w:val="center"/>
          </w:tcPr>
          <w:p w14:paraId="4E80BCE5">
            <w:pPr>
              <w:spacing w:line="300" w:lineRule="exact"/>
              <w:jc w:val="left"/>
              <w:rPr>
                <w:rFonts w:ascii="方正书宋_GBK" w:eastAsia="方正书宋_GBK"/>
              </w:rPr>
            </w:pPr>
          </w:p>
        </w:tc>
        <w:tc>
          <w:tcPr>
            <w:tcW w:w="737" w:type="dxa"/>
            <w:shd w:val="clear" w:color="auto" w:fill="auto"/>
            <w:vAlign w:val="center"/>
          </w:tcPr>
          <w:p w14:paraId="7786BBF9">
            <w:pPr>
              <w:spacing w:line="300" w:lineRule="exact"/>
              <w:jc w:val="center"/>
              <w:rPr>
                <w:rFonts w:ascii="方正书宋_GBK" w:eastAsia="方正书宋_GBK"/>
              </w:rPr>
            </w:pPr>
          </w:p>
        </w:tc>
        <w:tc>
          <w:tcPr>
            <w:tcW w:w="737" w:type="dxa"/>
            <w:shd w:val="clear" w:color="auto" w:fill="auto"/>
            <w:vAlign w:val="center"/>
          </w:tcPr>
          <w:p w14:paraId="49F5BEC6">
            <w:pPr>
              <w:spacing w:line="300" w:lineRule="exact"/>
              <w:jc w:val="center"/>
              <w:rPr>
                <w:rFonts w:ascii="方正书宋_GBK" w:eastAsia="方正书宋_GBK"/>
              </w:rPr>
            </w:pPr>
          </w:p>
        </w:tc>
        <w:tc>
          <w:tcPr>
            <w:tcW w:w="737" w:type="dxa"/>
            <w:shd w:val="clear" w:color="auto" w:fill="auto"/>
            <w:vAlign w:val="center"/>
          </w:tcPr>
          <w:p w14:paraId="41F9A6E7">
            <w:pPr>
              <w:spacing w:line="300" w:lineRule="exact"/>
              <w:jc w:val="center"/>
              <w:rPr>
                <w:rFonts w:ascii="方正书宋_GBK" w:eastAsia="方正书宋_GBK"/>
              </w:rPr>
            </w:pPr>
          </w:p>
        </w:tc>
        <w:tc>
          <w:tcPr>
            <w:tcW w:w="737" w:type="dxa"/>
            <w:shd w:val="clear" w:color="auto" w:fill="auto"/>
            <w:vAlign w:val="center"/>
          </w:tcPr>
          <w:p w14:paraId="53FCCF6F">
            <w:pPr>
              <w:spacing w:line="300" w:lineRule="exact"/>
              <w:jc w:val="center"/>
              <w:rPr>
                <w:rFonts w:ascii="方正书宋_GBK" w:eastAsia="方正书宋_GBK"/>
              </w:rPr>
            </w:pPr>
          </w:p>
        </w:tc>
      </w:tr>
      <w:tr w14:paraId="0C561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F8ED571">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、综合业务管理</w:t>
            </w:r>
          </w:p>
        </w:tc>
        <w:tc>
          <w:tcPr>
            <w:tcW w:w="1276" w:type="dxa"/>
            <w:shd w:val="clear" w:color="auto" w:fill="auto"/>
            <w:vAlign w:val="center"/>
          </w:tcPr>
          <w:p w14:paraId="6C226430">
            <w:pPr>
              <w:spacing w:line="300" w:lineRule="exact"/>
              <w:jc w:val="left"/>
              <w:rPr>
                <w:rFonts w:ascii="方正书宋_GBK" w:eastAsia="方正书宋_GBK"/>
              </w:rPr>
            </w:pPr>
            <w:r>
              <w:rPr>
                <w:rFonts w:ascii="方正书宋_GBK" w:eastAsia="方正书宋_GBK"/>
              </w:rPr>
              <w:t>2.71</w:t>
            </w:r>
          </w:p>
        </w:tc>
        <w:tc>
          <w:tcPr>
            <w:tcW w:w="2976" w:type="dxa"/>
            <w:shd w:val="clear" w:color="auto" w:fill="auto"/>
            <w:vAlign w:val="center"/>
          </w:tcPr>
          <w:p w14:paraId="74E80A1B">
            <w:pPr>
              <w:spacing w:line="300" w:lineRule="exact"/>
              <w:jc w:val="left"/>
              <w:rPr>
                <w:rFonts w:ascii="方正书宋_GBK" w:eastAsia="方正书宋_GBK"/>
              </w:rPr>
            </w:pPr>
            <w:r>
              <w:rPr>
                <w:rFonts w:hint="eastAsia" w:ascii="方正书宋_GBK" w:eastAsia="方正书宋_GBK"/>
              </w:rPr>
              <w:t>做好县直机关党委和纪委负责人任免、考核、培训工作；活跃县直机关文化生活，建好机关党建工作信息平台，加强全县机关党建工作调研交流，做好县直反邪教、维稳和老龄协调工作。</w:t>
            </w:r>
          </w:p>
        </w:tc>
        <w:tc>
          <w:tcPr>
            <w:tcW w:w="2976" w:type="dxa"/>
            <w:shd w:val="clear" w:color="auto" w:fill="auto"/>
            <w:vAlign w:val="center"/>
          </w:tcPr>
          <w:p w14:paraId="321BA79F">
            <w:pPr>
              <w:spacing w:line="300" w:lineRule="exact"/>
              <w:jc w:val="left"/>
              <w:rPr>
                <w:rFonts w:ascii="方正书宋_GBK" w:eastAsia="方正书宋_GBK"/>
              </w:rPr>
            </w:pPr>
            <w:r>
              <w:rPr>
                <w:rFonts w:hint="eastAsia" w:ascii="方正书宋_GBK" w:eastAsia="方正书宋_GBK"/>
              </w:rPr>
              <w:t>各项工作全部落实。</w:t>
            </w:r>
          </w:p>
        </w:tc>
        <w:tc>
          <w:tcPr>
            <w:tcW w:w="1417" w:type="dxa"/>
            <w:shd w:val="clear" w:color="auto" w:fill="auto"/>
            <w:vAlign w:val="center"/>
          </w:tcPr>
          <w:p w14:paraId="1DF60142">
            <w:pPr>
              <w:spacing w:line="300" w:lineRule="exact"/>
              <w:jc w:val="left"/>
              <w:rPr>
                <w:rFonts w:ascii="方正书宋_GBK" w:eastAsia="方正书宋_GBK"/>
              </w:rPr>
            </w:pPr>
            <w:r>
              <w:rPr>
                <w:rFonts w:hint="eastAsia" w:ascii="方正书宋_GBK" w:eastAsia="方正书宋_GBK"/>
              </w:rPr>
              <w:t>综合业务工作完成率</w:t>
            </w:r>
          </w:p>
        </w:tc>
        <w:tc>
          <w:tcPr>
            <w:tcW w:w="737" w:type="dxa"/>
            <w:shd w:val="clear" w:color="auto" w:fill="auto"/>
            <w:vAlign w:val="center"/>
          </w:tcPr>
          <w:p w14:paraId="03ECB23F">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53F5723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48BA845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1813685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r>
    </w:tbl>
    <w:p w14:paraId="274C01D1">
      <w:pPr>
        <w:ind w:firstLine="3357" w:firstLineChars="1045"/>
        <w:outlineLvl w:val="0"/>
        <w:rPr>
          <w:rFonts w:ascii="黑体" w:hAnsi="黑体" w:eastAsia="黑体" w:cs="Times New Roman"/>
          <w:b/>
          <w:bCs/>
          <w:sz w:val="32"/>
          <w:szCs w:val="32"/>
        </w:rPr>
      </w:pPr>
    </w:p>
    <w:bookmarkEnd w:id="0"/>
    <w:p w14:paraId="77147BE8">
      <w:pPr>
        <w:outlineLvl w:val="0"/>
        <w:rPr>
          <w:rFonts w:cs="Times New Roman"/>
        </w:rPr>
        <w:sectPr>
          <w:pgSz w:w="16838" w:h="11906" w:orient="landscape"/>
          <w:pgMar w:top="1800" w:right="1440" w:bottom="1800" w:left="1440" w:header="851" w:footer="992" w:gutter="0"/>
          <w:cols w:space="425" w:num="1"/>
          <w:docGrid w:type="lines" w:linePitch="312" w:charSpace="0"/>
        </w:sectPr>
      </w:pPr>
    </w:p>
    <w:p w14:paraId="57613791">
      <w:pPr>
        <w:ind w:left="210" w:leftChars="100" w:right="210" w:rightChars="100"/>
        <w:jc w:val="center"/>
        <w:outlineLvl w:val="0"/>
        <w:rPr>
          <w:rFonts w:ascii="黑体" w:hAnsi="黑体" w:eastAsia="黑体" w:cs="Times New Roman"/>
          <w:sz w:val="32"/>
          <w:szCs w:val="32"/>
        </w:rPr>
      </w:pPr>
      <w:r>
        <w:rPr>
          <w:rFonts w:hint="eastAsia" w:ascii="黑体" w:hAnsi="黑体" w:eastAsia="黑体" w:cs="黑体"/>
          <w:sz w:val="32"/>
          <w:szCs w:val="32"/>
        </w:rPr>
        <w:t>第三部分：政府采购预算情况</w:t>
      </w:r>
    </w:p>
    <w:p w14:paraId="4EF92003">
      <w:pPr>
        <w:ind w:right="210" w:rightChars="100"/>
        <w:outlineLvl w:val="0"/>
        <w:rPr>
          <w:rFonts w:hint="eastAsia" w:ascii="仿宋" w:hAnsi="仿宋" w:eastAsia="仿宋"/>
          <w:sz w:val="32"/>
          <w:szCs w:val="32"/>
        </w:rPr>
      </w:pPr>
      <w:r>
        <w:rPr>
          <w:rFonts w:hint="eastAsia" w:ascii="仿宋" w:hAnsi="仿宋" w:eastAsia="仿宋" w:cs="仿宋"/>
          <w:spacing w:val="1"/>
          <w:sz w:val="32"/>
          <w:szCs w:val="32"/>
          <w:lang w:val="en-US" w:eastAsia="zh-CN"/>
        </w:rPr>
        <w:t xml:space="preserve">    </w:t>
      </w:r>
      <w:r>
        <w:rPr>
          <w:rFonts w:ascii="仿宋" w:hAnsi="仿宋" w:eastAsia="仿宋" w:cs="仿宋"/>
          <w:spacing w:val="1"/>
          <w:sz w:val="32"/>
          <w:szCs w:val="32"/>
        </w:rPr>
        <w:t>201</w:t>
      </w:r>
      <w:r>
        <w:rPr>
          <w:rFonts w:hint="eastAsia" w:ascii="仿宋" w:hAnsi="仿宋" w:eastAsia="仿宋" w:cs="仿宋"/>
          <w:spacing w:val="1"/>
          <w:sz w:val="32"/>
          <w:szCs w:val="32"/>
        </w:rPr>
        <w:t>8年我单位增加劳务派遣人员1名，服务费用共计2.71万元。</w:t>
      </w:r>
      <w:r>
        <w:rPr>
          <w:rFonts w:hint="eastAsia" w:ascii="仿宋" w:hAnsi="仿宋" w:eastAsia="仿宋"/>
          <w:sz w:val="32"/>
          <w:szCs w:val="32"/>
        </w:rPr>
        <w:t>201</w:t>
      </w:r>
      <w:r>
        <w:rPr>
          <w:rFonts w:hint="eastAsia" w:ascii="仿宋" w:hAnsi="仿宋" w:eastAsia="仿宋"/>
          <w:sz w:val="32"/>
          <w:szCs w:val="32"/>
          <w:lang w:val="en-US" w:eastAsia="zh-CN"/>
        </w:rPr>
        <w:t>8</w:t>
      </w:r>
      <w:r>
        <w:rPr>
          <w:rFonts w:hint="eastAsia" w:ascii="仿宋" w:hAnsi="仿宋" w:eastAsia="仿宋"/>
          <w:sz w:val="32"/>
          <w:szCs w:val="32"/>
        </w:rPr>
        <w:t>年，</w:t>
      </w:r>
      <w:r>
        <w:rPr>
          <w:rFonts w:hint="eastAsia" w:ascii="仿宋" w:hAnsi="仿宋" w:eastAsia="仿宋"/>
          <w:sz w:val="32"/>
          <w:szCs w:val="32"/>
          <w:lang w:eastAsia="zh-CN"/>
        </w:rPr>
        <w:t>县直工委</w:t>
      </w:r>
      <w:r>
        <w:rPr>
          <w:rFonts w:hint="eastAsia" w:ascii="仿宋" w:hAnsi="仿宋" w:eastAsia="仿宋"/>
          <w:sz w:val="32"/>
          <w:szCs w:val="32"/>
        </w:rPr>
        <w:t>安排采购预算</w:t>
      </w:r>
      <w:r>
        <w:rPr>
          <w:rFonts w:hint="eastAsia" w:ascii="仿宋" w:hAnsi="仿宋" w:eastAsia="仿宋"/>
          <w:sz w:val="32"/>
          <w:szCs w:val="32"/>
          <w:lang w:val="en-US" w:eastAsia="zh-CN"/>
        </w:rPr>
        <w:t>2.71</w:t>
      </w:r>
      <w:r>
        <w:rPr>
          <w:rFonts w:hint="eastAsia" w:ascii="仿宋" w:hAnsi="仿宋" w:eastAsia="仿宋"/>
          <w:sz w:val="32"/>
          <w:szCs w:val="32"/>
        </w:rPr>
        <w:t>万元。具体内容见下表：</w:t>
      </w:r>
    </w:p>
    <w:p w14:paraId="55019EC2">
      <w:pPr>
        <w:spacing w:line="300" w:lineRule="exact"/>
        <w:jc w:val="left"/>
        <w:outlineLvl w:val="0"/>
      </w:pPr>
    </w:p>
    <w:tbl>
      <w:tblPr>
        <w:tblStyle w:val="5"/>
        <w:tblW w:w="136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89"/>
        <w:gridCol w:w="1028"/>
        <w:gridCol w:w="911"/>
        <w:gridCol w:w="921"/>
        <w:gridCol w:w="712"/>
        <w:gridCol w:w="712"/>
        <w:gridCol w:w="793"/>
        <w:gridCol w:w="900"/>
        <w:gridCol w:w="900"/>
        <w:gridCol w:w="900"/>
        <w:gridCol w:w="900"/>
        <w:gridCol w:w="902"/>
        <w:gridCol w:w="902"/>
        <w:gridCol w:w="861"/>
      </w:tblGrid>
      <w:tr w14:paraId="79452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66" w:type="dxa"/>
            <w:gridSpan w:val="7"/>
            <w:tcBorders>
              <w:top w:val="single" w:color="FFFFFF" w:sz="6" w:space="0"/>
              <w:left w:val="single" w:color="FFFFFF" w:sz="6" w:space="0"/>
              <w:right w:val="single" w:color="FFFFFF" w:sz="6" w:space="0"/>
            </w:tcBorders>
            <w:shd w:val="clear" w:color="auto" w:fill="auto"/>
            <w:vAlign w:val="center"/>
          </w:tcPr>
          <w:p w14:paraId="0D10CEA5">
            <w:pPr>
              <w:spacing w:line="300" w:lineRule="exact"/>
              <w:jc w:val="left"/>
              <w:rPr>
                <w:rFonts w:ascii="方正小标宋_GBK" w:eastAsia="方正小标宋_GBK"/>
                <w:sz w:val="24"/>
              </w:rPr>
            </w:pPr>
            <w:r>
              <w:rPr>
                <w:rFonts w:ascii="方正小标宋_GBK" w:eastAsia="方正小标宋_GBK"/>
                <w:sz w:val="24"/>
              </w:rPr>
              <w:t>286</w:t>
            </w:r>
            <w:r>
              <w:rPr>
                <w:rFonts w:hint="eastAsia" w:ascii="方正小标宋_GBK" w:eastAsia="方正小标宋_GBK"/>
                <w:sz w:val="24"/>
              </w:rPr>
              <w:t>中国共产党曲阳县直属机关工作委员会</w:t>
            </w:r>
          </w:p>
        </w:tc>
        <w:tc>
          <w:tcPr>
            <w:tcW w:w="6265" w:type="dxa"/>
            <w:gridSpan w:val="7"/>
            <w:tcBorders>
              <w:top w:val="single" w:color="FFFFFF" w:sz="6" w:space="0"/>
              <w:left w:val="single" w:color="FFFFFF" w:sz="6" w:space="0"/>
              <w:right w:val="single" w:color="FFFFFF" w:sz="6" w:space="0"/>
            </w:tcBorders>
            <w:shd w:val="clear" w:color="auto" w:fill="auto"/>
            <w:vAlign w:val="center"/>
          </w:tcPr>
          <w:p w14:paraId="0CDD6021">
            <w:pPr>
              <w:spacing w:line="300" w:lineRule="exact"/>
              <w:jc w:val="right"/>
              <w:rPr>
                <w:rFonts w:ascii="方正书宋_GBK" w:eastAsia="方正书宋_GBK"/>
                <w:sz w:val="24"/>
              </w:rPr>
            </w:pPr>
            <w:r>
              <w:rPr>
                <w:rFonts w:hint="eastAsia" w:ascii="方正书宋_GBK" w:eastAsia="方正书宋_GBK"/>
                <w:sz w:val="24"/>
              </w:rPr>
              <w:t>单位：万元</w:t>
            </w:r>
          </w:p>
        </w:tc>
      </w:tr>
      <w:tr w14:paraId="0F387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317" w:type="dxa"/>
            <w:gridSpan w:val="2"/>
            <w:shd w:val="clear" w:color="auto" w:fill="auto"/>
            <w:vAlign w:val="center"/>
          </w:tcPr>
          <w:p w14:paraId="7B687C5E">
            <w:pPr>
              <w:spacing w:line="300" w:lineRule="exact"/>
              <w:jc w:val="center"/>
              <w:rPr>
                <w:rFonts w:ascii="方正书宋_GBK" w:eastAsia="方正书宋_GBK"/>
                <w:b/>
              </w:rPr>
            </w:pPr>
            <w:r>
              <w:rPr>
                <w:rFonts w:hint="eastAsia" w:ascii="方正书宋_GBK" w:eastAsia="方正书宋_GBK"/>
                <w:b/>
              </w:rPr>
              <w:t>政府采购项目来源</w:t>
            </w:r>
          </w:p>
        </w:tc>
        <w:tc>
          <w:tcPr>
            <w:tcW w:w="911" w:type="dxa"/>
            <w:vMerge w:val="restart"/>
            <w:shd w:val="clear" w:color="auto" w:fill="auto"/>
            <w:vAlign w:val="center"/>
          </w:tcPr>
          <w:p w14:paraId="2726AF5A">
            <w:pPr>
              <w:spacing w:line="300" w:lineRule="exact"/>
              <w:jc w:val="center"/>
              <w:rPr>
                <w:rFonts w:ascii="方正书宋_GBK" w:eastAsia="方正书宋_GBK"/>
                <w:b/>
              </w:rPr>
            </w:pPr>
            <w:r>
              <w:rPr>
                <w:rFonts w:hint="eastAsia" w:ascii="方正书宋_GBK" w:eastAsia="方正书宋_GBK"/>
                <w:b/>
              </w:rPr>
              <w:t>采购物品名称</w:t>
            </w:r>
          </w:p>
        </w:tc>
        <w:tc>
          <w:tcPr>
            <w:tcW w:w="921" w:type="dxa"/>
            <w:vMerge w:val="restart"/>
            <w:shd w:val="clear" w:color="auto" w:fill="auto"/>
            <w:vAlign w:val="center"/>
          </w:tcPr>
          <w:p w14:paraId="18267323">
            <w:pPr>
              <w:spacing w:line="300" w:lineRule="exact"/>
              <w:jc w:val="center"/>
              <w:rPr>
                <w:rFonts w:ascii="方正书宋_GBK" w:eastAsia="方正书宋_GBK"/>
                <w:b/>
              </w:rPr>
            </w:pPr>
            <w:r>
              <w:rPr>
                <w:rFonts w:hint="eastAsia" w:ascii="方正书宋_GBK" w:eastAsia="方正书宋_GBK"/>
                <w:b/>
              </w:rPr>
              <w:t>政府采购目录序号</w:t>
            </w:r>
          </w:p>
        </w:tc>
        <w:tc>
          <w:tcPr>
            <w:tcW w:w="712" w:type="dxa"/>
            <w:vMerge w:val="restart"/>
            <w:shd w:val="clear" w:color="auto" w:fill="auto"/>
            <w:vAlign w:val="center"/>
          </w:tcPr>
          <w:p w14:paraId="051CA29F">
            <w:pPr>
              <w:spacing w:line="300" w:lineRule="exact"/>
              <w:jc w:val="cente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712" w:type="dxa"/>
            <w:vMerge w:val="restart"/>
            <w:shd w:val="clear" w:color="auto" w:fill="auto"/>
            <w:vAlign w:val="center"/>
          </w:tcPr>
          <w:p w14:paraId="3B3FC8F2">
            <w:pPr>
              <w:spacing w:line="300" w:lineRule="exact"/>
              <w:jc w:val="center"/>
              <w:rPr>
                <w:rFonts w:ascii="方正书宋_GBK" w:eastAsia="方正书宋_GBK"/>
                <w:b/>
              </w:rPr>
            </w:pPr>
            <w:r>
              <w:rPr>
                <w:rFonts w:hint="eastAsia" w:ascii="方正书宋_GBK" w:eastAsia="方正书宋_GBK"/>
                <w:b/>
              </w:rPr>
              <w:t>数量</w:t>
            </w:r>
          </w:p>
        </w:tc>
        <w:tc>
          <w:tcPr>
            <w:tcW w:w="793" w:type="dxa"/>
            <w:vMerge w:val="restart"/>
            <w:shd w:val="clear" w:color="auto" w:fill="auto"/>
            <w:vAlign w:val="center"/>
          </w:tcPr>
          <w:p w14:paraId="711775BD">
            <w:pPr>
              <w:spacing w:line="300" w:lineRule="exact"/>
              <w:jc w:val="center"/>
              <w:rPr>
                <w:rFonts w:ascii="方正书宋_GBK" w:eastAsia="方正书宋_GBK"/>
                <w:b/>
              </w:rPr>
            </w:pPr>
            <w:r>
              <w:rPr>
                <w:rFonts w:hint="eastAsia" w:ascii="方正书宋_GBK" w:eastAsia="方正书宋_GBK"/>
                <w:b/>
              </w:rPr>
              <w:t>单价</w:t>
            </w:r>
          </w:p>
        </w:tc>
        <w:tc>
          <w:tcPr>
            <w:tcW w:w="6265" w:type="dxa"/>
            <w:gridSpan w:val="7"/>
            <w:shd w:val="clear" w:color="auto" w:fill="auto"/>
            <w:vAlign w:val="center"/>
          </w:tcPr>
          <w:p w14:paraId="1AD76192">
            <w:pPr>
              <w:spacing w:line="300" w:lineRule="exact"/>
              <w:jc w:val="center"/>
              <w:rPr>
                <w:rFonts w:ascii="方正书宋_GBK" w:eastAsia="方正书宋_GBK"/>
                <w:b/>
              </w:rPr>
            </w:pPr>
            <w:r>
              <w:rPr>
                <w:rFonts w:hint="eastAsia" w:ascii="方正书宋_GBK" w:eastAsia="方正书宋_GBK"/>
                <w:b/>
              </w:rPr>
              <w:t>政府采购金额</w:t>
            </w:r>
          </w:p>
        </w:tc>
      </w:tr>
      <w:tr w14:paraId="4AA50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289" w:type="dxa"/>
            <w:vMerge w:val="restart"/>
            <w:shd w:val="clear" w:color="auto" w:fill="auto"/>
            <w:vAlign w:val="center"/>
          </w:tcPr>
          <w:p w14:paraId="7970A8BC">
            <w:pPr>
              <w:spacing w:line="300" w:lineRule="exact"/>
              <w:jc w:val="center"/>
              <w:rPr>
                <w:rFonts w:ascii="方正书宋_GBK" w:eastAsia="方正书宋_GBK"/>
                <w:b/>
              </w:rPr>
            </w:pPr>
            <w:r>
              <w:rPr>
                <w:rFonts w:hint="eastAsia" w:ascii="方正书宋_GBK" w:eastAsia="方正书宋_GBK"/>
                <w:b/>
              </w:rPr>
              <w:t>项目名称</w:t>
            </w:r>
          </w:p>
        </w:tc>
        <w:tc>
          <w:tcPr>
            <w:tcW w:w="1028" w:type="dxa"/>
            <w:vMerge w:val="restart"/>
            <w:shd w:val="clear" w:color="auto" w:fill="auto"/>
            <w:vAlign w:val="center"/>
          </w:tcPr>
          <w:p w14:paraId="2D2CDF8E">
            <w:pPr>
              <w:spacing w:line="300" w:lineRule="exact"/>
              <w:jc w:val="center"/>
              <w:rPr>
                <w:rFonts w:ascii="方正书宋_GBK" w:eastAsia="方正书宋_GBK"/>
                <w:b/>
              </w:rPr>
            </w:pPr>
            <w:r>
              <w:rPr>
                <w:rFonts w:hint="eastAsia" w:ascii="方正书宋_GBK" w:eastAsia="方正书宋_GBK"/>
                <w:b/>
              </w:rPr>
              <w:t>预算资金</w:t>
            </w:r>
          </w:p>
        </w:tc>
        <w:tc>
          <w:tcPr>
            <w:tcW w:w="911" w:type="dxa"/>
            <w:vMerge w:val="continue"/>
            <w:shd w:val="clear" w:color="auto" w:fill="auto"/>
            <w:vAlign w:val="center"/>
          </w:tcPr>
          <w:p w14:paraId="2BC8DAB9">
            <w:pPr>
              <w:spacing w:line="300" w:lineRule="exact"/>
              <w:jc w:val="left"/>
              <w:outlineLvl w:val="0"/>
            </w:pPr>
          </w:p>
        </w:tc>
        <w:tc>
          <w:tcPr>
            <w:tcW w:w="921" w:type="dxa"/>
            <w:vMerge w:val="continue"/>
            <w:shd w:val="clear" w:color="auto" w:fill="auto"/>
            <w:vAlign w:val="center"/>
          </w:tcPr>
          <w:p w14:paraId="72F894C7">
            <w:pPr>
              <w:spacing w:line="300" w:lineRule="exact"/>
              <w:jc w:val="left"/>
              <w:outlineLvl w:val="0"/>
            </w:pPr>
          </w:p>
        </w:tc>
        <w:tc>
          <w:tcPr>
            <w:tcW w:w="712" w:type="dxa"/>
            <w:vMerge w:val="continue"/>
            <w:shd w:val="clear" w:color="auto" w:fill="auto"/>
            <w:vAlign w:val="center"/>
          </w:tcPr>
          <w:p w14:paraId="21266D77">
            <w:pPr>
              <w:spacing w:line="300" w:lineRule="exact"/>
              <w:jc w:val="left"/>
              <w:outlineLvl w:val="0"/>
            </w:pPr>
          </w:p>
        </w:tc>
        <w:tc>
          <w:tcPr>
            <w:tcW w:w="712" w:type="dxa"/>
            <w:vMerge w:val="continue"/>
            <w:shd w:val="clear" w:color="auto" w:fill="auto"/>
            <w:vAlign w:val="center"/>
          </w:tcPr>
          <w:p w14:paraId="22D4B24F">
            <w:pPr>
              <w:spacing w:line="300" w:lineRule="exact"/>
              <w:jc w:val="left"/>
              <w:outlineLvl w:val="0"/>
            </w:pPr>
          </w:p>
        </w:tc>
        <w:tc>
          <w:tcPr>
            <w:tcW w:w="793" w:type="dxa"/>
            <w:vMerge w:val="continue"/>
            <w:shd w:val="clear" w:color="auto" w:fill="auto"/>
            <w:vAlign w:val="center"/>
          </w:tcPr>
          <w:p w14:paraId="653449BA">
            <w:pPr>
              <w:spacing w:line="300" w:lineRule="exact"/>
              <w:jc w:val="left"/>
              <w:outlineLvl w:val="0"/>
            </w:pPr>
          </w:p>
        </w:tc>
        <w:tc>
          <w:tcPr>
            <w:tcW w:w="900" w:type="dxa"/>
            <w:vMerge w:val="restart"/>
            <w:shd w:val="clear" w:color="auto" w:fill="auto"/>
            <w:vAlign w:val="center"/>
          </w:tcPr>
          <w:p w14:paraId="3783D7F6">
            <w:pPr>
              <w:spacing w:line="300" w:lineRule="exact"/>
              <w:jc w:val="center"/>
              <w:rPr>
                <w:rFonts w:ascii="方正书宋_GBK" w:eastAsia="方正书宋_GBK"/>
                <w:b/>
              </w:rPr>
            </w:pPr>
            <w:r>
              <w:rPr>
                <w:rFonts w:hint="eastAsia" w:ascii="方正书宋_GBK" w:eastAsia="方正书宋_GBK"/>
                <w:b/>
              </w:rPr>
              <w:t>总计</w:t>
            </w:r>
          </w:p>
        </w:tc>
        <w:tc>
          <w:tcPr>
            <w:tcW w:w="4504" w:type="dxa"/>
            <w:gridSpan w:val="5"/>
            <w:shd w:val="clear" w:color="auto" w:fill="auto"/>
            <w:vAlign w:val="center"/>
          </w:tcPr>
          <w:p w14:paraId="5B6CADCD">
            <w:pPr>
              <w:spacing w:line="300" w:lineRule="exact"/>
              <w:jc w:val="center"/>
              <w:rPr>
                <w:rFonts w:ascii="方正书宋_GBK" w:eastAsia="方正书宋_GBK"/>
                <w:b/>
              </w:rPr>
            </w:pPr>
            <w:r>
              <w:rPr>
                <w:rFonts w:hint="eastAsia" w:ascii="方正书宋_GBK" w:eastAsia="方正书宋_GBK"/>
                <w:b/>
              </w:rPr>
              <w:t>当年部门预算安排资金</w:t>
            </w:r>
          </w:p>
        </w:tc>
        <w:tc>
          <w:tcPr>
            <w:tcW w:w="861" w:type="dxa"/>
            <w:vMerge w:val="restart"/>
            <w:shd w:val="clear" w:color="auto" w:fill="auto"/>
            <w:vAlign w:val="center"/>
          </w:tcPr>
          <w:p w14:paraId="71FB79F2">
            <w:pPr>
              <w:spacing w:line="300" w:lineRule="exact"/>
              <w:jc w:val="center"/>
              <w:rPr>
                <w:rFonts w:ascii="方正书宋_GBK" w:eastAsia="方正书宋_GBK"/>
                <w:b/>
              </w:rPr>
            </w:pPr>
            <w:r>
              <w:rPr>
                <w:rFonts w:hint="eastAsia" w:ascii="方正书宋_GBK" w:eastAsia="方正书宋_GBK"/>
                <w:b/>
              </w:rPr>
              <w:t>其他渠道资金</w:t>
            </w:r>
          </w:p>
        </w:tc>
      </w:tr>
      <w:tr w14:paraId="4D727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289" w:type="dxa"/>
            <w:vMerge w:val="continue"/>
            <w:shd w:val="clear" w:color="auto" w:fill="auto"/>
            <w:vAlign w:val="center"/>
          </w:tcPr>
          <w:p w14:paraId="0AFDBA01">
            <w:pPr>
              <w:spacing w:line="300" w:lineRule="exact"/>
              <w:jc w:val="left"/>
              <w:outlineLvl w:val="0"/>
            </w:pPr>
          </w:p>
        </w:tc>
        <w:tc>
          <w:tcPr>
            <w:tcW w:w="1028" w:type="dxa"/>
            <w:vMerge w:val="continue"/>
            <w:shd w:val="clear" w:color="auto" w:fill="auto"/>
            <w:vAlign w:val="center"/>
          </w:tcPr>
          <w:p w14:paraId="01E77D5D">
            <w:pPr>
              <w:spacing w:line="300" w:lineRule="exact"/>
              <w:jc w:val="left"/>
              <w:outlineLvl w:val="0"/>
            </w:pPr>
          </w:p>
        </w:tc>
        <w:tc>
          <w:tcPr>
            <w:tcW w:w="911" w:type="dxa"/>
            <w:vMerge w:val="continue"/>
            <w:shd w:val="clear" w:color="auto" w:fill="auto"/>
            <w:vAlign w:val="center"/>
          </w:tcPr>
          <w:p w14:paraId="44054A25">
            <w:pPr>
              <w:spacing w:line="300" w:lineRule="exact"/>
              <w:jc w:val="left"/>
              <w:outlineLvl w:val="0"/>
            </w:pPr>
          </w:p>
        </w:tc>
        <w:tc>
          <w:tcPr>
            <w:tcW w:w="921" w:type="dxa"/>
            <w:vMerge w:val="continue"/>
            <w:shd w:val="clear" w:color="auto" w:fill="auto"/>
            <w:vAlign w:val="center"/>
          </w:tcPr>
          <w:p w14:paraId="5EC92787">
            <w:pPr>
              <w:spacing w:line="300" w:lineRule="exact"/>
              <w:jc w:val="left"/>
              <w:outlineLvl w:val="0"/>
            </w:pPr>
          </w:p>
        </w:tc>
        <w:tc>
          <w:tcPr>
            <w:tcW w:w="712" w:type="dxa"/>
            <w:vMerge w:val="continue"/>
            <w:shd w:val="clear" w:color="auto" w:fill="auto"/>
            <w:vAlign w:val="center"/>
          </w:tcPr>
          <w:p w14:paraId="511D19C1">
            <w:pPr>
              <w:spacing w:line="300" w:lineRule="exact"/>
              <w:jc w:val="left"/>
              <w:outlineLvl w:val="0"/>
            </w:pPr>
          </w:p>
        </w:tc>
        <w:tc>
          <w:tcPr>
            <w:tcW w:w="712" w:type="dxa"/>
            <w:vMerge w:val="continue"/>
            <w:shd w:val="clear" w:color="auto" w:fill="auto"/>
            <w:vAlign w:val="center"/>
          </w:tcPr>
          <w:p w14:paraId="42CE0A17">
            <w:pPr>
              <w:spacing w:line="300" w:lineRule="exact"/>
              <w:jc w:val="left"/>
              <w:outlineLvl w:val="0"/>
            </w:pPr>
          </w:p>
        </w:tc>
        <w:tc>
          <w:tcPr>
            <w:tcW w:w="793" w:type="dxa"/>
            <w:vMerge w:val="continue"/>
            <w:shd w:val="clear" w:color="auto" w:fill="auto"/>
            <w:vAlign w:val="center"/>
          </w:tcPr>
          <w:p w14:paraId="0C3C9342">
            <w:pPr>
              <w:spacing w:line="300" w:lineRule="exact"/>
              <w:jc w:val="left"/>
              <w:outlineLvl w:val="0"/>
            </w:pPr>
          </w:p>
        </w:tc>
        <w:tc>
          <w:tcPr>
            <w:tcW w:w="900" w:type="dxa"/>
            <w:vMerge w:val="continue"/>
            <w:shd w:val="clear" w:color="auto" w:fill="auto"/>
            <w:vAlign w:val="center"/>
          </w:tcPr>
          <w:p w14:paraId="60ED1BB2">
            <w:pPr>
              <w:spacing w:line="300" w:lineRule="exact"/>
              <w:jc w:val="left"/>
              <w:outlineLvl w:val="0"/>
            </w:pPr>
          </w:p>
        </w:tc>
        <w:tc>
          <w:tcPr>
            <w:tcW w:w="900" w:type="dxa"/>
            <w:shd w:val="clear" w:color="auto" w:fill="auto"/>
            <w:vAlign w:val="center"/>
          </w:tcPr>
          <w:p w14:paraId="730CC64C">
            <w:pPr>
              <w:spacing w:line="300" w:lineRule="exact"/>
              <w:jc w:val="center"/>
              <w:rPr>
                <w:rFonts w:ascii="方正书宋_GBK" w:eastAsia="方正书宋_GBK"/>
                <w:b/>
              </w:rPr>
            </w:pPr>
            <w:r>
              <w:rPr>
                <w:rFonts w:hint="eastAsia" w:ascii="方正书宋_GBK" w:eastAsia="方正书宋_GBK"/>
                <w:b/>
              </w:rPr>
              <w:t>合计</w:t>
            </w:r>
          </w:p>
        </w:tc>
        <w:tc>
          <w:tcPr>
            <w:tcW w:w="900" w:type="dxa"/>
            <w:shd w:val="clear" w:color="auto" w:fill="auto"/>
            <w:vAlign w:val="center"/>
          </w:tcPr>
          <w:p w14:paraId="400F4C28">
            <w:pPr>
              <w:spacing w:line="300" w:lineRule="exact"/>
              <w:jc w:val="center"/>
              <w:rPr>
                <w:rFonts w:ascii="方正书宋_GBK" w:eastAsia="方正书宋_GBK"/>
                <w:b/>
              </w:rPr>
            </w:pPr>
            <w:r>
              <w:rPr>
                <w:rFonts w:hint="eastAsia" w:ascii="方正书宋_GBK" w:eastAsia="方正书宋_GBK"/>
                <w:b/>
              </w:rPr>
              <w:t>一般公共预算拨款</w:t>
            </w:r>
          </w:p>
        </w:tc>
        <w:tc>
          <w:tcPr>
            <w:tcW w:w="900" w:type="dxa"/>
            <w:shd w:val="clear" w:color="auto" w:fill="auto"/>
            <w:vAlign w:val="center"/>
          </w:tcPr>
          <w:p w14:paraId="35C058E4">
            <w:pPr>
              <w:spacing w:line="300" w:lineRule="exact"/>
              <w:jc w:val="center"/>
              <w:rPr>
                <w:rFonts w:ascii="方正书宋_GBK" w:eastAsia="方正书宋_GBK"/>
                <w:b/>
              </w:rPr>
            </w:pPr>
            <w:r>
              <w:rPr>
                <w:rFonts w:hint="eastAsia" w:ascii="方正书宋_GBK" w:eastAsia="方正书宋_GBK"/>
                <w:b/>
              </w:rPr>
              <w:t>基金预算拨款</w:t>
            </w:r>
          </w:p>
        </w:tc>
        <w:tc>
          <w:tcPr>
            <w:tcW w:w="902" w:type="dxa"/>
            <w:shd w:val="clear" w:color="auto" w:fill="auto"/>
            <w:vAlign w:val="center"/>
          </w:tcPr>
          <w:p w14:paraId="4F3D6312">
            <w:pPr>
              <w:spacing w:line="300" w:lineRule="exact"/>
              <w:jc w:val="center"/>
              <w:rPr>
                <w:rFonts w:ascii="方正书宋_GBK" w:eastAsia="方正书宋_GBK"/>
                <w:b/>
              </w:rPr>
            </w:pPr>
            <w:r>
              <w:rPr>
                <w:rFonts w:hint="eastAsia" w:ascii="方正书宋_GBK" w:eastAsia="方正书宋_GBK"/>
                <w:b/>
              </w:rPr>
              <w:t>财政专户核拨</w:t>
            </w:r>
          </w:p>
        </w:tc>
        <w:tc>
          <w:tcPr>
            <w:tcW w:w="902" w:type="dxa"/>
            <w:shd w:val="clear" w:color="auto" w:fill="auto"/>
            <w:vAlign w:val="center"/>
          </w:tcPr>
          <w:p w14:paraId="476A0A02">
            <w:pPr>
              <w:spacing w:line="300" w:lineRule="exact"/>
              <w:jc w:val="center"/>
              <w:rPr>
                <w:rFonts w:ascii="方正书宋_GBK" w:eastAsia="方正书宋_GBK"/>
                <w:b/>
              </w:rPr>
            </w:pPr>
            <w:r>
              <w:rPr>
                <w:rFonts w:hint="eastAsia" w:ascii="方正书宋_GBK" w:eastAsia="方正书宋_GBK"/>
                <w:b/>
              </w:rPr>
              <w:t>其他来源收入</w:t>
            </w:r>
          </w:p>
        </w:tc>
        <w:tc>
          <w:tcPr>
            <w:tcW w:w="861" w:type="dxa"/>
            <w:vMerge w:val="continue"/>
            <w:shd w:val="clear" w:color="auto" w:fill="auto"/>
            <w:vAlign w:val="center"/>
          </w:tcPr>
          <w:p w14:paraId="6CBF4C13">
            <w:pPr>
              <w:spacing w:line="300" w:lineRule="exact"/>
              <w:jc w:val="left"/>
              <w:outlineLvl w:val="0"/>
            </w:pPr>
          </w:p>
        </w:tc>
      </w:tr>
      <w:tr w14:paraId="4C521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289" w:type="dxa"/>
            <w:shd w:val="clear" w:color="auto" w:fill="auto"/>
            <w:vAlign w:val="center"/>
          </w:tcPr>
          <w:p w14:paraId="4344BFA0">
            <w:pPr>
              <w:spacing w:line="300" w:lineRule="exact"/>
              <w:jc w:val="center"/>
              <w:rPr>
                <w:rFonts w:ascii="方正书宋_GBK" w:eastAsia="方正书宋_GBK"/>
                <w:b/>
              </w:rPr>
            </w:pPr>
            <w:r>
              <w:rPr>
                <w:rFonts w:hint="eastAsia" w:ascii="方正书宋_GBK" w:eastAsia="方正书宋_GBK"/>
                <w:b/>
              </w:rPr>
              <w:t>合　计</w:t>
            </w:r>
          </w:p>
        </w:tc>
        <w:tc>
          <w:tcPr>
            <w:tcW w:w="1028" w:type="dxa"/>
            <w:shd w:val="clear" w:color="auto" w:fill="auto"/>
            <w:vAlign w:val="center"/>
          </w:tcPr>
          <w:p w14:paraId="16F29F3B">
            <w:pPr>
              <w:spacing w:line="300" w:lineRule="exact"/>
              <w:jc w:val="right"/>
              <w:rPr>
                <w:rFonts w:ascii="方正书宋_GBK" w:eastAsia="方正书宋_GBK"/>
                <w:b/>
              </w:rPr>
            </w:pPr>
          </w:p>
        </w:tc>
        <w:tc>
          <w:tcPr>
            <w:tcW w:w="911" w:type="dxa"/>
            <w:shd w:val="clear" w:color="auto" w:fill="auto"/>
            <w:vAlign w:val="center"/>
          </w:tcPr>
          <w:p w14:paraId="42EE9B20">
            <w:pPr>
              <w:spacing w:line="300" w:lineRule="exact"/>
              <w:jc w:val="left"/>
              <w:rPr>
                <w:rFonts w:ascii="方正书宋_GBK" w:eastAsia="方正书宋_GBK"/>
                <w:b/>
              </w:rPr>
            </w:pPr>
          </w:p>
        </w:tc>
        <w:tc>
          <w:tcPr>
            <w:tcW w:w="921" w:type="dxa"/>
            <w:shd w:val="clear" w:color="auto" w:fill="auto"/>
            <w:vAlign w:val="center"/>
          </w:tcPr>
          <w:p w14:paraId="0D44470C">
            <w:pPr>
              <w:spacing w:line="300" w:lineRule="exact"/>
              <w:jc w:val="left"/>
              <w:rPr>
                <w:rFonts w:ascii="方正书宋_GBK" w:eastAsia="方正书宋_GBK"/>
                <w:b/>
              </w:rPr>
            </w:pPr>
          </w:p>
        </w:tc>
        <w:tc>
          <w:tcPr>
            <w:tcW w:w="712" w:type="dxa"/>
            <w:shd w:val="clear" w:color="auto" w:fill="auto"/>
            <w:vAlign w:val="center"/>
          </w:tcPr>
          <w:p w14:paraId="5A25A5A6">
            <w:pPr>
              <w:spacing w:line="300" w:lineRule="exact"/>
              <w:jc w:val="left"/>
              <w:rPr>
                <w:rFonts w:ascii="方正书宋_GBK" w:eastAsia="方正书宋_GBK"/>
                <w:b/>
              </w:rPr>
            </w:pPr>
          </w:p>
        </w:tc>
        <w:tc>
          <w:tcPr>
            <w:tcW w:w="712" w:type="dxa"/>
            <w:shd w:val="clear" w:color="auto" w:fill="auto"/>
            <w:vAlign w:val="center"/>
          </w:tcPr>
          <w:p w14:paraId="472B63A8">
            <w:pPr>
              <w:spacing w:line="300" w:lineRule="exact"/>
              <w:jc w:val="right"/>
              <w:rPr>
                <w:rFonts w:ascii="方正书宋_GBK" w:eastAsia="方正书宋_GBK"/>
                <w:b/>
              </w:rPr>
            </w:pPr>
          </w:p>
        </w:tc>
        <w:tc>
          <w:tcPr>
            <w:tcW w:w="793" w:type="dxa"/>
            <w:shd w:val="clear" w:color="auto" w:fill="auto"/>
            <w:vAlign w:val="center"/>
          </w:tcPr>
          <w:p w14:paraId="7F2C6DF1">
            <w:pPr>
              <w:spacing w:line="300" w:lineRule="exact"/>
              <w:jc w:val="right"/>
              <w:rPr>
                <w:rFonts w:ascii="方正书宋_GBK" w:eastAsia="方正书宋_GBK"/>
                <w:b/>
              </w:rPr>
            </w:pPr>
          </w:p>
        </w:tc>
        <w:tc>
          <w:tcPr>
            <w:tcW w:w="900" w:type="dxa"/>
            <w:shd w:val="clear" w:color="auto" w:fill="auto"/>
            <w:vAlign w:val="center"/>
          </w:tcPr>
          <w:p w14:paraId="419970E4">
            <w:pPr>
              <w:spacing w:line="300" w:lineRule="exact"/>
              <w:jc w:val="right"/>
              <w:rPr>
                <w:rFonts w:ascii="方正书宋_GBK" w:eastAsia="方正书宋_GBK"/>
                <w:b/>
              </w:rPr>
            </w:pPr>
            <w:r>
              <w:rPr>
                <w:rFonts w:ascii="方正书宋_GBK" w:eastAsia="方正书宋_GBK"/>
                <w:b/>
              </w:rPr>
              <w:t>2.71</w:t>
            </w:r>
          </w:p>
        </w:tc>
        <w:tc>
          <w:tcPr>
            <w:tcW w:w="900" w:type="dxa"/>
            <w:shd w:val="clear" w:color="auto" w:fill="auto"/>
            <w:vAlign w:val="center"/>
          </w:tcPr>
          <w:p w14:paraId="61C3DE6E">
            <w:pPr>
              <w:spacing w:line="300" w:lineRule="exact"/>
              <w:jc w:val="right"/>
              <w:rPr>
                <w:rFonts w:ascii="方正书宋_GBK" w:eastAsia="方正书宋_GBK"/>
                <w:b/>
              </w:rPr>
            </w:pPr>
            <w:r>
              <w:rPr>
                <w:rFonts w:ascii="方正书宋_GBK" w:eastAsia="方正书宋_GBK"/>
                <w:b/>
              </w:rPr>
              <w:t>2.71</w:t>
            </w:r>
          </w:p>
        </w:tc>
        <w:tc>
          <w:tcPr>
            <w:tcW w:w="900" w:type="dxa"/>
            <w:shd w:val="clear" w:color="auto" w:fill="auto"/>
            <w:vAlign w:val="center"/>
          </w:tcPr>
          <w:p w14:paraId="2616C17D">
            <w:pPr>
              <w:spacing w:line="300" w:lineRule="exact"/>
              <w:jc w:val="right"/>
              <w:rPr>
                <w:rFonts w:ascii="方正书宋_GBK" w:eastAsia="方正书宋_GBK"/>
                <w:b/>
              </w:rPr>
            </w:pPr>
            <w:r>
              <w:rPr>
                <w:rFonts w:ascii="方正书宋_GBK" w:eastAsia="方正书宋_GBK"/>
                <w:b/>
              </w:rPr>
              <w:t>2.71</w:t>
            </w:r>
          </w:p>
        </w:tc>
        <w:tc>
          <w:tcPr>
            <w:tcW w:w="900" w:type="dxa"/>
            <w:shd w:val="clear" w:color="auto" w:fill="auto"/>
            <w:vAlign w:val="center"/>
          </w:tcPr>
          <w:p w14:paraId="45E04F76">
            <w:pPr>
              <w:spacing w:line="300" w:lineRule="exact"/>
              <w:jc w:val="right"/>
              <w:rPr>
                <w:rFonts w:ascii="方正书宋_GBK" w:eastAsia="方正书宋_GBK"/>
                <w:b/>
              </w:rPr>
            </w:pPr>
          </w:p>
        </w:tc>
        <w:tc>
          <w:tcPr>
            <w:tcW w:w="902" w:type="dxa"/>
            <w:shd w:val="clear" w:color="auto" w:fill="auto"/>
            <w:vAlign w:val="center"/>
          </w:tcPr>
          <w:p w14:paraId="4D20D3FB">
            <w:pPr>
              <w:spacing w:line="300" w:lineRule="exact"/>
              <w:jc w:val="right"/>
              <w:rPr>
                <w:rFonts w:ascii="方正书宋_GBK" w:eastAsia="方正书宋_GBK"/>
                <w:b/>
              </w:rPr>
            </w:pPr>
          </w:p>
        </w:tc>
        <w:tc>
          <w:tcPr>
            <w:tcW w:w="902" w:type="dxa"/>
            <w:shd w:val="clear" w:color="auto" w:fill="auto"/>
            <w:vAlign w:val="center"/>
          </w:tcPr>
          <w:p w14:paraId="71851E9C">
            <w:pPr>
              <w:spacing w:line="300" w:lineRule="exact"/>
              <w:jc w:val="right"/>
              <w:rPr>
                <w:rFonts w:ascii="方正书宋_GBK" w:eastAsia="方正书宋_GBK"/>
                <w:b/>
              </w:rPr>
            </w:pPr>
          </w:p>
        </w:tc>
        <w:tc>
          <w:tcPr>
            <w:tcW w:w="861" w:type="dxa"/>
            <w:shd w:val="clear" w:color="auto" w:fill="auto"/>
            <w:vAlign w:val="center"/>
          </w:tcPr>
          <w:p w14:paraId="3D6686FC">
            <w:pPr>
              <w:spacing w:line="300" w:lineRule="exact"/>
              <w:jc w:val="right"/>
              <w:rPr>
                <w:rFonts w:ascii="方正书宋_GBK" w:eastAsia="方正书宋_GBK"/>
                <w:b/>
              </w:rPr>
            </w:pPr>
          </w:p>
        </w:tc>
      </w:tr>
      <w:tr w14:paraId="4890D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289" w:type="dxa"/>
            <w:shd w:val="clear" w:color="auto" w:fill="auto"/>
            <w:vAlign w:val="center"/>
          </w:tcPr>
          <w:p w14:paraId="2125E8B4">
            <w:pPr>
              <w:spacing w:line="300" w:lineRule="exact"/>
              <w:jc w:val="center"/>
              <w:rPr>
                <w:rFonts w:hint="eastAsia" w:ascii="方正书宋_GBK" w:eastAsia="方正书宋_GBK"/>
                <w:b/>
              </w:rPr>
            </w:pPr>
            <w:r>
              <w:rPr>
                <w:rFonts w:hint="eastAsia" w:ascii="方正书宋_GBK" w:eastAsia="方正书宋_GBK"/>
                <w:b/>
              </w:rPr>
              <w:t>中国共产党曲阳县直属机关工作委员会小计</w:t>
            </w:r>
          </w:p>
        </w:tc>
        <w:tc>
          <w:tcPr>
            <w:tcW w:w="1028" w:type="dxa"/>
            <w:shd w:val="clear" w:color="auto" w:fill="auto"/>
            <w:vAlign w:val="center"/>
          </w:tcPr>
          <w:p w14:paraId="0CD43549">
            <w:pPr>
              <w:spacing w:line="300" w:lineRule="exact"/>
              <w:jc w:val="right"/>
              <w:rPr>
                <w:rFonts w:ascii="方正书宋_GBK" w:eastAsia="方正书宋_GBK"/>
                <w:b/>
              </w:rPr>
            </w:pPr>
          </w:p>
        </w:tc>
        <w:tc>
          <w:tcPr>
            <w:tcW w:w="911" w:type="dxa"/>
            <w:shd w:val="clear" w:color="auto" w:fill="auto"/>
            <w:vAlign w:val="center"/>
          </w:tcPr>
          <w:p w14:paraId="1F0A5A52">
            <w:pPr>
              <w:spacing w:line="300" w:lineRule="exact"/>
              <w:jc w:val="left"/>
              <w:rPr>
                <w:rFonts w:ascii="方正书宋_GBK" w:eastAsia="方正书宋_GBK"/>
                <w:b/>
              </w:rPr>
            </w:pPr>
          </w:p>
        </w:tc>
        <w:tc>
          <w:tcPr>
            <w:tcW w:w="921" w:type="dxa"/>
            <w:shd w:val="clear" w:color="auto" w:fill="auto"/>
            <w:vAlign w:val="center"/>
          </w:tcPr>
          <w:p w14:paraId="4F2382B9">
            <w:pPr>
              <w:spacing w:line="300" w:lineRule="exact"/>
              <w:jc w:val="left"/>
              <w:rPr>
                <w:rFonts w:ascii="方正书宋_GBK" w:eastAsia="方正书宋_GBK"/>
                <w:b/>
              </w:rPr>
            </w:pPr>
          </w:p>
        </w:tc>
        <w:tc>
          <w:tcPr>
            <w:tcW w:w="712" w:type="dxa"/>
            <w:shd w:val="clear" w:color="auto" w:fill="auto"/>
            <w:vAlign w:val="center"/>
          </w:tcPr>
          <w:p w14:paraId="3FBA5DE9">
            <w:pPr>
              <w:spacing w:line="300" w:lineRule="exact"/>
              <w:jc w:val="left"/>
              <w:rPr>
                <w:rFonts w:ascii="方正书宋_GBK" w:eastAsia="方正书宋_GBK"/>
                <w:b/>
              </w:rPr>
            </w:pPr>
          </w:p>
        </w:tc>
        <w:tc>
          <w:tcPr>
            <w:tcW w:w="712" w:type="dxa"/>
            <w:shd w:val="clear" w:color="auto" w:fill="auto"/>
            <w:vAlign w:val="center"/>
          </w:tcPr>
          <w:p w14:paraId="26FD2AFF">
            <w:pPr>
              <w:spacing w:line="300" w:lineRule="exact"/>
              <w:jc w:val="right"/>
              <w:rPr>
                <w:rFonts w:ascii="方正书宋_GBK" w:eastAsia="方正书宋_GBK"/>
                <w:b/>
              </w:rPr>
            </w:pPr>
          </w:p>
        </w:tc>
        <w:tc>
          <w:tcPr>
            <w:tcW w:w="793" w:type="dxa"/>
            <w:shd w:val="clear" w:color="auto" w:fill="auto"/>
            <w:vAlign w:val="center"/>
          </w:tcPr>
          <w:p w14:paraId="0E25732F">
            <w:pPr>
              <w:spacing w:line="300" w:lineRule="exact"/>
              <w:jc w:val="right"/>
              <w:rPr>
                <w:rFonts w:ascii="方正书宋_GBK" w:eastAsia="方正书宋_GBK"/>
                <w:b/>
              </w:rPr>
            </w:pPr>
          </w:p>
        </w:tc>
        <w:tc>
          <w:tcPr>
            <w:tcW w:w="900" w:type="dxa"/>
            <w:shd w:val="clear" w:color="auto" w:fill="auto"/>
            <w:vAlign w:val="center"/>
          </w:tcPr>
          <w:p w14:paraId="1CC7F1BF">
            <w:pPr>
              <w:spacing w:line="300" w:lineRule="exact"/>
              <w:jc w:val="right"/>
              <w:rPr>
                <w:rFonts w:ascii="方正书宋_GBK" w:eastAsia="方正书宋_GBK"/>
                <w:b/>
              </w:rPr>
            </w:pPr>
            <w:r>
              <w:rPr>
                <w:rFonts w:ascii="方正书宋_GBK" w:eastAsia="方正书宋_GBK"/>
                <w:b/>
              </w:rPr>
              <w:t>2.71</w:t>
            </w:r>
          </w:p>
        </w:tc>
        <w:tc>
          <w:tcPr>
            <w:tcW w:w="900" w:type="dxa"/>
            <w:shd w:val="clear" w:color="auto" w:fill="auto"/>
            <w:vAlign w:val="center"/>
          </w:tcPr>
          <w:p w14:paraId="346722CB">
            <w:pPr>
              <w:spacing w:line="300" w:lineRule="exact"/>
              <w:jc w:val="right"/>
              <w:rPr>
                <w:rFonts w:ascii="方正书宋_GBK" w:eastAsia="方正书宋_GBK"/>
                <w:b/>
              </w:rPr>
            </w:pPr>
            <w:r>
              <w:rPr>
                <w:rFonts w:ascii="方正书宋_GBK" w:eastAsia="方正书宋_GBK"/>
                <w:b/>
              </w:rPr>
              <w:t>2.71</w:t>
            </w:r>
          </w:p>
        </w:tc>
        <w:tc>
          <w:tcPr>
            <w:tcW w:w="900" w:type="dxa"/>
            <w:shd w:val="clear" w:color="auto" w:fill="auto"/>
            <w:vAlign w:val="center"/>
          </w:tcPr>
          <w:p w14:paraId="26774E41">
            <w:pPr>
              <w:spacing w:line="300" w:lineRule="exact"/>
              <w:jc w:val="right"/>
              <w:rPr>
                <w:rFonts w:ascii="方正书宋_GBK" w:eastAsia="方正书宋_GBK"/>
                <w:b/>
              </w:rPr>
            </w:pPr>
            <w:r>
              <w:rPr>
                <w:rFonts w:ascii="方正书宋_GBK" w:eastAsia="方正书宋_GBK"/>
                <w:b/>
              </w:rPr>
              <w:t>2.71</w:t>
            </w:r>
          </w:p>
        </w:tc>
        <w:tc>
          <w:tcPr>
            <w:tcW w:w="900" w:type="dxa"/>
            <w:shd w:val="clear" w:color="auto" w:fill="auto"/>
            <w:vAlign w:val="center"/>
          </w:tcPr>
          <w:p w14:paraId="07A1A2C7">
            <w:pPr>
              <w:spacing w:line="300" w:lineRule="exact"/>
              <w:jc w:val="right"/>
              <w:rPr>
                <w:rFonts w:ascii="方正书宋_GBK" w:eastAsia="方正书宋_GBK"/>
                <w:b/>
              </w:rPr>
            </w:pPr>
          </w:p>
        </w:tc>
        <w:tc>
          <w:tcPr>
            <w:tcW w:w="902" w:type="dxa"/>
            <w:shd w:val="clear" w:color="auto" w:fill="auto"/>
            <w:vAlign w:val="center"/>
          </w:tcPr>
          <w:p w14:paraId="3574DDE6">
            <w:pPr>
              <w:spacing w:line="300" w:lineRule="exact"/>
              <w:jc w:val="right"/>
              <w:rPr>
                <w:rFonts w:ascii="方正书宋_GBK" w:eastAsia="方正书宋_GBK"/>
                <w:b/>
              </w:rPr>
            </w:pPr>
          </w:p>
        </w:tc>
        <w:tc>
          <w:tcPr>
            <w:tcW w:w="902" w:type="dxa"/>
            <w:shd w:val="clear" w:color="auto" w:fill="auto"/>
            <w:vAlign w:val="center"/>
          </w:tcPr>
          <w:p w14:paraId="6CAFB42E">
            <w:pPr>
              <w:spacing w:line="300" w:lineRule="exact"/>
              <w:jc w:val="right"/>
              <w:rPr>
                <w:rFonts w:ascii="方正书宋_GBK" w:eastAsia="方正书宋_GBK"/>
                <w:b/>
              </w:rPr>
            </w:pPr>
          </w:p>
        </w:tc>
        <w:tc>
          <w:tcPr>
            <w:tcW w:w="861" w:type="dxa"/>
            <w:shd w:val="clear" w:color="auto" w:fill="auto"/>
            <w:vAlign w:val="center"/>
          </w:tcPr>
          <w:p w14:paraId="0C75760E">
            <w:pPr>
              <w:spacing w:line="300" w:lineRule="exact"/>
              <w:jc w:val="right"/>
              <w:rPr>
                <w:rFonts w:ascii="方正书宋_GBK" w:eastAsia="方正书宋_GBK"/>
                <w:b/>
              </w:rPr>
            </w:pPr>
          </w:p>
        </w:tc>
      </w:tr>
      <w:tr w14:paraId="25B0A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289" w:type="dxa"/>
            <w:shd w:val="clear" w:color="auto" w:fill="auto"/>
            <w:vAlign w:val="center"/>
          </w:tcPr>
          <w:p w14:paraId="7C82477B">
            <w:pPr>
              <w:spacing w:line="300" w:lineRule="exact"/>
              <w:jc w:val="left"/>
              <w:rPr>
                <w:rFonts w:hint="eastAsia" w:ascii="方正书宋_GBK" w:eastAsia="方正书宋_GBK"/>
              </w:rPr>
            </w:pPr>
            <w:r>
              <w:rPr>
                <w:rFonts w:hint="eastAsia" w:ascii="方正书宋_GBK" w:eastAsia="方正书宋_GBK"/>
              </w:rPr>
              <w:t>光禹集团劳务派遣经费</w:t>
            </w:r>
          </w:p>
        </w:tc>
        <w:tc>
          <w:tcPr>
            <w:tcW w:w="1028" w:type="dxa"/>
            <w:shd w:val="clear" w:color="auto" w:fill="auto"/>
            <w:vAlign w:val="center"/>
          </w:tcPr>
          <w:p w14:paraId="289E498F">
            <w:pPr>
              <w:spacing w:line="300" w:lineRule="exact"/>
              <w:jc w:val="right"/>
              <w:rPr>
                <w:rFonts w:ascii="方正书宋_GBK" w:eastAsia="方正书宋_GBK"/>
              </w:rPr>
            </w:pPr>
            <w:r>
              <w:rPr>
                <w:rFonts w:ascii="方正书宋_GBK" w:eastAsia="方正书宋_GBK"/>
              </w:rPr>
              <w:t>2.71</w:t>
            </w:r>
          </w:p>
        </w:tc>
        <w:tc>
          <w:tcPr>
            <w:tcW w:w="911" w:type="dxa"/>
            <w:shd w:val="clear" w:color="auto" w:fill="auto"/>
            <w:vAlign w:val="center"/>
          </w:tcPr>
          <w:p w14:paraId="3B33F581">
            <w:pPr>
              <w:spacing w:line="300" w:lineRule="exact"/>
              <w:jc w:val="left"/>
              <w:rPr>
                <w:rFonts w:ascii="方正书宋_GBK" w:eastAsia="方正书宋_GBK"/>
              </w:rPr>
            </w:pPr>
            <w:r>
              <w:rPr>
                <w:rFonts w:hint="eastAsia" w:ascii="方正书宋_GBK" w:eastAsia="方正书宋_GBK"/>
              </w:rPr>
              <w:t>服务</w:t>
            </w:r>
          </w:p>
        </w:tc>
        <w:tc>
          <w:tcPr>
            <w:tcW w:w="921" w:type="dxa"/>
            <w:shd w:val="clear" w:color="auto" w:fill="auto"/>
            <w:vAlign w:val="center"/>
          </w:tcPr>
          <w:p w14:paraId="2FF5EA52">
            <w:pPr>
              <w:spacing w:line="300" w:lineRule="exact"/>
              <w:jc w:val="left"/>
              <w:rPr>
                <w:rFonts w:ascii="方正书宋_GBK" w:eastAsia="方正书宋_GBK"/>
              </w:rPr>
            </w:pPr>
            <w:r>
              <w:rPr>
                <w:rFonts w:ascii="方正书宋_GBK" w:eastAsia="方正书宋_GBK"/>
              </w:rPr>
              <w:t>C</w:t>
            </w:r>
          </w:p>
        </w:tc>
        <w:tc>
          <w:tcPr>
            <w:tcW w:w="712" w:type="dxa"/>
            <w:shd w:val="clear" w:color="auto" w:fill="auto"/>
            <w:vAlign w:val="center"/>
          </w:tcPr>
          <w:p w14:paraId="43892B18">
            <w:pPr>
              <w:spacing w:line="300" w:lineRule="exact"/>
              <w:jc w:val="left"/>
              <w:rPr>
                <w:rFonts w:ascii="方正书宋_GBK" w:eastAsia="方正书宋_GBK"/>
              </w:rPr>
            </w:pPr>
            <w:r>
              <w:rPr>
                <w:rFonts w:hint="eastAsia" w:ascii="方正书宋_GBK" w:eastAsia="方正书宋_GBK"/>
              </w:rPr>
              <w:t>个</w:t>
            </w:r>
          </w:p>
        </w:tc>
        <w:tc>
          <w:tcPr>
            <w:tcW w:w="712" w:type="dxa"/>
            <w:shd w:val="clear" w:color="auto" w:fill="auto"/>
            <w:vAlign w:val="center"/>
          </w:tcPr>
          <w:p w14:paraId="3469B6E7">
            <w:pPr>
              <w:spacing w:line="300" w:lineRule="exact"/>
              <w:jc w:val="right"/>
              <w:rPr>
                <w:rFonts w:ascii="方正书宋_GBK" w:eastAsia="方正书宋_GBK"/>
              </w:rPr>
            </w:pPr>
            <w:r>
              <w:rPr>
                <w:rFonts w:ascii="方正书宋_GBK" w:eastAsia="方正书宋_GBK"/>
              </w:rPr>
              <w:t>1.00</w:t>
            </w:r>
          </w:p>
        </w:tc>
        <w:tc>
          <w:tcPr>
            <w:tcW w:w="793" w:type="dxa"/>
            <w:shd w:val="clear" w:color="auto" w:fill="auto"/>
            <w:vAlign w:val="center"/>
          </w:tcPr>
          <w:p w14:paraId="495A5C99">
            <w:pPr>
              <w:spacing w:line="300" w:lineRule="exact"/>
              <w:jc w:val="right"/>
              <w:rPr>
                <w:rFonts w:ascii="方正书宋_GBK" w:eastAsia="方正书宋_GBK"/>
              </w:rPr>
            </w:pPr>
            <w:r>
              <w:rPr>
                <w:rFonts w:ascii="方正书宋_GBK" w:eastAsia="方正书宋_GBK"/>
              </w:rPr>
              <w:t>2.71</w:t>
            </w:r>
          </w:p>
        </w:tc>
        <w:tc>
          <w:tcPr>
            <w:tcW w:w="900" w:type="dxa"/>
            <w:shd w:val="clear" w:color="auto" w:fill="auto"/>
            <w:vAlign w:val="center"/>
          </w:tcPr>
          <w:p w14:paraId="3B831215">
            <w:pPr>
              <w:spacing w:line="300" w:lineRule="exact"/>
              <w:jc w:val="right"/>
              <w:rPr>
                <w:rFonts w:ascii="方正书宋_GBK" w:eastAsia="方正书宋_GBK"/>
              </w:rPr>
            </w:pPr>
            <w:r>
              <w:rPr>
                <w:rFonts w:ascii="方正书宋_GBK" w:eastAsia="方正书宋_GBK"/>
              </w:rPr>
              <w:t>2.71</w:t>
            </w:r>
          </w:p>
        </w:tc>
        <w:tc>
          <w:tcPr>
            <w:tcW w:w="900" w:type="dxa"/>
            <w:shd w:val="clear" w:color="auto" w:fill="auto"/>
            <w:vAlign w:val="center"/>
          </w:tcPr>
          <w:p w14:paraId="48F9A8E4">
            <w:pPr>
              <w:spacing w:line="300" w:lineRule="exact"/>
              <w:jc w:val="right"/>
              <w:rPr>
                <w:rFonts w:ascii="方正书宋_GBK" w:eastAsia="方正书宋_GBK"/>
              </w:rPr>
            </w:pPr>
            <w:r>
              <w:rPr>
                <w:rFonts w:ascii="方正书宋_GBK" w:eastAsia="方正书宋_GBK"/>
              </w:rPr>
              <w:t>2.71</w:t>
            </w:r>
          </w:p>
        </w:tc>
        <w:tc>
          <w:tcPr>
            <w:tcW w:w="900" w:type="dxa"/>
            <w:shd w:val="clear" w:color="auto" w:fill="auto"/>
            <w:vAlign w:val="center"/>
          </w:tcPr>
          <w:p w14:paraId="52484A6E">
            <w:pPr>
              <w:spacing w:line="300" w:lineRule="exact"/>
              <w:jc w:val="right"/>
              <w:rPr>
                <w:rFonts w:ascii="方正书宋_GBK" w:eastAsia="方正书宋_GBK"/>
              </w:rPr>
            </w:pPr>
            <w:r>
              <w:rPr>
                <w:rFonts w:ascii="方正书宋_GBK" w:eastAsia="方正书宋_GBK"/>
              </w:rPr>
              <w:t>2.71</w:t>
            </w:r>
          </w:p>
        </w:tc>
        <w:tc>
          <w:tcPr>
            <w:tcW w:w="900" w:type="dxa"/>
            <w:shd w:val="clear" w:color="auto" w:fill="auto"/>
            <w:vAlign w:val="center"/>
          </w:tcPr>
          <w:p w14:paraId="441CC93F">
            <w:pPr>
              <w:spacing w:line="300" w:lineRule="exact"/>
              <w:jc w:val="right"/>
              <w:rPr>
                <w:rFonts w:ascii="方正书宋_GBK" w:eastAsia="方正书宋_GBK"/>
              </w:rPr>
            </w:pPr>
          </w:p>
        </w:tc>
        <w:tc>
          <w:tcPr>
            <w:tcW w:w="902" w:type="dxa"/>
            <w:shd w:val="clear" w:color="auto" w:fill="auto"/>
            <w:vAlign w:val="center"/>
          </w:tcPr>
          <w:p w14:paraId="5056088E">
            <w:pPr>
              <w:spacing w:line="300" w:lineRule="exact"/>
              <w:jc w:val="right"/>
              <w:rPr>
                <w:rFonts w:ascii="方正书宋_GBK" w:eastAsia="方正书宋_GBK"/>
              </w:rPr>
            </w:pPr>
          </w:p>
        </w:tc>
        <w:tc>
          <w:tcPr>
            <w:tcW w:w="902" w:type="dxa"/>
            <w:shd w:val="clear" w:color="auto" w:fill="auto"/>
            <w:vAlign w:val="center"/>
          </w:tcPr>
          <w:p w14:paraId="0818039C">
            <w:pPr>
              <w:spacing w:line="300" w:lineRule="exact"/>
              <w:jc w:val="right"/>
              <w:rPr>
                <w:rFonts w:ascii="方正书宋_GBK" w:eastAsia="方正书宋_GBK"/>
              </w:rPr>
            </w:pPr>
          </w:p>
        </w:tc>
        <w:tc>
          <w:tcPr>
            <w:tcW w:w="861" w:type="dxa"/>
            <w:shd w:val="clear" w:color="auto" w:fill="auto"/>
            <w:vAlign w:val="center"/>
          </w:tcPr>
          <w:p w14:paraId="57CE2489">
            <w:pPr>
              <w:spacing w:line="300" w:lineRule="exact"/>
              <w:jc w:val="right"/>
              <w:rPr>
                <w:rFonts w:ascii="方正书宋_GBK" w:eastAsia="方正书宋_GBK"/>
              </w:rPr>
            </w:pPr>
          </w:p>
        </w:tc>
      </w:tr>
    </w:tbl>
    <w:p w14:paraId="626CF2A3">
      <w:pPr>
        <w:ind w:left="210" w:leftChars="100" w:right="210" w:rightChars="100"/>
        <w:outlineLvl w:val="0"/>
        <w:rPr>
          <w:rFonts w:ascii="仿宋" w:hAnsi="仿宋" w:eastAsia="仿宋" w:cs="仿宋"/>
          <w:spacing w:val="1"/>
          <w:sz w:val="32"/>
          <w:szCs w:val="32"/>
        </w:rPr>
        <w:sectPr>
          <w:pgSz w:w="16839" w:h="11907" w:orient="landscape"/>
          <w:pgMar w:top="1134" w:right="1531" w:bottom="1134" w:left="1474" w:header="851" w:footer="992" w:gutter="0"/>
          <w:cols w:space="425" w:num="1"/>
          <w:docGrid w:linePitch="312" w:charSpace="0"/>
        </w:sectPr>
      </w:pPr>
    </w:p>
    <w:p w14:paraId="43F8C364">
      <w:pPr>
        <w:ind w:right="210" w:rightChars="100"/>
        <w:jc w:val="center"/>
        <w:rPr>
          <w:rFonts w:ascii="黑体" w:hAnsi="黑体" w:eastAsia="黑体" w:cs="Times New Roman"/>
          <w:sz w:val="32"/>
          <w:szCs w:val="32"/>
        </w:rPr>
      </w:pPr>
      <w:r>
        <w:rPr>
          <w:rFonts w:hint="eastAsia" w:ascii="黑体" w:hAnsi="黑体" w:eastAsia="黑体" w:cs="黑体"/>
          <w:sz w:val="32"/>
          <w:szCs w:val="32"/>
        </w:rPr>
        <w:t>第四部分：国有资产信息情况说明</w:t>
      </w:r>
    </w:p>
    <w:p w14:paraId="1764C350">
      <w:pPr>
        <w:spacing w:line="560" w:lineRule="exact"/>
        <w:ind w:left="210" w:leftChars="100" w:right="210" w:rightChars="100" w:firstLine="570"/>
        <w:rPr>
          <w:rFonts w:ascii="仿宋" w:hAnsi="仿宋" w:eastAsia="仿宋" w:cs="Times New Roman"/>
          <w:sz w:val="32"/>
          <w:szCs w:val="32"/>
        </w:rPr>
      </w:pPr>
      <w:r>
        <w:rPr>
          <w:rFonts w:hint="eastAsia" w:ascii="仿宋" w:hAnsi="仿宋" w:eastAsia="仿宋" w:cs="仿宋"/>
          <w:sz w:val="32"/>
          <w:szCs w:val="32"/>
        </w:rPr>
        <w:t>截止到</w:t>
      </w:r>
      <w:r>
        <w:rPr>
          <w:rFonts w:ascii="仿宋" w:hAnsi="仿宋" w:eastAsia="仿宋" w:cs="仿宋"/>
          <w:sz w:val="32"/>
          <w:szCs w:val="32"/>
        </w:rPr>
        <w:t>201</w:t>
      </w:r>
      <w:r>
        <w:rPr>
          <w:rFonts w:hint="eastAsia" w:ascii="仿宋" w:hAnsi="仿宋" w:eastAsia="仿宋" w:cs="仿宋"/>
          <w:sz w:val="32"/>
          <w:szCs w:val="32"/>
        </w:rPr>
        <w:t>7年末，曲阳县直机关工委无国有资产。</w:t>
      </w:r>
      <w:r>
        <w:rPr>
          <w:rFonts w:ascii="仿宋" w:hAnsi="仿宋" w:eastAsia="仿宋" w:cs="仿宋"/>
          <w:sz w:val="32"/>
          <w:szCs w:val="32"/>
        </w:rPr>
        <w:t>201</w:t>
      </w:r>
      <w:r>
        <w:rPr>
          <w:rFonts w:hint="eastAsia" w:ascii="仿宋" w:hAnsi="仿宋" w:eastAsia="仿宋" w:cs="仿宋"/>
          <w:sz w:val="32"/>
          <w:szCs w:val="32"/>
          <w:lang w:val="en-US" w:eastAsia="zh-CN"/>
        </w:rPr>
        <w:t>8</w:t>
      </w:r>
      <w:r>
        <w:rPr>
          <w:rFonts w:hint="eastAsia" w:ascii="仿宋" w:hAnsi="仿宋" w:eastAsia="仿宋" w:cs="仿宋"/>
          <w:sz w:val="32"/>
          <w:szCs w:val="32"/>
        </w:rPr>
        <w:t>年无国有资产购置计划。</w:t>
      </w:r>
    </w:p>
    <w:tbl>
      <w:tblPr>
        <w:tblStyle w:val="5"/>
        <w:tblpPr w:leftFromText="180" w:rightFromText="180" w:vertAnchor="text" w:horzAnchor="page" w:tblpXSpec="center" w:tblpY="694"/>
        <w:tblOverlap w:val="never"/>
        <w:tblW w:w="8804" w:type="dxa"/>
        <w:tblInd w:w="0" w:type="dxa"/>
        <w:tblLayout w:type="fixed"/>
        <w:tblCellMar>
          <w:top w:w="0" w:type="dxa"/>
          <w:left w:w="108" w:type="dxa"/>
          <w:bottom w:w="0" w:type="dxa"/>
          <w:right w:w="108" w:type="dxa"/>
        </w:tblCellMar>
      </w:tblPr>
      <w:tblGrid>
        <w:gridCol w:w="3811"/>
        <w:gridCol w:w="1591"/>
        <w:gridCol w:w="3402"/>
      </w:tblGrid>
      <w:tr w14:paraId="3DE9D8F1">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14:paraId="63B0BCF5">
            <w:pPr>
              <w:widowControl/>
              <w:jc w:val="center"/>
              <w:rPr>
                <w:rFonts w:ascii="宋体" w:hAnsi="宋体" w:cs="宋体"/>
                <w:b/>
                <w:color w:val="000000"/>
                <w:kern w:val="0"/>
                <w:sz w:val="28"/>
                <w:szCs w:val="28"/>
              </w:rPr>
            </w:pPr>
            <w:r>
              <w:rPr>
                <w:rFonts w:hint="eastAsia" w:ascii="宋体" w:hAnsi="宋体" w:cs="宋体"/>
                <w:b/>
                <w:bCs/>
                <w:color w:val="000000"/>
                <w:kern w:val="0"/>
                <w:sz w:val="28"/>
                <w:szCs w:val="28"/>
              </w:rPr>
              <w:t>截止时间：2017年12月31日</w:t>
            </w:r>
          </w:p>
        </w:tc>
      </w:tr>
      <w:tr w14:paraId="1CB2F037">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14:paraId="7DC753C7">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项　　目</w:t>
            </w:r>
          </w:p>
        </w:tc>
        <w:tc>
          <w:tcPr>
            <w:tcW w:w="1591" w:type="dxa"/>
            <w:tcBorders>
              <w:top w:val="nil"/>
              <w:left w:val="nil"/>
              <w:bottom w:val="single" w:color="auto" w:sz="4" w:space="0"/>
              <w:right w:val="single" w:color="auto" w:sz="4" w:space="0"/>
            </w:tcBorders>
            <w:vAlign w:val="center"/>
          </w:tcPr>
          <w:p w14:paraId="74765D43">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数量</w:t>
            </w:r>
          </w:p>
        </w:tc>
        <w:tc>
          <w:tcPr>
            <w:tcW w:w="3402" w:type="dxa"/>
            <w:tcBorders>
              <w:top w:val="nil"/>
              <w:left w:val="nil"/>
              <w:bottom w:val="single" w:color="auto" w:sz="4" w:space="0"/>
              <w:right w:val="single" w:color="auto" w:sz="4" w:space="0"/>
            </w:tcBorders>
            <w:vAlign w:val="center"/>
          </w:tcPr>
          <w:p w14:paraId="272E5C1E">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价值（单位：万元）</w:t>
            </w:r>
          </w:p>
        </w:tc>
      </w:tr>
      <w:tr w14:paraId="1C0E29CB">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289C37C0">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固定资产总额</w:t>
            </w:r>
          </w:p>
        </w:tc>
        <w:tc>
          <w:tcPr>
            <w:tcW w:w="1591" w:type="dxa"/>
            <w:tcBorders>
              <w:top w:val="nil"/>
              <w:left w:val="nil"/>
              <w:bottom w:val="single" w:color="auto" w:sz="4" w:space="0"/>
              <w:right w:val="single" w:color="auto" w:sz="4" w:space="0"/>
            </w:tcBorders>
            <w:vAlign w:val="center"/>
          </w:tcPr>
          <w:p w14:paraId="17AF5BCC">
            <w:pPr>
              <w:widowControl/>
              <w:jc w:val="center"/>
              <w:rPr>
                <w:rFonts w:ascii="宋体" w:hAnsi="宋体" w:cs="宋体"/>
                <w:color w:val="000000"/>
                <w:kern w:val="0"/>
                <w:sz w:val="24"/>
                <w:szCs w:val="24"/>
              </w:rPr>
            </w:pPr>
            <w:r>
              <w:rPr>
                <w:rFonts w:hint="eastAsia" w:ascii="宋体" w:hAnsi="宋体" w:cs="宋体"/>
                <w:color w:val="000000"/>
                <w:kern w:val="0"/>
                <w:sz w:val="24"/>
                <w:szCs w:val="24"/>
              </w:rPr>
              <w:t>—</w:t>
            </w:r>
          </w:p>
        </w:tc>
        <w:tc>
          <w:tcPr>
            <w:tcW w:w="3402" w:type="dxa"/>
            <w:tcBorders>
              <w:top w:val="nil"/>
              <w:left w:val="nil"/>
              <w:bottom w:val="single" w:color="auto" w:sz="4" w:space="0"/>
              <w:right w:val="single" w:color="auto" w:sz="4" w:space="0"/>
            </w:tcBorders>
            <w:vAlign w:val="center"/>
          </w:tcPr>
          <w:p w14:paraId="73498748">
            <w:pPr>
              <w:widowControl/>
              <w:jc w:val="center"/>
              <w:rPr>
                <w:rFonts w:hint="eastAsia" w:ascii="宋体" w:hAnsi="宋体" w:cs="宋体"/>
                <w:b/>
                <w:color w:val="000000"/>
                <w:kern w:val="0"/>
                <w:sz w:val="24"/>
                <w:szCs w:val="24"/>
              </w:rPr>
            </w:pPr>
            <w:r>
              <w:rPr>
                <w:rFonts w:hint="eastAsia" w:ascii="宋体" w:hAnsi="宋体" w:cs="宋体"/>
                <w:b/>
                <w:color w:val="000000"/>
                <w:kern w:val="0"/>
                <w:sz w:val="24"/>
                <w:szCs w:val="24"/>
              </w:rPr>
              <w:t>0</w:t>
            </w:r>
          </w:p>
        </w:tc>
      </w:tr>
      <w:tr w14:paraId="403D45E0">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281123C7">
            <w:pPr>
              <w:widowControl/>
              <w:jc w:val="left"/>
              <w:rPr>
                <w:rFonts w:ascii="宋体" w:hAnsi="宋体" w:cs="宋体"/>
                <w:color w:val="000000"/>
                <w:kern w:val="0"/>
                <w:sz w:val="24"/>
                <w:szCs w:val="24"/>
              </w:rPr>
            </w:pPr>
            <w:r>
              <w:rPr>
                <w:rFonts w:hint="eastAsia" w:ascii="宋体" w:hAnsi="宋体" w:cs="宋体"/>
                <w:color w:val="000000"/>
                <w:kern w:val="0"/>
                <w:sz w:val="24"/>
                <w:szCs w:val="24"/>
              </w:rPr>
              <w:t xml:space="preserve">  1、房屋（平方米）</w:t>
            </w:r>
          </w:p>
        </w:tc>
        <w:tc>
          <w:tcPr>
            <w:tcW w:w="1591" w:type="dxa"/>
            <w:tcBorders>
              <w:top w:val="nil"/>
              <w:left w:val="nil"/>
              <w:bottom w:val="single" w:color="auto" w:sz="4" w:space="0"/>
              <w:right w:val="single" w:color="auto" w:sz="4" w:space="0"/>
            </w:tcBorders>
            <w:vAlign w:val="center"/>
          </w:tcPr>
          <w:p w14:paraId="021B97E1">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0</w:t>
            </w:r>
          </w:p>
        </w:tc>
        <w:tc>
          <w:tcPr>
            <w:tcW w:w="3402" w:type="dxa"/>
            <w:tcBorders>
              <w:top w:val="nil"/>
              <w:left w:val="nil"/>
              <w:bottom w:val="single" w:color="auto" w:sz="4" w:space="0"/>
              <w:right w:val="single" w:color="auto" w:sz="4" w:space="0"/>
            </w:tcBorders>
            <w:vAlign w:val="center"/>
          </w:tcPr>
          <w:p w14:paraId="07A2807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0</w:t>
            </w:r>
          </w:p>
        </w:tc>
      </w:tr>
      <w:tr w14:paraId="0B1A559F">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675DEDA4">
            <w:pPr>
              <w:widowControl/>
              <w:jc w:val="left"/>
              <w:rPr>
                <w:rFonts w:ascii="宋体" w:hAnsi="宋体" w:cs="宋体"/>
                <w:color w:val="000000"/>
                <w:kern w:val="0"/>
                <w:sz w:val="24"/>
                <w:szCs w:val="24"/>
              </w:rPr>
            </w:pPr>
            <w:r>
              <w:rPr>
                <w:rFonts w:hint="eastAsia" w:ascii="宋体" w:hAnsi="宋体" w:cs="宋体"/>
                <w:color w:val="000000"/>
                <w:kern w:val="0"/>
                <w:sz w:val="24"/>
                <w:szCs w:val="24"/>
              </w:rPr>
              <w:t xml:space="preserve">  2、车辆（台、辆）</w:t>
            </w:r>
          </w:p>
        </w:tc>
        <w:tc>
          <w:tcPr>
            <w:tcW w:w="1591" w:type="dxa"/>
            <w:tcBorders>
              <w:top w:val="nil"/>
              <w:left w:val="nil"/>
              <w:bottom w:val="single" w:color="auto" w:sz="4" w:space="0"/>
              <w:right w:val="single" w:color="auto" w:sz="4" w:space="0"/>
            </w:tcBorders>
            <w:vAlign w:val="center"/>
          </w:tcPr>
          <w:p w14:paraId="49B7AE04">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0</w:t>
            </w:r>
          </w:p>
        </w:tc>
        <w:tc>
          <w:tcPr>
            <w:tcW w:w="3402" w:type="dxa"/>
            <w:tcBorders>
              <w:top w:val="nil"/>
              <w:left w:val="nil"/>
              <w:bottom w:val="single" w:color="auto" w:sz="4" w:space="0"/>
              <w:right w:val="single" w:color="auto" w:sz="4" w:space="0"/>
            </w:tcBorders>
            <w:vAlign w:val="center"/>
          </w:tcPr>
          <w:p w14:paraId="66F96FC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0</w:t>
            </w:r>
          </w:p>
        </w:tc>
      </w:tr>
      <w:tr w14:paraId="105C1579">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4CB95F8B">
            <w:pPr>
              <w:widowControl/>
              <w:jc w:val="left"/>
              <w:rPr>
                <w:rFonts w:ascii="宋体" w:hAnsi="宋体" w:cs="宋体"/>
                <w:color w:val="000000"/>
                <w:kern w:val="0"/>
                <w:sz w:val="24"/>
                <w:szCs w:val="24"/>
              </w:rPr>
            </w:pPr>
            <w:r>
              <w:rPr>
                <w:rFonts w:hint="eastAsia" w:ascii="宋体" w:hAnsi="宋体" w:cs="宋体"/>
                <w:color w:val="000000"/>
                <w:kern w:val="0"/>
                <w:sz w:val="24"/>
                <w:szCs w:val="24"/>
              </w:rPr>
              <w:t xml:space="preserve">  3、其他固定资产</w:t>
            </w:r>
          </w:p>
        </w:tc>
        <w:tc>
          <w:tcPr>
            <w:tcW w:w="1591" w:type="dxa"/>
            <w:tcBorders>
              <w:top w:val="nil"/>
              <w:left w:val="nil"/>
              <w:bottom w:val="single" w:color="auto" w:sz="4" w:space="0"/>
              <w:right w:val="single" w:color="auto" w:sz="4" w:space="0"/>
            </w:tcBorders>
            <w:vAlign w:val="center"/>
          </w:tcPr>
          <w:p w14:paraId="296AB6DB">
            <w:pPr>
              <w:widowControl/>
              <w:jc w:val="center"/>
              <w:rPr>
                <w:rFonts w:ascii="宋体" w:hAnsi="宋体" w:cs="宋体"/>
                <w:color w:val="000000"/>
                <w:kern w:val="0"/>
                <w:sz w:val="24"/>
                <w:szCs w:val="24"/>
              </w:rPr>
            </w:pPr>
            <w:r>
              <w:rPr>
                <w:rFonts w:hint="eastAsia" w:ascii="宋体" w:hAnsi="宋体" w:cs="宋体"/>
                <w:color w:val="000000"/>
                <w:kern w:val="0"/>
                <w:sz w:val="24"/>
                <w:szCs w:val="24"/>
              </w:rPr>
              <w:t>—</w:t>
            </w:r>
          </w:p>
        </w:tc>
        <w:tc>
          <w:tcPr>
            <w:tcW w:w="3402" w:type="dxa"/>
            <w:tcBorders>
              <w:top w:val="nil"/>
              <w:left w:val="nil"/>
              <w:bottom w:val="single" w:color="auto" w:sz="4" w:space="0"/>
              <w:right w:val="single" w:color="auto" w:sz="4" w:space="0"/>
            </w:tcBorders>
            <w:vAlign w:val="center"/>
          </w:tcPr>
          <w:p w14:paraId="034413D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0</w:t>
            </w:r>
          </w:p>
        </w:tc>
      </w:tr>
    </w:tbl>
    <w:p w14:paraId="1060C83B">
      <w:pPr>
        <w:spacing w:line="520" w:lineRule="exact"/>
        <w:ind w:right="210" w:rightChars="100"/>
        <w:jc w:val="center"/>
        <w:rPr>
          <w:rFonts w:hint="eastAsia" w:ascii="仿宋" w:hAnsi="仿宋" w:eastAsia="仿宋" w:cs="黑体"/>
          <w:sz w:val="32"/>
          <w:szCs w:val="32"/>
        </w:rPr>
      </w:pPr>
      <w:r>
        <w:rPr>
          <w:rFonts w:hint="eastAsia" w:ascii="仿宋" w:hAnsi="仿宋" w:eastAsia="仿宋" w:cs="黑体"/>
          <w:sz w:val="32"/>
          <w:szCs w:val="32"/>
        </w:rPr>
        <w:t>中国共产党曲阳县直属机关工作委员会</w:t>
      </w:r>
      <w:r>
        <w:rPr>
          <w:rFonts w:hint="eastAsia" w:ascii="仿宋" w:hAnsi="仿宋" w:eastAsia="仿宋"/>
          <w:sz w:val="32"/>
          <w:szCs w:val="32"/>
        </w:rPr>
        <w:t>固定资产占用情况表</w:t>
      </w:r>
    </w:p>
    <w:p w14:paraId="7A96C4C2">
      <w:pPr>
        <w:spacing w:line="520" w:lineRule="exact"/>
        <w:ind w:right="210" w:rightChars="100"/>
        <w:jc w:val="center"/>
        <w:rPr>
          <w:rFonts w:hint="eastAsia" w:ascii="黑体" w:hAnsi="黑体" w:eastAsia="黑体" w:cs="黑体"/>
          <w:sz w:val="32"/>
          <w:szCs w:val="32"/>
        </w:rPr>
      </w:pPr>
    </w:p>
    <w:p w14:paraId="796CAFB3">
      <w:pPr>
        <w:spacing w:line="520" w:lineRule="exact"/>
        <w:ind w:right="210" w:rightChars="100"/>
        <w:jc w:val="center"/>
        <w:rPr>
          <w:rFonts w:ascii="黑体" w:hAnsi="黑体" w:eastAsia="黑体" w:cs="Times New Roman"/>
          <w:sz w:val="32"/>
          <w:szCs w:val="32"/>
        </w:rPr>
      </w:pPr>
      <w:r>
        <w:rPr>
          <w:rFonts w:hint="eastAsia" w:ascii="黑体" w:hAnsi="黑体" w:eastAsia="黑体" w:cs="黑体"/>
          <w:sz w:val="32"/>
          <w:szCs w:val="32"/>
        </w:rPr>
        <w:t>第五部分：有关事项说明</w:t>
      </w:r>
    </w:p>
    <w:p w14:paraId="464CE25C">
      <w:pPr>
        <w:spacing w:line="520" w:lineRule="exact"/>
        <w:ind w:left="210" w:leftChars="100" w:right="210" w:rightChars="100"/>
        <w:jc w:val="left"/>
        <w:rPr>
          <w:rFonts w:ascii="仿宋" w:hAnsi="仿宋" w:eastAsia="仿宋" w:cs="Times New Roman"/>
          <w:sz w:val="32"/>
          <w:szCs w:val="32"/>
        </w:rPr>
      </w:pPr>
      <w:r>
        <w:rPr>
          <w:rFonts w:ascii="仿宋" w:hAnsi="仿宋" w:eastAsia="仿宋" w:cs="仿宋"/>
          <w:sz w:val="32"/>
          <w:szCs w:val="32"/>
        </w:rPr>
        <w:t xml:space="preserve">    </w:t>
      </w:r>
      <w:r>
        <w:rPr>
          <w:rFonts w:hint="eastAsia" w:ascii="仿宋" w:hAnsi="仿宋" w:eastAsia="仿宋" w:cs="仿宋"/>
          <w:sz w:val="32"/>
          <w:szCs w:val="32"/>
        </w:rPr>
        <w:t>多年来，在县委、县政府的正确领导下，在县财政部门大力支持和指导下，曲阳县直机关工委认真履行职责，圆满完成了入党积极分子培训，庆“七一”建设等任务。</w:t>
      </w:r>
      <w:r>
        <w:rPr>
          <w:rFonts w:ascii="仿宋" w:hAnsi="仿宋" w:eastAsia="仿宋" w:cs="仿宋"/>
          <w:sz w:val="32"/>
          <w:szCs w:val="32"/>
        </w:rPr>
        <w:t>201</w:t>
      </w:r>
      <w:r>
        <w:rPr>
          <w:rFonts w:hint="eastAsia" w:ascii="仿宋" w:hAnsi="仿宋" w:eastAsia="仿宋" w:cs="仿宋"/>
          <w:sz w:val="32"/>
          <w:szCs w:val="32"/>
        </w:rPr>
        <w:t>7年</w:t>
      </w:r>
      <w:r>
        <w:rPr>
          <w:rFonts w:ascii="仿宋" w:hAnsi="仿宋" w:eastAsia="仿宋" w:cs="仿宋"/>
          <w:sz w:val="32"/>
          <w:szCs w:val="32"/>
        </w:rPr>
        <w:t>11</w:t>
      </w:r>
      <w:r>
        <w:rPr>
          <w:rFonts w:hint="eastAsia" w:ascii="仿宋" w:hAnsi="仿宋" w:eastAsia="仿宋" w:cs="仿宋"/>
          <w:sz w:val="32"/>
          <w:szCs w:val="32"/>
        </w:rPr>
        <w:t>月在曲阳县直机关工委财务人员的共同努力下，较好地完成了我单位</w:t>
      </w:r>
      <w:r>
        <w:rPr>
          <w:rFonts w:ascii="仿宋" w:hAnsi="仿宋" w:eastAsia="仿宋" w:cs="仿宋"/>
          <w:sz w:val="32"/>
          <w:szCs w:val="32"/>
        </w:rPr>
        <w:t>201</w:t>
      </w:r>
      <w:r>
        <w:rPr>
          <w:rFonts w:hint="eastAsia" w:ascii="仿宋" w:hAnsi="仿宋" w:eastAsia="仿宋" w:cs="仿宋"/>
          <w:sz w:val="32"/>
          <w:szCs w:val="32"/>
        </w:rPr>
        <w:t>8年度部门预算的编制工作，现就</w:t>
      </w:r>
      <w:r>
        <w:rPr>
          <w:rFonts w:ascii="仿宋" w:hAnsi="仿宋" w:eastAsia="仿宋" w:cs="仿宋"/>
          <w:sz w:val="32"/>
          <w:szCs w:val="32"/>
        </w:rPr>
        <w:t>201</w:t>
      </w:r>
      <w:r>
        <w:rPr>
          <w:rFonts w:hint="eastAsia" w:ascii="仿宋" w:hAnsi="仿宋" w:eastAsia="仿宋" w:cs="仿宋"/>
          <w:sz w:val="32"/>
          <w:szCs w:val="32"/>
        </w:rPr>
        <w:t>8年部门预算情况作简要说明。</w:t>
      </w:r>
    </w:p>
    <w:p w14:paraId="2957DC80">
      <w:pPr>
        <w:spacing w:line="520" w:lineRule="exact"/>
        <w:ind w:left="210" w:leftChars="100" w:right="210" w:rightChars="100"/>
        <w:rPr>
          <w:rFonts w:ascii="黑体" w:hAnsi="黑体" w:eastAsia="黑体" w:cs="Times New Roman"/>
          <w:sz w:val="32"/>
          <w:szCs w:val="32"/>
        </w:rPr>
      </w:pPr>
      <w:r>
        <w:rPr>
          <w:rFonts w:ascii="黑体" w:hAnsi="黑体" w:eastAsia="黑体" w:cs="黑体"/>
          <w:sz w:val="32"/>
          <w:szCs w:val="32"/>
        </w:rPr>
        <w:t xml:space="preserve">    </w:t>
      </w:r>
      <w:r>
        <w:rPr>
          <w:rFonts w:hint="eastAsia" w:ascii="黑体" w:hAnsi="黑体" w:eastAsia="黑体" w:cs="黑体"/>
          <w:sz w:val="32"/>
          <w:szCs w:val="32"/>
        </w:rPr>
        <w:t>一、部门预算安排的总体情况</w:t>
      </w:r>
    </w:p>
    <w:p w14:paraId="3187DB2B">
      <w:pPr>
        <w:spacing w:line="520" w:lineRule="exact"/>
        <w:ind w:left="210" w:leftChars="100" w:right="210" w:rightChars="100" w:firstLine="640" w:firstLineChars="200"/>
        <w:rPr>
          <w:rFonts w:ascii="黑体" w:hAnsi="黑体" w:eastAsia="黑体" w:cs="Times New Roman"/>
          <w:sz w:val="32"/>
          <w:szCs w:val="32"/>
        </w:rPr>
      </w:pPr>
      <w:r>
        <w:rPr>
          <w:rFonts w:ascii="黑体" w:hAnsi="黑体" w:eastAsia="黑体" w:cs="黑体"/>
          <w:sz w:val="32"/>
          <w:szCs w:val="32"/>
        </w:rPr>
        <w:t>1</w:t>
      </w:r>
      <w:r>
        <w:rPr>
          <w:rFonts w:hint="eastAsia" w:ascii="黑体" w:hAnsi="黑体" w:eastAsia="黑体" w:cs="黑体"/>
          <w:sz w:val="32"/>
          <w:szCs w:val="32"/>
        </w:rPr>
        <w:t>、</w:t>
      </w:r>
      <w:r>
        <w:rPr>
          <w:rFonts w:ascii="黑体" w:hAnsi="黑体" w:eastAsia="黑体" w:cs="黑体"/>
          <w:sz w:val="32"/>
          <w:szCs w:val="32"/>
        </w:rPr>
        <w:t>201</w:t>
      </w:r>
      <w:r>
        <w:rPr>
          <w:rFonts w:hint="eastAsia" w:ascii="黑体" w:hAnsi="黑体" w:eastAsia="黑体" w:cs="黑体"/>
          <w:sz w:val="32"/>
          <w:szCs w:val="32"/>
        </w:rPr>
        <w:t>8年部门预算收入情况</w:t>
      </w:r>
    </w:p>
    <w:p w14:paraId="0C209F11">
      <w:pPr>
        <w:spacing w:line="520" w:lineRule="exact"/>
        <w:ind w:left="210" w:leftChars="100" w:right="210" w:rightChars="100" w:firstLine="640" w:firstLineChars="200"/>
        <w:rPr>
          <w:rFonts w:ascii="仿宋" w:hAnsi="仿宋" w:eastAsia="仿宋" w:cs="Times New Roman"/>
          <w:sz w:val="32"/>
          <w:szCs w:val="32"/>
        </w:rPr>
      </w:pPr>
      <w:r>
        <w:rPr>
          <w:rFonts w:ascii="仿宋" w:hAnsi="仿宋" w:eastAsia="仿宋" w:cs="仿宋"/>
          <w:sz w:val="32"/>
          <w:szCs w:val="32"/>
        </w:rPr>
        <w:t>201</w:t>
      </w:r>
      <w:r>
        <w:rPr>
          <w:rFonts w:hint="eastAsia" w:ascii="仿宋" w:hAnsi="仿宋" w:eastAsia="仿宋" w:cs="仿宋"/>
          <w:sz w:val="32"/>
          <w:szCs w:val="32"/>
        </w:rPr>
        <w:t>8年曲阳县直机关工委年初部门收入预算总额为64.04万元,其中：一般公共预算收入64.04万元。</w:t>
      </w:r>
    </w:p>
    <w:p w14:paraId="3D3229D8">
      <w:pPr>
        <w:spacing w:line="520" w:lineRule="exact"/>
        <w:ind w:left="210" w:leftChars="100" w:right="210" w:rightChars="100" w:firstLine="640" w:firstLineChars="200"/>
        <w:rPr>
          <w:rFonts w:ascii="仿宋" w:hAnsi="仿宋" w:eastAsia="仿宋" w:cs="Times New Roman"/>
          <w:sz w:val="32"/>
          <w:szCs w:val="32"/>
        </w:rPr>
      </w:pPr>
      <w:r>
        <w:rPr>
          <w:rFonts w:ascii="黑体" w:hAnsi="黑体" w:eastAsia="黑体" w:cs="黑体"/>
          <w:sz w:val="32"/>
          <w:szCs w:val="32"/>
        </w:rPr>
        <w:t>2</w:t>
      </w:r>
      <w:r>
        <w:rPr>
          <w:rFonts w:hint="eastAsia" w:ascii="黑体" w:hAnsi="黑体" w:eastAsia="黑体" w:cs="黑体"/>
          <w:sz w:val="32"/>
          <w:szCs w:val="32"/>
        </w:rPr>
        <w:t>、</w:t>
      </w:r>
      <w:r>
        <w:rPr>
          <w:rFonts w:ascii="黑体" w:hAnsi="黑体" w:eastAsia="黑体" w:cs="黑体"/>
          <w:sz w:val="32"/>
          <w:szCs w:val="32"/>
        </w:rPr>
        <w:t>201</w:t>
      </w:r>
      <w:r>
        <w:rPr>
          <w:rFonts w:hint="eastAsia" w:ascii="黑体" w:hAnsi="黑体" w:eastAsia="黑体" w:cs="黑体"/>
          <w:sz w:val="32"/>
          <w:szCs w:val="32"/>
        </w:rPr>
        <w:t>8年部门预算支出情况</w:t>
      </w:r>
    </w:p>
    <w:p w14:paraId="15EB468A">
      <w:pPr>
        <w:spacing w:line="520" w:lineRule="exact"/>
        <w:ind w:left="210" w:leftChars="100" w:right="210" w:rightChars="100" w:firstLine="640" w:firstLineChars="200"/>
        <w:rPr>
          <w:rFonts w:ascii="仿宋" w:hAnsi="仿宋" w:eastAsia="仿宋" w:cs="Times New Roman"/>
          <w:sz w:val="32"/>
          <w:szCs w:val="32"/>
        </w:rPr>
      </w:pPr>
      <w:r>
        <w:rPr>
          <w:rFonts w:ascii="仿宋" w:hAnsi="仿宋" w:eastAsia="仿宋" w:cs="仿宋"/>
          <w:sz w:val="32"/>
          <w:szCs w:val="32"/>
        </w:rPr>
        <w:t>201</w:t>
      </w:r>
      <w:r>
        <w:rPr>
          <w:rFonts w:hint="eastAsia" w:ascii="仿宋" w:hAnsi="仿宋" w:eastAsia="仿宋" w:cs="仿宋"/>
          <w:sz w:val="32"/>
          <w:szCs w:val="32"/>
        </w:rPr>
        <w:t>8年部门支出安排预算总额64.04万元。</w:t>
      </w:r>
    </w:p>
    <w:p w14:paraId="7DFE2EFA">
      <w:pPr>
        <w:spacing w:line="520" w:lineRule="exact"/>
        <w:ind w:left="210" w:leftChars="100" w:right="210" w:rightChars="100" w:firstLine="640" w:firstLineChars="200"/>
        <w:rPr>
          <w:rFonts w:ascii="仿宋" w:hAnsi="仿宋" w:eastAsia="仿宋" w:cs="Times New Roman"/>
          <w:sz w:val="32"/>
          <w:szCs w:val="32"/>
        </w:rPr>
      </w:pPr>
      <w:r>
        <w:rPr>
          <w:rFonts w:hint="eastAsia" w:ascii="仿宋" w:hAnsi="仿宋" w:eastAsia="仿宋" w:cs="仿宋"/>
          <w:sz w:val="32"/>
          <w:szCs w:val="32"/>
        </w:rPr>
        <w:t>基本支出</w:t>
      </w:r>
      <w:r>
        <w:rPr>
          <w:rFonts w:ascii="仿宋" w:hAnsi="仿宋" w:eastAsia="仿宋" w:cs="仿宋"/>
          <w:sz w:val="32"/>
          <w:szCs w:val="32"/>
        </w:rPr>
        <w:t xml:space="preserve"> </w:t>
      </w:r>
      <w:r>
        <w:rPr>
          <w:rFonts w:hint="eastAsia" w:ascii="仿宋" w:hAnsi="仿宋" w:eastAsia="仿宋" w:cs="仿宋"/>
          <w:sz w:val="32"/>
          <w:szCs w:val="32"/>
        </w:rPr>
        <w:t>56.33万元</w:t>
      </w:r>
    </w:p>
    <w:p w14:paraId="58E8246C">
      <w:pPr>
        <w:spacing w:line="520" w:lineRule="exact"/>
        <w:ind w:left="210" w:leftChars="100" w:right="210" w:rightChars="100" w:firstLine="640" w:firstLineChars="200"/>
        <w:rPr>
          <w:rFonts w:ascii="仿宋" w:hAnsi="仿宋" w:eastAsia="仿宋" w:cs="Times New Roman"/>
          <w:sz w:val="32"/>
          <w:szCs w:val="32"/>
        </w:rPr>
      </w:pPr>
      <w:r>
        <w:rPr>
          <w:rFonts w:ascii="仿宋" w:hAnsi="仿宋" w:eastAsia="仿宋" w:cs="仿宋"/>
          <w:sz w:val="32"/>
          <w:szCs w:val="32"/>
        </w:rPr>
        <w:t xml:space="preserve">   </w:t>
      </w:r>
      <w:r>
        <w:rPr>
          <w:rFonts w:hint="eastAsia" w:ascii="仿宋" w:hAnsi="仿宋" w:eastAsia="仿宋" w:cs="仿宋"/>
          <w:sz w:val="32"/>
          <w:szCs w:val="32"/>
        </w:rPr>
        <w:t>其中：人员经费</w:t>
      </w:r>
      <w:r>
        <w:rPr>
          <w:rFonts w:ascii="仿宋" w:hAnsi="仿宋" w:eastAsia="仿宋" w:cs="仿宋"/>
          <w:sz w:val="32"/>
          <w:szCs w:val="32"/>
        </w:rPr>
        <w:t xml:space="preserve"> </w:t>
      </w:r>
      <w:r>
        <w:rPr>
          <w:rFonts w:hint="eastAsia" w:ascii="仿宋" w:hAnsi="仿宋" w:eastAsia="仿宋" w:cs="仿宋"/>
          <w:sz w:val="32"/>
          <w:szCs w:val="32"/>
        </w:rPr>
        <w:t>50.13万元</w:t>
      </w:r>
    </w:p>
    <w:p w14:paraId="51A527CF">
      <w:pPr>
        <w:spacing w:line="520" w:lineRule="exact"/>
        <w:ind w:left="210" w:leftChars="100" w:right="210" w:rightChars="100" w:firstLine="640" w:firstLineChars="200"/>
        <w:rPr>
          <w:rFonts w:ascii="仿宋" w:hAnsi="仿宋" w:eastAsia="仿宋" w:cs="Times New Roman"/>
          <w:sz w:val="32"/>
          <w:szCs w:val="32"/>
        </w:rPr>
      </w:pPr>
      <w:r>
        <w:rPr>
          <w:rFonts w:ascii="仿宋" w:hAnsi="仿宋" w:eastAsia="仿宋" w:cs="仿宋"/>
          <w:sz w:val="32"/>
          <w:szCs w:val="32"/>
        </w:rPr>
        <w:t xml:space="preserve">         </w:t>
      </w:r>
      <w:r>
        <w:rPr>
          <w:rFonts w:hint="eastAsia" w:ascii="仿宋" w:hAnsi="仿宋" w:eastAsia="仿宋" w:cs="仿宋"/>
          <w:sz w:val="32"/>
          <w:szCs w:val="32"/>
        </w:rPr>
        <w:t>日常公用经费</w:t>
      </w:r>
      <w:r>
        <w:rPr>
          <w:rFonts w:ascii="仿宋" w:hAnsi="仿宋" w:eastAsia="仿宋" w:cs="仿宋"/>
          <w:sz w:val="32"/>
          <w:szCs w:val="32"/>
        </w:rPr>
        <w:t xml:space="preserve"> </w:t>
      </w:r>
      <w:r>
        <w:rPr>
          <w:rFonts w:hint="eastAsia" w:ascii="仿宋" w:hAnsi="仿宋" w:eastAsia="仿宋" w:cs="仿宋"/>
          <w:sz w:val="32"/>
          <w:szCs w:val="32"/>
        </w:rPr>
        <w:t>6.20万元</w:t>
      </w:r>
    </w:p>
    <w:p w14:paraId="2E7D3C91">
      <w:pPr>
        <w:spacing w:line="520" w:lineRule="exact"/>
        <w:ind w:left="210" w:leftChars="100" w:right="210" w:rightChars="100" w:firstLine="640" w:firstLineChars="200"/>
        <w:rPr>
          <w:rFonts w:ascii="仿宋" w:hAnsi="仿宋" w:eastAsia="仿宋" w:cs="Times New Roman"/>
          <w:sz w:val="32"/>
          <w:szCs w:val="32"/>
        </w:rPr>
      </w:pPr>
      <w:r>
        <w:rPr>
          <w:rFonts w:hint="eastAsia" w:ascii="仿宋" w:hAnsi="仿宋" w:eastAsia="仿宋" w:cs="仿宋"/>
          <w:sz w:val="32"/>
          <w:szCs w:val="32"/>
        </w:rPr>
        <w:t>项目支出</w:t>
      </w:r>
      <w:r>
        <w:rPr>
          <w:rFonts w:ascii="仿宋" w:hAnsi="仿宋" w:eastAsia="仿宋" w:cs="仿宋"/>
          <w:sz w:val="32"/>
          <w:szCs w:val="32"/>
        </w:rPr>
        <w:t xml:space="preserve">  </w:t>
      </w:r>
      <w:r>
        <w:rPr>
          <w:rFonts w:hint="eastAsia" w:ascii="仿宋" w:hAnsi="仿宋" w:eastAsia="仿宋" w:cs="仿宋"/>
          <w:sz w:val="32"/>
          <w:szCs w:val="32"/>
        </w:rPr>
        <w:t>7.71万元</w:t>
      </w:r>
    </w:p>
    <w:p w14:paraId="1D84A326">
      <w:pPr>
        <w:spacing w:line="520" w:lineRule="exact"/>
        <w:ind w:left="210" w:leftChars="100" w:right="210" w:rightChars="100" w:firstLine="640" w:firstLineChars="200"/>
        <w:rPr>
          <w:rFonts w:ascii="仿宋" w:hAnsi="仿宋" w:eastAsia="仿宋" w:cs="Times New Roman"/>
          <w:sz w:val="32"/>
          <w:szCs w:val="32"/>
        </w:rPr>
      </w:pPr>
      <w:r>
        <w:rPr>
          <w:rFonts w:ascii="仿宋" w:hAnsi="仿宋" w:eastAsia="仿宋" w:cs="仿宋"/>
          <w:sz w:val="32"/>
          <w:szCs w:val="32"/>
        </w:rPr>
        <w:t xml:space="preserve">   </w:t>
      </w:r>
      <w:r>
        <w:rPr>
          <w:rFonts w:hint="eastAsia" w:ascii="仿宋" w:hAnsi="仿宋" w:eastAsia="仿宋" w:cs="仿宋"/>
          <w:sz w:val="32"/>
          <w:szCs w:val="32"/>
        </w:rPr>
        <w:t>其中：本级支出</w:t>
      </w:r>
      <w:r>
        <w:rPr>
          <w:rFonts w:ascii="仿宋" w:hAnsi="仿宋" w:eastAsia="仿宋" w:cs="仿宋"/>
          <w:sz w:val="32"/>
          <w:szCs w:val="32"/>
        </w:rPr>
        <w:t xml:space="preserve"> </w:t>
      </w:r>
      <w:r>
        <w:rPr>
          <w:rFonts w:hint="eastAsia" w:ascii="仿宋" w:hAnsi="仿宋" w:eastAsia="仿宋" w:cs="仿宋"/>
          <w:sz w:val="32"/>
          <w:szCs w:val="32"/>
        </w:rPr>
        <w:t>7.71万元</w:t>
      </w:r>
    </w:p>
    <w:p w14:paraId="5D455EE5">
      <w:pPr>
        <w:tabs>
          <w:tab w:val="left" w:pos="916"/>
        </w:tabs>
        <w:spacing w:line="560" w:lineRule="exact"/>
        <w:ind w:left="210" w:leftChars="100" w:right="210" w:rightChars="100" w:firstLine="640" w:firstLineChars="200"/>
        <w:jc w:val="left"/>
        <w:rPr>
          <w:rFonts w:ascii="黑体" w:hAnsi="黑体" w:eastAsia="黑体" w:cs="Times New Roman"/>
          <w:sz w:val="32"/>
          <w:szCs w:val="32"/>
        </w:rPr>
      </w:pPr>
      <w:r>
        <w:rPr>
          <w:rFonts w:ascii="黑体" w:hAnsi="黑体" w:eastAsia="黑体" w:cs="黑体"/>
          <w:sz w:val="32"/>
          <w:szCs w:val="32"/>
        </w:rPr>
        <w:t>3</w:t>
      </w:r>
      <w:r>
        <w:rPr>
          <w:rFonts w:hint="eastAsia" w:ascii="黑体" w:hAnsi="黑体" w:eastAsia="黑体" w:cs="黑体"/>
          <w:sz w:val="32"/>
          <w:szCs w:val="32"/>
        </w:rPr>
        <w:t>、与上年增减情况</w:t>
      </w:r>
    </w:p>
    <w:p w14:paraId="2F8504F1">
      <w:pPr>
        <w:tabs>
          <w:tab w:val="left" w:pos="916"/>
        </w:tabs>
        <w:spacing w:line="560" w:lineRule="exact"/>
        <w:ind w:left="210" w:leftChars="100" w:right="210" w:rightChars="100"/>
        <w:jc w:val="left"/>
        <w:rPr>
          <w:rFonts w:ascii="仿宋" w:hAnsi="仿宋" w:eastAsia="仿宋" w:cs="Times New Roman"/>
          <w:sz w:val="32"/>
          <w:szCs w:val="32"/>
        </w:rPr>
      </w:pPr>
      <w:r>
        <w:rPr>
          <w:rFonts w:hint="eastAsia" w:ascii="仿宋" w:hAnsi="仿宋" w:eastAsia="仿宋" w:cs="仿宋"/>
          <w:sz w:val="32"/>
          <w:szCs w:val="32"/>
        </w:rPr>
        <w:t>　　本年度预算收支安排64.04万元，较上年增加19.79万元。其中</w:t>
      </w:r>
      <w:r>
        <w:rPr>
          <w:rFonts w:ascii="仿宋" w:hAnsi="仿宋" w:eastAsia="仿宋" w:cs="仿宋"/>
          <w:sz w:val="32"/>
          <w:szCs w:val="32"/>
        </w:rPr>
        <w:t>:</w:t>
      </w:r>
      <w:r>
        <w:rPr>
          <w:rFonts w:hint="eastAsia" w:ascii="仿宋" w:hAnsi="仿宋" w:eastAsia="仿宋" w:cs="仿宋"/>
          <w:sz w:val="32"/>
          <w:szCs w:val="32"/>
        </w:rPr>
        <w:t>基本支出增加20.08万元，主要增加了基本工资、对个人和家庭的补助等；项目支出减少0.29万元，主要是增加了政府采购（招聘劳务派遣工作人员一名），减少了机关工作经费。</w:t>
      </w:r>
    </w:p>
    <w:p w14:paraId="65022295">
      <w:pPr>
        <w:spacing w:line="520" w:lineRule="exact"/>
        <w:ind w:left="210" w:leftChars="100" w:right="210" w:rightChars="100" w:firstLine="640" w:firstLineChars="200"/>
        <w:jc w:val="left"/>
        <w:outlineLvl w:val="0"/>
        <w:rPr>
          <w:rFonts w:ascii="黑体" w:hAnsi="黑体" w:eastAsia="黑体" w:cs="Times New Roman"/>
          <w:sz w:val="32"/>
          <w:szCs w:val="32"/>
        </w:rPr>
      </w:pPr>
      <w:r>
        <w:rPr>
          <w:rFonts w:hint="eastAsia" w:ascii="黑体" w:hAnsi="黑体" w:eastAsia="黑体" w:cs="黑体"/>
          <w:sz w:val="32"/>
          <w:szCs w:val="32"/>
        </w:rPr>
        <w:t>二、机关运行经费安排情况</w:t>
      </w:r>
    </w:p>
    <w:p w14:paraId="6EA276FE">
      <w:pPr>
        <w:spacing w:line="520" w:lineRule="exact"/>
        <w:ind w:left="210" w:leftChars="100" w:right="210" w:rightChars="100" w:firstLine="640" w:firstLineChars="200"/>
        <w:jc w:val="left"/>
        <w:outlineLvl w:val="0"/>
        <w:rPr>
          <w:rFonts w:ascii="仿宋" w:hAnsi="仿宋" w:eastAsia="仿宋" w:cs="Times New Roman"/>
          <w:sz w:val="32"/>
          <w:szCs w:val="32"/>
        </w:rPr>
      </w:pPr>
      <w:r>
        <w:rPr>
          <w:rFonts w:hint="eastAsia" w:ascii="仿宋" w:hAnsi="仿宋" w:eastAsia="仿宋" w:cs="仿宋"/>
          <w:sz w:val="32"/>
          <w:szCs w:val="32"/>
        </w:rPr>
        <w:t>曲阳县县直工委日常公用经费安排6.20万元，其中办公费0.56万元，网络费</w:t>
      </w:r>
      <w:r>
        <w:rPr>
          <w:rFonts w:ascii="仿宋" w:hAnsi="仿宋" w:eastAsia="仿宋" w:cs="仿宋"/>
          <w:sz w:val="32"/>
          <w:szCs w:val="32"/>
        </w:rPr>
        <w:t>0.08</w:t>
      </w:r>
      <w:r>
        <w:rPr>
          <w:rFonts w:hint="eastAsia" w:ascii="仿宋" w:hAnsi="仿宋" w:eastAsia="仿宋" w:cs="仿宋"/>
          <w:sz w:val="32"/>
          <w:szCs w:val="32"/>
        </w:rPr>
        <w:t>万元，邮电费2.00万元，差旅费0.24万元，福利费0.56万元，其他交通补贴2.76万。</w:t>
      </w:r>
    </w:p>
    <w:p w14:paraId="1330126B">
      <w:pPr>
        <w:spacing w:line="520" w:lineRule="exact"/>
        <w:ind w:left="210" w:leftChars="100" w:right="210" w:rightChars="100" w:firstLine="640" w:firstLineChars="200"/>
        <w:jc w:val="left"/>
        <w:outlineLvl w:val="0"/>
        <w:rPr>
          <w:rFonts w:ascii="黑体" w:hAnsi="黑体" w:eastAsia="黑体" w:cs="Times New Roman"/>
          <w:sz w:val="32"/>
          <w:szCs w:val="32"/>
        </w:rPr>
      </w:pPr>
      <w:r>
        <w:rPr>
          <w:rFonts w:hint="eastAsia" w:ascii="黑体" w:hAnsi="黑体" w:eastAsia="黑体" w:cs="黑体"/>
          <w:sz w:val="32"/>
          <w:szCs w:val="32"/>
        </w:rPr>
        <w:t>三、财政拨款“三公”经费预算情况及增加变化原因</w:t>
      </w:r>
    </w:p>
    <w:tbl>
      <w:tblPr>
        <w:tblStyle w:val="5"/>
        <w:tblW w:w="10008" w:type="dxa"/>
        <w:tblInd w:w="-106" w:type="dxa"/>
        <w:tblLayout w:type="fixed"/>
        <w:tblCellMar>
          <w:top w:w="0" w:type="dxa"/>
          <w:left w:w="108" w:type="dxa"/>
          <w:bottom w:w="0" w:type="dxa"/>
          <w:right w:w="108" w:type="dxa"/>
        </w:tblCellMar>
      </w:tblPr>
      <w:tblGrid>
        <w:gridCol w:w="2199"/>
        <w:gridCol w:w="2126"/>
        <w:gridCol w:w="2268"/>
        <w:gridCol w:w="1418"/>
        <w:gridCol w:w="1997"/>
      </w:tblGrid>
      <w:tr w14:paraId="0B18325C">
        <w:tblPrEx>
          <w:tblCellMar>
            <w:top w:w="0" w:type="dxa"/>
            <w:left w:w="108" w:type="dxa"/>
            <w:bottom w:w="0" w:type="dxa"/>
            <w:right w:w="108" w:type="dxa"/>
          </w:tblCellMar>
        </w:tblPrEx>
        <w:trPr>
          <w:trHeight w:val="504" w:hRule="atLeast"/>
        </w:trPr>
        <w:tc>
          <w:tcPr>
            <w:tcW w:w="10008" w:type="dxa"/>
            <w:gridSpan w:val="5"/>
            <w:tcBorders>
              <w:top w:val="nil"/>
              <w:left w:val="nil"/>
              <w:bottom w:val="nil"/>
              <w:right w:val="nil"/>
            </w:tcBorders>
            <w:vAlign w:val="center"/>
          </w:tcPr>
          <w:p w14:paraId="04C5F4B3">
            <w:pPr>
              <w:widowControl/>
              <w:spacing w:line="520" w:lineRule="exact"/>
              <w:ind w:left="210" w:leftChars="100" w:right="210" w:rightChars="100"/>
              <w:jc w:val="center"/>
              <w:rPr>
                <w:rFonts w:ascii="黑体" w:hAnsi="黑体" w:eastAsia="黑体" w:cs="Times New Roman"/>
                <w:kern w:val="0"/>
                <w:sz w:val="32"/>
                <w:szCs w:val="32"/>
              </w:rPr>
            </w:pPr>
            <w:r>
              <w:rPr>
                <w:rFonts w:hint="eastAsia" w:ascii="黑体" w:hAnsi="黑体" w:eastAsia="黑体" w:cs="黑体"/>
                <w:sz w:val="32"/>
                <w:szCs w:val="32"/>
              </w:rPr>
              <w:t>“三公”经费预算情况及增减变化表</w:t>
            </w:r>
          </w:p>
        </w:tc>
      </w:tr>
      <w:tr w14:paraId="1FC8B436">
        <w:tblPrEx>
          <w:tblCellMar>
            <w:top w:w="0" w:type="dxa"/>
            <w:left w:w="108" w:type="dxa"/>
            <w:bottom w:w="0" w:type="dxa"/>
            <w:right w:w="108" w:type="dxa"/>
          </w:tblCellMar>
        </w:tblPrEx>
        <w:trPr>
          <w:trHeight w:val="301" w:hRule="atLeast"/>
        </w:trPr>
        <w:tc>
          <w:tcPr>
            <w:tcW w:w="2199" w:type="dxa"/>
            <w:tcBorders>
              <w:top w:val="nil"/>
              <w:left w:val="nil"/>
              <w:bottom w:val="nil"/>
              <w:right w:val="nil"/>
            </w:tcBorders>
            <w:vAlign w:val="center"/>
          </w:tcPr>
          <w:p w14:paraId="6FA62E0B">
            <w:pPr>
              <w:widowControl/>
              <w:ind w:left="210" w:leftChars="100" w:right="210" w:rightChars="100"/>
              <w:jc w:val="center"/>
              <w:rPr>
                <w:rFonts w:ascii="宋体" w:cs="宋体"/>
                <w:kern w:val="0"/>
                <w:sz w:val="24"/>
                <w:szCs w:val="24"/>
              </w:rPr>
            </w:pPr>
          </w:p>
        </w:tc>
        <w:tc>
          <w:tcPr>
            <w:tcW w:w="2126" w:type="dxa"/>
            <w:tcBorders>
              <w:top w:val="nil"/>
              <w:left w:val="nil"/>
              <w:bottom w:val="nil"/>
              <w:right w:val="nil"/>
            </w:tcBorders>
            <w:vAlign w:val="center"/>
          </w:tcPr>
          <w:p w14:paraId="565D9A59">
            <w:pPr>
              <w:widowControl/>
              <w:ind w:left="210" w:leftChars="100" w:right="210" w:rightChars="100"/>
              <w:jc w:val="center"/>
              <w:rPr>
                <w:rFonts w:ascii="宋体" w:cs="宋体"/>
                <w:kern w:val="0"/>
                <w:sz w:val="24"/>
                <w:szCs w:val="24"/>
              </w:rPr>
            </w:pPr>
          </w:p>
        </w:tc>
        <w:tc>
          <w:tcPr>
            <w:tcW w:w="2268" w:type="dxa"/>
            <w:tcBorders>
              <w:top w:val="nil"/>
              <w:left w:val="nil"/>
              <w:bottom w:val="nil"/>
              <w:right w:val="nil"/>
            </w:tcBorders>
            <w:vAlign w:val="center"/>
          </w:tcPr>
          <w:p w14:paraId="173A2A58">
            <w:pPr>
              <w:widowControl/>
              <w:ind w:left="210" w:leftChars="100" w:right="210" w:rightChars="100"/>
              <w:jc w:val="center"/>
              <w:rPr>
                <w:rFonts w:ascii="宋体" w:cs="宋体"/>
                <w:kern w:val="0"/>
                <w:sz w:val="24"/>
                <w:szCs w:val="24"/>
              </w:rPr>
            </w:pPr>
          </w:p>
        </w:tc>
        <w:tc>
          <w:tcPr>
            <w:tcW w:w="1418" w:type="dxa"/>
            <w:tcBorders>
              <w:top w:val="nil"/>
              <w:left w:val="nil"/>
              <w:bottom w:val="nil"/>
              <w:right w:val="nil"/>
            </w:tcBorders>
            <w:vAlign w:val="center"/>
          </w:tcPr>
          <w:p w14:paraId="3101D843">
            <w:pPr>
              <w:widowControl/>
              <w:ind w:left="210" w:leftChars="100" w:right="210" w:rightChars="100"/>
              <w:jc w:val="center"/>
              <w:rPr>
                <w:rFonts w:ascii="宋体" w:cs="宋体"/>
                <w:kern w:val="0"/>
                <w:sz w:val="24"/>
                <w:szCs w:val="24"/>
              </w:rPr>
            </w:pPr>
          </w:p>
        </w:tc>
        <w:tc>
          <w:tcPr>
            <w:tcW w:w="1997" w:type="dxa"/>
            <w:tcBorders>
              <w:top w:val="nil"/>
              <w:left w:val="nil"/>
              <w:bottom w:val="nil"/>
              <w:right w:val="nil"/>
            </w:tcBorders>
            <w:vAlign w:val="center"/>
          </w:tcPr>
          <w:p w14:paraId="04F75944">
            <w:pPr>
              <w:widowControl/>
              <w:ind w:left="210" w:leftChars="100" w:right="210" w:rightChars="100"/>
              <w:jc w:val="center"/>
              <w:rPr>
                <w:rFonts w:ascii="宋体" w:cs="宋体"/>
                <w:kern w:val="0"/>
                <w:sz w:val="24"/>
                <w:szCs w:val="24"/>
              </w:rPr>
            </w:pPr>
            <w:r>
              <w:rPr>
                <w:rFonts w:hint="eastAsia" w:ascii="宋体" w:hAnsi="宋体" w:cs="宋体"/>
                <w:kern w:val="0"/>
                <w:sz w:val="24"/>
                <w:szCs w:val="24"/>
              </w:rPr>
              <w:t>单位：万元</w:t>
            </w:r>
          </w:p>
        </w:tc>
      </w:tr>
      <w:tr w14:paraId="7D13B5AC">
        <w:tblPrEx>
          <w:tblCellMar>
            <w:top w:w="0" w:type="dxa"/>
            <w:left w:w="108" w:type="dxa"/>
            <w:bottom w:w="0" w:type="dxa"/>
            <w:right w:w="108" w:type="dxa"/>
          </w:tblCellMar>
        </w:tblPrEx>
        <w:trPr>
          <w:trHeight w:val="558" w:hRule="atLeast"/>
        </w:trPr>
        <w:tc>
          <w:tcPr>
            <w:tcW w:w="2199" w:type="dxa"/>
            <w:tcBorders>
              <w:top w:val="single" w:color="auto" w:sz="4" w:space="0"/>
              <w:left w:val="single" w:color="auto" w:sz="4" w:space="0"/>
              <w:bottom w:val="single" w:color="auto" w:sz="4" w:space="0"/>
              <w:right w:val="single" w:color="auto" w:sz="4" w:space="0"/>
            </w:tcBorders>
            <w:vAlign w:val="center"/>
          </w:tcPr>
          <w:p w14:paraId="394ECC75">
            <w:pPr>
              <w:widowControl/>
              <w:ind w:left="210" w:leftChars="100" w:right="210" w:rightChars="100"/>
              <w:jc w:val="center"/>
              <w:rPr>
                <w:rFonts w:ascii="宋体" w:cs="宋体"/>
                <w:kern w:val="0"/>
                <w:sz w:val="24"/>
                <w:szCs w:val="24"/>
              </w:rPr>
            </w:pPr>
            <w:r>
              <w:rPr>
                <w:rFonts w:hint="eastAsia" w:ascii="宋体" w:hAnsi="宋体" w:cs="宋体"/>
                <w:kern w:val="0"/>
                <w:sz w:val="24"/>
                <w:szCs w:val="24"/>
              </w:rPr>
              <w:t>项目名称</w:t>
            </w:r>
          </w:p>
        </w:tc>
        <w:tc>
          <w:tcPr>
            <w:tcW w:w="2126" w:type="dxa"/>
            <w:tcBorders>
              <w:top w:val="single" w:color="auto" w:sz="4" w:space="0"/>
              <w:left w:val="nil"/>
              <w:bottom w:val="single" w:color="auto" w:sz="4" w:space="0"/>
              <w:right w:val="single" w:color="auto" w:sz="4" w:space="0"/>
            </w:tcBorders>
            <w:vAlign w:val="center"/>
          </w:tcPr>
          <w:p w14:paraId="3706DE83">
            <w:pPr>
              <w:widowControl/>
              <w:ind w:left="210" w:leftChars="100" w:right="210" w:rightChars="100"/>
              <w:jc w:val="center"/>
              <w:rPr>
                <w:rFonts w:ascii="宋体" w:cs="宋体"/>
                <w:kern w:val="0"/>
                <w:sz w:val="24"/>
                <w:szCs w:val="24"/>
              </w:rPr>
            </w:pPr>
            <w:r>
              <w:rPr>
                <w:rFonts w:ascii="宋体" w:hAnsi="宋体" w:cs="宋体"/>
                <w:kern w:val="0"/>
                <w:sz w:val="24"/>
                <w:szCs w:val="24"/>
              </w:rPr>
              <w:t>201</w:t>
            </w:r>
            <w:r>
              <w:rPr>
                <w:rFonts w:hint="eastAsia" w:ascii="宋体" w:hAnsi="宋体" w:cs="宋体"/>
                <w:kern w:val="0"/>
                <w:sz w:val="24"/>
                <w:szCs w:val="24"/>
              </w:rPr>
              <w:t>7年度预算</w:t>
            </w:r>
          </w:p>
        </w:tc>
        <w:tc>
          <w:tcPr>
            <w:tcW w:w="2268" w:type="dxa"/>
            <w:tcBorders>
              <w:top w:val="single" w:color="auto" w:sz="4" w:space="0"/>
              <w:left w:val="nil"/>
              <w:bottom w:val="single" w:color="auto" w:sz="4" w:space="0"/>
              <w:right w:val="single" w:color="auto" w:sz="4" w:space="0"/>
            </w:tcBorders>
            <w:vAlign w:val="center"/>
          </w:tcPr>
          <w:p w14:paraId="3737DCB8">
            <w:pPr>
              <w:widowControl/>
              <w:ind w:left="210" w:leftChars="100" w:right="210" w:rightChars="100"/>
              <w:jc w:val="center"/>
              <w:rPr>
                <w:rFonts w:ascii="宋体" w:cs="宋体"/>
                <w:kern w:val="0"/>
                <w:sz w:val="24"/>
                <w:szCs w:val="24"/>
              </w:rPr>
            </w:pPr>
            <w:r>
              <w:rPr>
                <w:rFonts w:ascii="宋体" w:hAnsi="宋体" w:cs="宋体"/>
                <w:kern w:val="0"/>
                <w:sz w:val="24"/>
                <w:szCs w:val="24"/>
              </w:rPr>
              <w:t>201</w:t>
            </w:r>
            <w:r>
              <w:rPr>
                <w:rFonts w:hint="eastAsia" w:ascii="宋体" w:hAnsi="宋体" w:cs="宋体"/>
                <w:kern w:val="0"/>
                <w:sz w:val="24"/>
                <w:szCs w:val="24"/>
              </w:rPr>
              <w:t>8年度预算</w:t>
            </w:r>
          </w:p>
        </w:tc>
        <w:tc>
          <w:tcPr>
            <w:tcW w:w="1418" w:type="dxa"/>
            <w:tcBorders>
              <w:top w:val="single" w:color="auto" w:sz="4" w:space="0"/>
              <w:left w:val="nil"/>
              <w:bottom w:val="single" w:color="auto" w:sz="4" w:space="0"/>
              <w:right w:val="single" w:color="auto" w:sz="4" w:space="0"/>
            </w:tcBorders>
            <w:vAlign w:val="center"/>
          </w:tcPr>
          <w:p w14:paraId="608A6D0C">
            <w:pPr>
              <w:widowControl/>
              <w:ind w:left="210" w:leftChars="100" w:right="210" w:rightChars="100"/>
              <w:jc w:val="center"/>
              <w:rPr>
                <w:rFonts w:ascii="宋体" w:cs="宋体"/>
                <w:kern w:val="0"/>
                <w:sz w:val="24"/>
                <w:szCs w:val="24"/>
              </w:rPr>
            </w:pPr>
            <w:r>
              <w:rPr>
                <w:rFonts w:hint="eastAsia" w:ascii="宋体" w:hAnsi="宋体" w:cs="宋体"/>
                <w:kern w:val="0"/>
                <w:sz w:val="24"/>
                <w:szCs w:val="24"/>
              </w:rPr>
              <w:t>增减金额</w:t>
            </w:r>
          </w:p>
        </w:tc>
        <w:tc>
          <w:tcPr>
            <w:tcW w:w="1997" w:type="dxa"/>
            <w:tcBorders>
              <w:top w:val="single" w:color="auto" w:sz="4" w:space="0"/>
              <w:left w:val="nil"/>
              <w:bottom w:val="single" w:color="auto" w:sz="4" w:space="0"/>
              <w:right w:val="single" w:color="auto" w:sz="4" w:space="0"/>
            </w:tcBorders>
            <w:vAlign w:val="center"/>
          </w:tcPr>
          <w:p w14:paraId="3FABB40C">
            <w:pPr>
              <w:widowControl/>
              <w:ind w:right="210" w:rightChars="100"/>
              <w:jc w:val="both"/>
              <w:rPr>
                <w:rFonts w:ascii="宋体" w:cs="宋体"/>
                <w:kern w:val="0"/>
                <w:sz w:val="24"/>
                <w:szCs w:val="24"/>
              </w:rPr>
            </w:pPr>
            <w:r>
              <w:rPr>
                <w:rFonts w:hint="eastAsia" w:ascii="宋体" w:hAnsi="宋体" w:cs="宋体"/>
                <w:kern w:val="0"/>
                <w:sz w:val="24"/>
                <w:szCs w:val="24"/>
              </w:rPr>
              <w:t>变化原因</w:t>
            </w:r>
            <w:bookmarkStart w:id="1" w:name="_GoBack"/>
            <w:bookmarkEnd w:id="1"/>
          </w:p>
        </w:tc>
      </w:tr>
      <w:tr w14:paraId="3EA5915D">
        <w:tblPrEx>
          <w:tblCellMar>
            <w:top w:w="0" w:type="dxa"/>
            <w:left w:w="108" w:type="dxa"/>
            <w:bottom w:w="0" w:type="dxa"/>
            <w:right w:w="108" w:type="dxa"/>
          </w:tblCellMar>
        </w:tblPrEx>
        <w:trPr>
          <w:trHeight w:val="471" w:hRule="atLeast"/>
        </w:trPr>
        <w:tc>
          <w:tcPr>
            <w:tcW w:w="2199" w:type="dxa"/>
            <w:tcBorders>
              <w:top w:val="nil"/>
              <w:left w:val="single" w:color="auto" w:sz="4" w:space="0"/>
              <w:bottom w:val="single" w:color="auto" w:sz="4" w:space="0"/>
              <w:right w:val="single" w:color="auto" w:sz="4" w:space="0"/>
            </w:tcBorders>
            <w:vAlign w:val="center"/>
          </w:tcPr>
          <w:p w14:paraId="6AE365D9">
            <w:pPr>
              <w:widowControl/>
              <w:ind w:right="210" w:rightChars="100" w:firstLine="240" w:firstLineChars="100"/>
              <w:jc w:val="both"/>
              <w:rPr>
                <w:rFonts w:ascii="宋体" w:cs="宋体"/>
                <w:kern w:val="0"/>
                <w:sz w:val="24"/>
                <w:szCs w:val="24"/>
              </w:rPr>
            </w:pPr>
            <w:r>
              <w:rPr>
                <w:rFonts w:hint="eastAsia" w:ascii="宋体" w:hAnsi="宋体" w:cs="宋体"/>
                <w:kern w:val="0"/>
                <w:sz w:val="24"/>
                <w:szCs w:val="24"/>
              </w:rPr>
              <w:t>因公出国经费</w:t>
            </w:r>
          </w:p>
        </w:tc>
        <w:tc>
          <w:tcPr>
            <w:tcW w:w="2126" w:type="dxa"/>
            <w:tcBorders>
              <w:top w:val="nil"/>
              <w:left w:val="nil"/>
              <w:bottom w:val="single" w:color="auto" w:sz="4" w:space="0"/>
              <w:right w:val="single" w:color="auto" w:sz="4" w:space="0"/>
            </w:tcBorders>
            <w:vAlign w:val="center"/>
          </w:tcPr>
          <w:p w14:paraId="3855142E">
            <w:pPr>
              <w:widowControl/>
              <w:ind w:left="210" w:leftChars="100" w:right="210" w:rightChars="100"/>
              <w:jc w:val="center"/>
              <w:rPr>
                <w:rFonts w:ascii="宋体" w:hAnsi="宋体" w:cs="宋体"/>
                <w:kern w:val="0"/>
                <w:sz w:val="24"/>
                <w:szCs w:val="24"/>
              </w:rPr>
            </w:pPr>
            <w:r>
              <w:rPr>
                <w:rFonts w:ascii="宋体" w:hAnsi="宋体" w:cs="宋体"/>
                <w:kern w:val="0"/>
                <w:sz w:val="24"/>
                <w:szCs w:val="24"/>
              </w:rPr>
              <w:t>0</w:t>
            </w:r>
          </w:p>
        </w:tc>
        <w:tc>
          <w:tcPr>
            <w:tcW w:w="2268" w:type="dxa"/>
            <w:tcBorders>
              <w:top w:val="nil"/>
              <w:left w:val="nil"/>
              <w:bottom w:val="single" w:color="auto" w:sz="4" w:space="0"/>
              <w:right w:val="single" w:color="auto" w:sz="4" w:space="0"/>
            </w:tcBorders>
            <w:vAlign w:val="center"/>
          </w:tcPr>
          <w:p w14:paraId="4C2C4F3F">
            <w:pPr>
              <w:widowControl/>
              <w:ind w:left="210" w:leftChars="100" w:right="210" w:rightChars="100"/>
              <w:jc w:val="center"/>
              <w:rPr>
                <w:rFonts w:ascii="宋体" w:hAnsi="宋体" w:cs="宋体"/>
                <w:kern w:val="0"/>
                <w:sz w:val="24"/>
                <w:szCs w:val="24"/>
              </w:rPr>
            </w:pPr>
            <w:r>
              <w:rPr>
                <w:rFonts w:ascii="宋体" w:hAnsi="宋体" w:cs="宋体"/>
                <w:kern w:val="0"/>
                <w:sz w:val="24"/>
                <w:szCs w:val="24"/>
              </w:rPr>
              <w:t>0</w:t>
            </w:r>
          </w:p>
        </w:tc>
        <w:tc>
          <w:tcPr>
            <w:tcW w:w="1418" w:type="dxa"/>
            <w:tcBorders>
              <w:top w:val="nil"/>
              <w:left w:val="nil"/>
              <w:bottom w:val="single" w:color="auto" w:sz="4" w:space="0"/>
              <w:right w:val="single" w:color="auto" w:sz="4" w:space="0"/>
            </w:tcBorders>
            <w:vAlign w:val="center"/>
          </w:tcPr>
          <w:p w14:paraId="708052E9">
            <w:pPr>
              <w:widowControl/>
              <w:ind w:left="210" w:leftChars="100" w:right="210" w:rightChars="100"/>
              <w:jc w:val="center"/>
              <w:rPr>
                <w:rFonts w:ascii="宋体" w:hAnsi="宋体" w:cs="宋体"/>
                <w:kern w:val="0"/>
                <w:sz w:val="24"/>
                <w:szCs w:val="24"/>
              </w:rPr>
            </w:pPr>
            <w:r>
              <w:rPr>
                <w:rFonts w:ascii="宋体" w:hAnsi="宋体" w:cs="宋体"/>
                <w:kern w:val="0"/>
                <w:sz w:val="24"/>
                <w:szCs w:val="24"/>
              </w:rPr>
              <w:t>0</w:t>
            </w:r>
          </w:p>
        </w:tc>
        <w:tc>
          <w:tcPr>
            <w:tcW w:w="1997" w:type="dxa"/>
            <w:tcBorders>
              <w:top w:val="nil"/>
              <w:left w:val="nil"/>
              <w:bottom w:val="single" w:color="auto" w:sz="4" w:space="0"/>
              <w:right w:val="single" w:color="auto" w:sz="4" w:space="0"/>
            </w:tcBorders>
            <w:vAlign w:val="center"/>
          </w:tcPr>
          <w:p w14:paraId="2677083F">
            <w:pPr>
              <w:widowControl/>
              <w:ind w:left="210" w:leftChars="100" w:right="210" w:rightChars="100"/>
              <w:jc w:val="center"/>
              <w:rPr>
                <w:rFonts w:ascii="宋体" w:cs="宋体"/>
                <w:kern w:val="0"/>
                <w:sz w:val="24"/>
                <w:szCs w:val="24"/>
              </w:rPr>
            </w:pPr>
            <w:r>
              <w:rPr>
                <w:rFonts w:hint="eastAsia" w:ascii="宋体" w:hAnsi="宋体" w:cs="宋体"/>
                <w:kern w:val="0"/>
                <w:sz w:val="24"/>
                <w:szCs w:val="24"/>
              </w:rPr>
              <w:t>无增减变化</w:t>
            </w:r>
          </w:p>
        </w:tc>
      </w:tr>
      <w:tr w14:paraId="2F244C36">
        <w:tblPrEx>
          <w:tblCellMar>
            <w:top w:w="0" w:type="dxa"/>
            <w:left w:w="108" w:type="dxa"/>
            <w:bottom w:w="0" w:type="dxa"/>
            <w:right w:w="108" w:type="dxa"/>
          </w:tblCellMar>
        </w:tblPrEx>
        <w:trPr>
          <w:trHeight w:val="579" w:hRule="atLeast"/>
        </w:trPr>
        <w:tc>
          <w:tcPr>
            <w:tcW w:w="2199" w:type="dxa"/>
            <w:tcBorders>
              <w:top w:val="nil"/>
              <w:left w:val="single" w:color="auto" w:sz="4" w:space="0"/>
              <w:bottom w:val="single" w:color="auto" w:sz="4" w:space="0"/>
              <w:right w:val="single" w:color="auto" w:sz="4" w:space="0"/>
            </w:tcBorders>
            <w:vAlign w:val="center"/>
          </w:tcPr>
          <w:p w14:paraId="1B52CF7B">
            <w:pPr>
              <w:widowControl/>
              <w:ind w:left="210" w:leftChars="100" w:right="210" w:rightChars="100"/>
              <w:jc w:val="center"/>
              <w:rPr>
                <w:rFonts w:ascii="宋体" w:cs="宋体"/>
                <w:kern w:val="0"/>
                <w:sz w:val="24"/>
                <w:szCs w:val="24"/>
              </w:rPr>
            </w:pPr>
            <w:r>
              <w:rPr>
                <w:rFonts w:hint="eastAsia" w:ascii="宋体" w:hAnsi="宋体" w:cs="宋体"/>
                <w:kern w:val="0"/>
                <w:sz w:val="24"/>
                <w:szCs w:val="24"/>
              </w:rPr>
              <w:t>公务用车购置经费</w:t>
            </w:r>
          </w:p>
        </w:tc>
        <w:tc>
          <w:tcPr>
            <w:tcW w:w="2126" w:type="dxa"/>
            <w:tcBorders>
              <w:top w:val="nil"/>
              <w:left w:val="nil"/>
              <w:bottom w:val="single" w:color="auto" w:sz="4" w:space="0"/>
              <w:right w:val="single" w:color="auto" w:sz="4" w:space="0"/>
            </w:tcBorders>
            <w:vAlign w:val="center"/>
          </w:tcPr>
          <w:p w14:paraId="4309F0E1">
            <w:pPr>
              <w:widowControl/>
              <w:ind w:left="210" w:leftChars="100" w:right="210" w:rightChars="100"/>
              <w:jc w:val="center"/>
              <w:rPr>
                <w:rFonts w:ascii="宋体" w:hAnsi="宋体" w:cs="宋体"/>
                <w:kern w:val="0"/>
                <w:sz w:val="24"/>
                <w:szCs w:val="24"/>
              </w:rPr>
            </w:pPr>
            <w:r>
              <w:rPr>
                <w:rFonts w:ascii="宋体" w:hAnsi="宋体" w:cs="宋体"/>
                <w:kern w:val="0"/>
                <w:sz w:val="24"/>
                <w:szCs w:val="24"/>
              </w:rPr>
              <w:t>0</w:t>
            </w:r>
          </w:p>
        </w:tc>
        <w:tc>
          <w:tcPr>
            <w:tcW w:w="2268" w:type="dxa"/>
            <w:tcBorders>
              <w:top w:val="nil"/>
              <w:left w:val="nil"/>
              <w:bottom w:val="single" w:color="auto" w:sz="4" w:space="0"/>
              <w:right w:val="single" w:color="auto" w:sz="4" w:space="0"/>
            </w:tcBorders>
            <w:vAlign w:val="center"/>
          </w:tcPr>
          <w:p w14:paraId="1C140198">
            <w:pPr>
              <w:widowControl/>
              <w:ind w:left="210" w:leftChars="100" w:right="210" w:rightChars="100"/>
              <w:jc w:val="center"/>
              <w:rPr>
                <w:rFonts w:ascii="宋体" w:hAnsi="宋体" w:cs="宋体"/>
                <w:kern w:val="0"/>
                <w:sz w:val="24"/>
                <w:szCs w:val="24"/>
              </w:rPr>
            </w:pPr>
            <w:r>
              <w:rPr>
                <w:rFonts w:ascii="宋体" w:hAnsi="宋体" w:cs="宋体"/>
                <w:kern w:val="0"/>
                <w:sz w:val="24"/>
                <w:szCs w:val="24"/>
              </w:rPr>
              <w:t>0</w:t>
            </w:r>
          </w:p>
        </w:tc>
        <w:tc>
          <w:tcPr>
            <w:tcW w:w="1418" w:type="dxa"/>
            <w:tcBorders>
              <w:top w:val="nil"/>
              <w:left w:val="nil"/>
              <w:bottom w:val="single" w:color="auto" w:sz="4" w:space="0"/>
              <w:right w:val="single" w:color="auto" w:sz="4" w:space="0"/>
            </w:tcBorders>
            <w:vAlign w:val="center"/>
          </w:tcPr>
          <w:p w14:paraId="77FE19AB">
            <w:pPr>
              <w:widowControl/>
              <w:ind w:left="210" w:leftChars="100" w:right="210" w:rightChars="100"/>
              <w:jc w:val="center"/>
              <w:rPr>
                <w:rFonts w:ascii="宋体" w:hAnsi="宋体" w:cs="宋体"/>
                <w:kern w:val="0"/>
                <w:sz w:val="24"/>
                <w:szCs w:val="24"/>
              </w:rPr>
            </w:pPr>
            <w:r>
              <w:rPr>
                <w:rFonts w:ascii="宋体" w:hAnsi="宋体" w:cs="宋体"/>
                <w:kern w:val="0"/>
                <w:sz w:val="24"/>
                <w:szCs w:val="24"/>
              </w:rPr>
              <w:t>0</w:t>
            </w:r>
          </w:p>
        </w:tc>
        <w:tc>
          <w:tcPr>
            <w:tcW w:w="1997" w:type="dxa"/>
            <w:tcBorders>
              <w:top w:val="nil"/>
              <w:left w:val="nil"/>
              <w:bottom w:val="single" w:color="auto" w:sz="4" w:space="0"/>
              <w:right w:val="single" w:color="auto" w:sz="4" w:space="0"/>
            </w:tcBorders>
            <w:vAlign w:val="center"/>
          </w:tcPr>
          <w:p w14:paraId="438E3E46">
            <w:pPr>
              <w:widowControl/>
              <w:ind w:left="210" w:leftChars="100" w:right="210" w:rightChars="100"/>
              <w:jc w:val="center"/>
              <w:rPr>
                <w:rFonts w:ascii="宋体" w:cs="宋体"/>
                <w:kern w:val="0"/>
                <w:sz w:val="24"/>
                <w:szCs w:val="24"/>
              </w:rPr>
            </w:pPr>
            <w:r>
              <w:rPr>
                <w:rFonts w:hint="eastAsia" w:ascii="宋体" w:hAnsi="宋体" w:cs="宋体"/>
                <w:kern w:val="0"/>
                <w:sz w:val="24"/>
                <w:szCs w:val="24"/>
              </w:rPr>
              <w:t>无增减变化</w:t>
            </w:r>
          </w:p>
        </w:tc>
      </w:tr>
      <w:tr w14:paraId="0C2F7F4D">
        <w:tblPrEx>
          <w:tblCellMar>
            <w:top w:w="0" w:type="dxa"/>
            <w:left w:w="108" w:type="dxa"/>
            <w:bottom w:w="0" w:type="dxa"/>
            <w:right w:w="108" w:type="dxa"/>
          </w:tblCellMar>
        </w:tblPrEx>
        <w:trPr>
          <w:trHeight w:val="388" w:hRule="atLeast"/>
        </w:trPr>
        <w:tc>
          <w:tcPr>
            <w:tcW w:w="2199" w:type="dxa"/>
            <w:tcBorders>
              <w:top w:val="nil"/>
              <w:left w:val="single" w:color="auto" w:sz="4" w:space="0"/>
              <w:bottom w:val="single" w:color="auto" w:sz="4" w:space="0"/>
              <w:right w:val="single" w:color="auto" w:sz="4" w:space="0"/>
            </w:tcBorders>
            <w:vAlign w:val="center"/>
          </w:tcPr>
          <w:p w14:paraId="64AF18C4">
            <w:pPr>
              <w:widowControl/>
              <w:ind w:left="210" w:leftChars="100" w:right="210" w:rightChars="100"/>
              <w:jc w:val="center"/>
              <w:rPr>
                <w:rFonts w:ascii="宋体" w:cs="宋体"/>
                <w:kern w:val="0"/>
                <w:sz w:val="24"/>
                <w:szCs w:val="24"/>
              </w:rPr>
            </w:pPr>
            <w:r>
              <w:rPr>
                <w:rFonts w:hint="eastAsia" w:ascii="宋体" w:hAnsi="宋体" w:cs="宋体"/>
                <w:kern w:val="0"/>
                <w:sz w:val="24"/>
                <w:szCs w:val="24"/>
              </w:rPr>
              <w:t>公务用车运行经费</w:t>
            </w:r>
          </w:p>
        </w:tc>
        <w:tc>
          <w:tcPr>
            <w:tcW w:w="2126" w:type="dxa"/>
            <w:tcBorders>
              <w:top w:val="nil"/>
              <w:left w:val="nil"/>
              <w:bottom w:val="single" w:color="auto" w:sz="4" w:space="0"/>
              <w:right w:val="single" w:color="auto" w:sz="4" w:space="0"/>
            </w:tcBorders>
            <w:vAlign w:val="center"/>
          </w:tcPr>
          <w:p w14:paraId="17116C7C">
            <w:pPr>
              <w:widowControl/>
              <w:ind w:left="210" w:leftChars="100" w:right="210" w:rightChars="100"/>
              <w:jc w:val="center"/>
              <w:rPr>
                <w:rFonts w:ascii="宋体" w:cs="Times New Roman"/>
                <w:kern w:val="0"/>
                <w:sz w:val="24"/>
                <w:szCs w:val="24"/>
              </w:rPr>
            </w:pPr>
            <w:r>
              <w:rPr>
                <w:rFonts w:ascii="宋体" w:hAnsi="宋体" w:cs="宋体"/>
                <w:kern w:val="0"/>
                <w:sz w:val="24"/>
                <w:szCs w:val="24"/>
              </w:rPr>
              <w:t>0</w:t>
            </w:r>
          </w:p>
        </w:tc>
        <w:tc>
          <w:tcPr>
            <w:tcW w:w="2268" w:type="dxa"/>
            <w:tcBorders>
              <w:top w:val="nil"/>
              <w:left w:val="nil"/>
              <w:bottom w:val="single" w:color="auto" w:sz="4" w:space="0"/>
              <w:right w:val="single" w:color="auto" w:sz="4" w:space="0"/>
            </w:tcBorders>
            <w:vAlign w:val="center"/>
          </w:tcPr>
          <w:p w14:paraId="3CAD5F9B">
            <w:pPr>
              <w:widowControl/>
              <w:ind w:left="210" w:leftChars="100" w:right="210" w:rightChars="100"/>
              <w:jc w:val="center"/>
              <w:rPr>
                <w:rFonts w:ascii="宋体" w:cs="Times New Roman"/>
                <w:kern w:val="0"/>
                <w:sz w:val="24"/>
                <w:szCs w:val="24"/>
              </w:rPr>
            </w:pPr>
            <w:r>
              <w:rPr>
                <w:rFonts w:ascii="宋体" w:hAnsi="宋体" w:cs="宋体"/>
                <w:kern w:val="0"/>
                <w:sz w:val="24"/>
                <w:szCs w:val="24"/>
              </w:rPr>
              <w:t>0</w:t>
            </w:r>
          </w:p>
        </w:tc>
        <w:tc>
          <w:tcPr>
            <w:tcW w:w="1418" w:type="dxa"/>
            <w:tcBorders>
              <w:top w:val="nil"/>
              <w:left w:val="nil"/>
              <w:bottom w:val="single" w:color="auto" w:sz="4" w:space="0"/>
              <w:right w:val="single" w:color="auto" w:sz="4" w:space="0"/>
            </w:tcBorders>
            <w:vAlign w:val="center"/>
          </w:tcPr>
          <w:p w14:paraId="2B6174CE">
            <w:pPr>
              <w:widowControl/>
              <w:ind w:left="210" w:leftChars="100" w:right="210" w:rightChars="100"/>
              <w:jc w:val="center"/>
              <w:rPr>
                <w:rFonts w:ascii="宋体" w:cs="Times New Roman"/>
                <w:kern w:val="0"/>
                <w:sz w:val="24"/>
                <w:szCs w:val="24"/>
              </w:rPr>
            </w:pPr>
            <w:r>
              <w:rPr>
                <w:rFonts w:hint="eastAsia" w:ascii="宋体" w:hAnsi="宋体" w:cs="宋体"/>
                <w:kern w:val="0"/>
                <w:sz w:val="24"/>
                <w:szCs w:val="24"/>
              </w:rPr>
              <w:t>0</w:t>
            </w:r>
          </w:p>
        </w:tc>
        <w:tc>
          <w:tcPr>
            <w:tcW w:w="1997" w:type="dxa"/>
            <w:tcBorders>
              <w:top w:val="nil"/>
              <w:left w:val="nil"/>
              <w:bottom w:val="single" w:color="auto" w:sz="4" w:space="0"/>
              <w:right w:val="single" w:color="auto" w:sz="4" w:space="0"/>
            </w:tcBorders>
            <w:vAlign w:val="center"/>
          </w:tcPr>
          <w:p w14:paraId="3594CC31">
            <w:pPr>
              <w:widowControl/>
              <w:ind w:left="210" w:leftChars="100" w:right="210" w:rightChars="100"/>
              <w:jc w:val="center"/>
              <w:rPr>
                <w:rFonts w:ascii="宋体" w:cs="Times New Roman"/>
                <w:kern w:val="0"/>
                <w:sz w:val="24"/>
                <w:szCs w:val="24"/>
              </w:rPr>
            </w:pPr>
            <w:r>
              <w:rPr>
                <w:rFonts w:hint="eastAsia" w:ascii="宋体" w:cs="Times New Roman"/>
                <w:kern w:val="0"/>
                <w:sz w:val="24"/>
                <w:szCs w:val="24"/>
              </w:rPr>
              <w:t>无增减变化</w:t>
            </w:r>
          </w:p>
        </w:tc>
      </w:tr>
      <w:tr w14:paraId="61940C69">
        <w:tblPrEx>
          <w:tblCellMar>
            <w:top w:w="0" w:type="dxa"/>
            <w:left w:w="108" w:type="dxa"/>
            <w:bottom w:w="0" w:type="dxa"/>
            <w:right w:w="108" w:type="dxa"/>
          </w:tblCellMar>
        </w:tblPrEx>
        <w:trPr>
          <w:trHeight w:val="489" w:hRule="atLeast"/>
        </w:trPr>
        <w:tc>
          <w:tcPr>
            <w:tcW w:w="2199" w:type="dxa"/>
            <w:tcBorders>
              <w:top w:val="nil"/>
              <w:left w:val="single" w:color="auto" w:sz="4" w:space="0"/>
              <w:bottom w:val="single" w:color="auto" w:sz="4" w:space="0"/>
              <w:right w:val="single" w:color="auto" w:sz="4" w:space="0"/>
            </w:tcBorders>
            <w:vAlign w:val="center"/>
          </w:tcPr>
          <w:p w14:paraId="386F2318">
            <w:pPr>
              <w:widowControl/>
              <w:ind w:left="210" w:leftChars="100" w:right="210" w:rightChars="100"/>
              <w:jc w:val="center"/>
              <w:rPr>
                <w:rFonts w:ascii="宋体" w:cs="宋体"/>
                <w:kern w:val="0"/>
                <w:sz w:val="24"/>
                <w:szCs w:val="24"/>
              </w:rPr>
            </w:pPr>
            <w:r>
              <w:rPr>
                <w:rFonts w:hint="eastAsia" w:ascii="宋体" w:hAnsi="宋体" w:cs="宋体"/>
                <w:kern w:val="0"/>
                <w:sz w:val="24"/>
                <w:szCs w:val="24"/>
              </w:rPr>
              <w:t>公务接待费支出</w:t>
            </w:r>
          </w:p>
        </w:tc>
        <w:tc>
          <w:tcPr>
            <w:tcW w:w="2126" w:type="dxa"/>
            <w:tcBorders>
              <w:top w:val="nil"/>
              <w:left w:val="nil"/>
              <w:bottom w:val="single" w:color="auto" w:sz="4" w:space="0"/>
              <w:right w:val="single" w:color="auto" w:sz="4" w:space="0"/>
            </w:tcBorders>
            <w:vAlign w:val="center"/>
          </w:tcPr>
          <w:p w14:paraId="7AA7F93D">
            <w:pPr>
              <w:widowControl/>
              <w:ind w:left="210" w:leftChars="100" w:right="210" w:rightChars="100"/>
              <w:jc w:val="center"/>
              <w:rPr>
                <w:rFonts w:ascii="宋体" w:cs="Times New Roman"/>
                <w:kern w:val="0"/>
                <w:sz w:val="24"/>
                <w:szCs w:val="24"/>
              </w:rPr>
            </w:pPr>
            <w:r>
              <w:rPr>
                <w:rFonts w:ascii="宋体" w:hAnsi="宋体" w:cs="宋体"/>
                <w:kern w:val="0"/>
                <w:sz w:val="24"/>
                <w:szCs w:val="24"/>
              </w:rPr>
              <w:t>0</w:t>
            </w:r>
          </w:p>
        </w:tc>
        <w:tc>
          <w:tcPr>
            <w:tcW w:w="2268" w:type="dxa"/>
            <w:tcBorders>
              <w:top w:val="nil"/>
              <w:left w:val="nil"/>
              <w:bottom w:val="single" w:color="auto" w:sz="4" w:space="0"/>
              <w:right w:val="single" w:color="auto" w:sz="4" w:space="0"/>
            </w:tcBorders>
            <w:vAlign w:val="center"/>
          </w:tcPr>
          <w:p w14:paraId="2B9B4A70">
            <w:pPr>
              <w:widowControl/>
              <w:ind w:left="210" w:leftChars="100" w:right="210" w:rightChars="100"/>
              <w:jc w:val="center"/>
              <w:rPr>
                <w:rFonts w:ascii="宋体" w:cs="Times New Roman"/>
                <w:kern w:val="0"/>
                <w:sz w:val="24"/>
                <w:szCs w:val="24"/>
              </w:rPr>
            </w:pPr>
            <w:r>
              <w:rPr>
                <w:rFonts w:ascii="宋体" w:hAnsi="宋体" w:cs="宋体"/>
                <w:kern w:val="0"/>
                <w:sz w:val="24"/>
                <w:szCs w:val="24"/>
              </w:rPr>
              <w:t>0</w:t>
            </w:r>
          </w:p>
        </w:tc>
        <w:tc>
          <w:tcPr>
            <w:tcW w:w="1418" w:type="dxa"/>
            <w:tcBorders>
              <w:top w:val="nil"/>
              <w:left w:val="nil"/>
              <w:bottom w:val="single" w:color="auto" w:sz="4" w:space="0"/>
              <w:right w:val="single" w:color="auto" w:sz="4" w:space="0"/>
            </w:tcBorders>
            <w:vAlign w:val="center"/>
          </w:tcPr>
          <w:p w14:paraId="4390F647">
            <w:pPr>
              <w:widowControl/>
              <w:ind w:left="210" w:leftChars="100" w:right="210" w:rightChars="100"/>
              <w:jc w:val="center"/>
              <w:rPr>
                <w:rFonts w:ascii="宋体" w:cs="Times New Roman"/>
                <w:kern w:val="0"/>
                <w:sz w:val="24"/>
                <w:szCs w:val="24"/>
              </w:rPr>
            </w:pPr>
            <w:r>
              <w:rPr>
                <w:rFonts w:ascii="宋体" w:hAnsi="宋体" w:cs="宋体"/>
                <w:kern w:val="0"/>
                <w:sz w:val="24"/>
                <w:szCs w:val="24"/>
              </w:rPr>
              <w:t>0</w:t>
            </w:r>
          </w:p>
        </w:tc>
        <w:tc>
          <w:tcPr>
            <w:tcW w:w="1997" w:type="dxa"/>
            <w:tcBorders>
              <w:top w:val="nil"/>
              <w:left w:val="nil"/>
              <w:bottom w:val="single" w:color="auto" w:sz="4" w:space="0"/>
              <w:right w:val="single" w:color="auto" w:sz="4" w:space="0"/>
            </w:tcBorders>
            <w:vAlign w:val="center"/>
          </w:tcPr>
          <w:p w14:paraId="08FF413E">
            <w:pPr>
              <w:widowControl/>
              <w:ind w:left="210" w:leftChars="100" w:right="210" w:rightChars="100"/>
              <w:jc w:val="center"/>
              <w:rPr>
                <w:rFonts w:ascii="宋体" w:cs="Times New Roman"/>
                <w:kern w:val="0"/>
                <w:sz w:val="24"/>
                <w:szCs w:val="24"/>
              </w:rPr>
            </w:pPr>
            <w:r>
              <w:rPr>
                <w:rFonts w:hint="eastAsia" w:ascii="宋体" w:hAnsi="宋体" w:cs="宋体"/>
                <w:kern w:val="0"/>
                <w:sz w:val="24"/>
                <w:szCs w:val="24"/>
              </w:rPr>
              <w:t>无增减变化</w:t>
            </w:r>
          </w:p>
        </w:tc>
      </w:tr>
      <w:tr w14:paraId="1C164409">
        <w:tblPrEx>
          <w:tblCellMar>
            <w:top w:w="0" w:type="dxa"/>
            <w:left w:w="108" w:type="dxa"/>
            <w:bottom w:w="0" w:type="dxa"/>
            <w:right w:w="108" w:type="dxa"/>
          </w:tblCellMar>
        </w:tblPrEx>
        <w:trPr>
          <w:trHeight w:val="417" w:hRule="atLeast"/>
        </w:trPr>
        <w:tc>
          <w:tcPr>
            <w:tcW w:w="2199" w:type="dxa"/>
            <w:tcBorders>
              <w:top w:val="nil"/>
              <w:left w:val="single" w:color="auto" w:sz="4" w:space="0"/>
              <w:bottom w:val="single" w:color="auto" w:sz="4" w:space="0"/>
              <w:right w:val="single" w:color="auto" w:sz="4" w:space="0"/>
            </w:tcBorders>
            <w:vAlign w:val="center"/>
          </w:tcPr>
          <w:p w14:paraId="2357C675">
            <w:pPr>
              <w:widowControl/>
              <w:ind w:left="210" w:leftChars="100" w:right="210" w:rightChars="100"/>
              <w:jc w:val="center"/>
              <w:rPr>
                <w:rFonts w:ascii="宋体" w:cs="宋体"/>
                <w:kern w:val="0"/>
                <w:sz w:val="24"/>
                <w:szCs w:val="24"/>
              </w:rPr>
            </w:pPr>
            <w:r>
              <w:rPr>
                <w:rFonts w:hint="eastAsia" w:ascii="宋体" w:hAnsi="宋体" w:cs="宋体"/>
                <w:kern w:val="0"/>
                <w:sz w:val="24"/>
                <w:szCs w:val="24"/>
              </w:rPr>
              <w:t>合计</w:t>
            </w:r>
          </w:p>
        </w:tc>
        <w:tc>
          <w:tcPr>
            <w:tcW w:w="2126" w:type="dxa"/>
            <w:tcBorders>
              <w:top w:val="nil"/>
              <w:left w:val="nil"/>
              <w:bottom w:val="single" w:color="auto" w:sz="4" w:space="0"/>
              <w:right w:val="single" w:color="auto" w:sz="4" w:space="0"/>
            </w:tcBorders>
            <w:vAlign w:val="center"/>
          </w:tcPr>
          <w:p w14:paraId="0FCA0553">
            <w:pPr>
              <w:widowControl/>
              <w:ind w:left="210" w:leftChars="100" w:right="210" w:rightChars="100"/>
              <w:jc w:val="center"/>
              <w:rPr>
                <w:rFonts w:ascii="宋体" w:cs="Times New Roman"/>
                <w:kern w:val="0"/>
                <w:sz w:val="24"/>
                <w:szCs w:val="24"/>
              </w:rPr>
            </w:pPr>
            <w:r>
              <w:rPr>
                <w:rFonts w:ascii="宋体" w:hAnsi="宋体" w:cs="宋体"/>
                <w:kern w:val="0"/>
                <w:sz w:val="24"/>
                <w:szCs w:val="24"/>
              </w:rPr>
              <w:t>0</w:t>
            </w:r>
          </w:p>
        </w:tc>
        <w:tc>
          <w:tcPr>
            <w:tcW w:w="2268" w:type="dxa"/>
            <w:tcBorders>
              <w:top w:val="nil"/>
              <w:left w:val="nil"/>
              <w:bottom w:val="single" w:color="auto" w:sz="4" w:space="0"/>
              <w:right w:val="single" w:color="auto" w:sz="4" w:space="0"/>
            </w:tcBorders>
            <w:vAlign w:val="center"/>
          </w:tcPr>
          <w:p w14:paraId="4FC7C5D3">
            <w:pPr>
              <w:widowControl/>
              <w:ind w:left="210" w:leftChars="100" w:right="210" w:rightChars="100"/>
              <w:jc w:val="center"/>
              <w:rPr>
                <w:rFonts w:ascii="宋体" w:cs="Times New Roman"/>
                <w:kern w:val="0"/>
                <w:sz w:val="24"/>
                <w:szCs w:val="24"/>
              </w:rPr>
            </w:pPr>
            <w:r>
              <w:rPr>
                <w:rFonts w:ascii="宋体" w:hAnsi="宋体" w:cs="宋体"/>
                <w:kern w:val="0"/>
                <w:sz w:val="24"/>
                <w:szCs w:val="24"/>
              </w:rPr>
              <w:t>0</w:t>
            </w:r>
          </w:p>
        </w:tc>
        <w:tc>
          <w:tcPr>
            <w:tcW w:w="1418" w:type="dxa"/>
            <w:tcBorders>
              <w:top w:val="nil"/>
              <w:left w:val="nil"/>
              <w:bottom w:val="single" w:color="auto" w:sz="4" w:space="0"/>
              <w:right w:val="single" w:color="auto" w:sz="4" w:space="0"/>
            </w:tcBorders>
            <w:vAlign w:val="center"/>
          </w:tcPr>
          <w:p w14:paraId="007B8F4D">
            <w:pPr>
              <w:widowControl/>
              <w:ind w:left="210" w:leftChars="100" w:right="210" w:rightChars="100"/>
              <w:jc w:val="center"/>
              <w:rPr>
                <w:rFonts w:ascii="宋体" w:cs="Times New Roman"/>
                <w:kern w:val="0"/>
                <w:sz w:val="24"/>
                <w:szCs w:val="24"/>
              </w:rPr>
            </w:pPr>
            <w:r>
              <w:rPr>
                <w:rFonts w:ascii="宋体" w:hAnsi="宋体" w:cs="宋体"/>
                <w:kern w:val="0"/>
                <w:sz w:val="24"/>
                <w:szCs w:val="24"/>
              </w:rPr>
              <w:t>0</w:t>
            </w:r>
          </w:p>
        </w:tc>
        <w:tc>
          <w:tcPr>
            <w:tcW w:w="1997" w:type="dxa"/>
            <w:tcBorders>
              <w:top w:val="nil"/>
              <w:left w:val="nil"/>
              <w:bottom w:val="single" w:color="auto" w:sz="4" w:space="0"/>
              <w:right w:val="single" w:color="auto" w:sz="4" w:space="0"/>
            </w:tcBorders>
            <w:vAlign w:val="center"/>
          </w:tcPr>
          <w:p w14:paraId="0BECD777">
            <w:pPr>
              <w:widowControl/>
              <w:ind w:left="210" w:leftChars="100" w:right="210" w:rightChars="100"/>
              <w:jc w:val="center"/>
              <w:rPr>
                <w:rFonts w:ascii="宋体" w:cs="Times New Roman"/>
                <w:kern w:val="0"/>
                <w:sz w:val="24"/>
                <w:szCs w:val="24"/>
              </w:rPr>
            </w:pPr>
            <w:r>
              <w:rPr>
                <w:rFonts w:hint="eastAsia" w:ascii="宋体" w:hAnsi="宋体" w:cs="宋体"/>
                <w:kern w:val="0"/>
                <w:sz w:val="24"/>
                <w:szCs w:val="24"/>
              </w:rPr>
              <w:t>无增减变化</w:t>
            </w:r>
          </w:p>
        </w:tc>
      </w:tr>
    </w:tbl>
    <w:p w14:paraId="7D2CE05D">
      <w:pPr>
        <w:spacing w:line="500" w:lineRule="exact"/>
        <w:ind w:left="210" w:leftChars="100" w:right="210" w:rightChars="100" w:firstLine="627" w:firstLineChars="196"/>
        <w:jc w:val="center"/>
        <w:outlineLvl w:val="0"/>
        <w:rPr>
          <w:rFonts w:ascii="黑体" w:hAnsi="黑体" w:eastAsia="黑体" w:cs="Times New Roman"/>
          <w:sz w:val="32"/>
          <w:szCs w:val="32"/>
        </w:rPr>
      </w:pPr>
    </w:p>
    <w:p w14:paraId="2A505183">
      <w:pPr>
        <w:spacing w:line="500" w:lineRule="exact"/>
        <w:ind w:right="210" w:rightChars="100" w:firstLine="800" w:firstLineChars="250"/>
        <w:jc w:val="center"/>
        <w:outlineLvl w:val="0"/>
        <w:rPr>
          <w:rFonts w:ascii="黑体" w:hAnsi="黑体" w:eastAsia="黑体" w:cs="Times New Roman"/>
          <w:sz w:val="32"/>
          <w:szCs w:val="32"/>
        </w:rPr>
      </w:pPr>
      <w:r>
        <w:rPr>
          <w:rFonts w:hint="eastAsia" w:ascii="黑体" w:hAnsi="黑体" w:eastAsia="黑体" w:cs="黑体"/>
          <w:sz w:val="32"/>
          <w:szCs w:val="32"/>
        </w:rPr>
        <w:t>第六部分：名词解释</w:t>
      </w:r>
    </w:p>
    <w:p w14:paraId="3F1C7794">
      <w:pPr>
        <w:spacing w:line="500" w:lineRule="exact"/>
        <w:ind w:left="210" w:leftChars="100" w:right="210" w:rightChars="100"/>
        <w:jc w:val="center"/>
        <w:outlineLvl w:val="0"/>
        <w:rPr>
          <w:rFonts w:ascii="仿宋" w:hAnsi="仿宋" w:eastAsia="仿宋" w:cs="Times New Roman"/>
          <w:b/>
          <w:bCs/>
          <w:sz w:val="32"/>
          <w:szCs w:val="32"/>
        </w:rPr>
      </w:pPr>
    </w:p>
    <w:p w14:paraId="6581810F">
      <w:pPr>
        <w:spacing w:line="500" w:lineRule="exact"/>
        <w:ind w:left="210" w:leftChars="100" w:right="210" w:rightChars="100"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1</w:t>
      </w:r>
      <w:r>
        <w:rPr>
          <w:rFonts w:hint="eastAsia" w:ascii="仿宋" w:hAnsi="仿宋" w:eastAsia="仿宋" w:cs="仿宋"/>
          <w:b/>
          <w:bCs/>
          <w:sz w:val="32"/>
          <w:szCs w:val="32"/>
        </w:rPr>
        <w:t>、财政拨款收入：</w:t>
      </w:r>
      <w:r>
        <w:rPr>
          <w:rFonts w:hint="eastAsia" w:ascii="仿宋" w:hAnsi="仿宋" w:eastAsia="仿宋" w:cs="仿宋"/>
          <w:sz w:val="32"/>
          <w:szCs w:val="32"/>
        </w:rPr>
        <w:t>指县级财政当年拨付的资金。</w:t>
      </w:r>
    </w:p>
    <w:p w14:paraId="496B233E">
      <w:pPr>
        <w:spacing w:line="500" w:lineRule="exact"/>
        <w:ind w:left="210" w:leftChars="100" w:right="210" w:rightChars="100"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2</w:t>
      </w:r>
      <w:r>
        <w:rPr>
          <w:rFonts w:hint="eastAsia" w:ascii="仿宋" w:hAnsi="仿宋" w:eastAsia="仿宋" w:cs="仿宋"/>
          <w:b/>
          <w:bCs/>
          <w:sz w:val="32"/>
          <w:szCs w:val="32"/>
        </w:rPr>
        <w:t>、其他收入：</w:t>
      </w:r>
      <w:r>
        <w:rPr>
          <w:rFonts w:hint="eastAsia" w:ascii="仿宋" w:hAnsi="仿宋" w:eastAsia="仿宋" w:cs="仿宋"/>
          <w:sz w:val="32"/>
          <w:szCs w:val="32"/>
        </w:rPr>
        <w:t>指除上述“财政拨款收入”、以外的收入。</w:t>
      </w:r>
    </w:p>
    <w:p w14:paraId="5DDFFFE6">
      <w:pPr>
        <w:spacing w:line="500" w:lineRule="exact"/>
        <w:ind w:left="210" w:leftChars="100" w:right="210" w:rightChars="100"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3</w:t>
      </w:r>
      <w:r>
        <w:rPr>
          <w:rFonts w:hint="eastAsia" w:ascii="仿宋" w:hAnsi="仿宋" w:eastAsia="仿宋" w:cs="仿宋"/>
          <w:b/>
          <w:bCs/>
          <w:sz w:val="32"/>
          <w:szCs w:val="32"/>
        </w:rPr>
        <w:t>、基本支出：</w:t>
      </w:r>
      <w:r>
        <w:rPr>
          <w:rFonts w:hint="eastAsia" w:ascii="仿宋" w:hAnsi="仿宋" w:eastAsia="仿宋" w:cs="仿宋"/>
          <w:sz w:val="32"/>
          <w:szCs w:val="32"/>
        </w:rPr>
        <w:t>指为保障机构正常运转、完成日常工作任务而发生的人员支出和公用支出。</w:t>
      </w:r>
    </w:p>
    <w:p w14:paraId="50250252">
      <w:pPr>
        <w:spacing w:line="500" w:lineRule="exact"/>
        <w:ind w:left="210" w:leftChars="100" w:right="210" w:rightChars="100"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4</w:t>
      </w:r>
      <w:r>
        <w:rPr>
          <w:rFonts w:hint="eastAsia" w:ascii="仿宋" w:hAnsi="仿宋" w:eastAsia="仿宋" w:cs="仿宋"/>
          <w:b/>
          <w:bCs/>
          <w:sz w:val="32"/>
          <w:szCs w:val="32"/>
        </w:rPr>
        <w:t>、项目支出：</w:t>
      </w:r>
      <w:r>
        <w:rPr>
          <w:rFonts w:hint="eastAsia" w:ascii="仿宋" w:hAnsi="仿宋" w:eastAsia="仿宋" w:cs="仿宋"/>
          <w:sz w:val="32"/>
          <w:szCs w:val="32"/>
        </w:rPr>
        <w:t>指在基本支出之外为完成特定行政任务和事业发展目标所发生的支出。</w:t>
      </w:r>
    </w:p>
    <w:p w14:paraId="3FC1011A">
      <w:pPr>
        <w:spacing w:line="500" w:lineRule="exact"/>
        <w:ind w:left="210" w:leftChars="100" w:right="210" w:rightChars="100"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5</w:t>
      </w:r>
      <w:r>
        <w:rPr>
          <w:rFonts w:hint="eastAsia" w:ascii="仿宋" w:hAnsi="仿宋" w:eastAsia="仿宋" w:cs="仿宋"/>
          <w:b/>
          <w:bCs/>
          <w:sz w:val="32"/>
          <w:szCs w:val="32"/>
        </w:rPr>
        <w:t>、“三公”经费：</w:t>
      </w:r>
      <w:r>
        <w:rPr>
          <w:rFonts w:hint="eastAsia" w:ascii="仿宋" w:hAnsi="仿宋" w:eastAsia="仿宋" w:cs="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0385AE04">
      <w:pPr>
        <w:ind w:left="210" w:leftChars="100" w:right="210" w:rightChars="100" w:firstLine="803" w:firstLineChars="250"/>
        <w:rPr>
          <w:rFonts w:ascii="仿宋" w:hAnsi="仿宋" w:eastAsia="仿宋" w:cs="Times New Roman"/>
          <w:sz w:val="32"/>
          <w:szCs w:val="32"/>
        </w:rPr>
      </w:pPr>
      <w:r>
        <w:rPr>
          <w:rFonts w:ascii="仿宋" w:hAnsi="仿宋" w:eastAsia="仿宋" w:cs="仿宋"/>
          <w:b/>
          <w:bCs/>
          <w:sz w:val="32"/>
          <w:szCs w:val="32"/>
        </w:rPr>
        <w:t>6</w:t>
      </w:r>
      <w:r>
        <w:rPr>
          <w:rFonts w:hint="eastAsia" w:ascii="仿宋" w:hAnsi="仿宋" w:eastAsia="仿宋" w:cs="仿宋"/>
          <w:b/>
          <w:bCs/>
          <w:sz w:val="32"/>
          <w:szCs w:val="32"/>
        </w:rPr>
        <w:t>、机关运行费：</w:t>
      </w:r>
      <w:r>
        <w:rPr>
          <w:rFonts w:hint="eastAsia" w:ascii="仿宋" w:hAnsi="仿宋" w:eastAsia="仿宋" w:cs="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FF92E99">
      <w:pPr>
        <w:ind w:left="210" w:leftChars="100" w:right="210" w:rightChars="100" w:firstLine="803" w:firstLineChars="250"/>
        <w:rPr>
          <w:rFonts w:ascii="仿宋" w:hAnsi="仿宋" w:eastAsia="仿宋" w:cs="Times New Roman"/>
          <w:sz w:val="32"/>
          <w:szCs w:val="32"/>
        </w:rPr>
      </w:pPr>
      <w:r>
        <w:rPr>
          <w:rFonts w:ascii="仿宋" w:hAnsi="仿宋" w:eastAsia="仿宋" w:cs="仿宋"/>
          <w:b/>
          <w:bCs/>
          <w:sz w:val="32"/>
          <w:szCs w:val="32"/>
        </w:rPr>
        <w:t>7</w:t>
      </w:r>
      <w:r>
        <w:rPr>
          <w:rFonts w:hint="eastAsia" w:ascii="仿宋" w:hAnsi="仿宋" w:eastAsia="仿宋" w:cs="仿宋"/>
          <w:b/>
          <w:bCs/>
          <w:sz w:val="32"/>
          <w:szCs w:val="32"/>
        </w:rPr>
        <w:t>、公务费：</w:t>
      </w:r>
      <w:r>
        <w:rPr>
          <w:rFonts w:hint="eastAsia" w:ascii="仿宋" w:hAnsi="仿宋" w:eastAsia="仿宋" w:cs="仿宋"/>
          <w:sz w:val="32"/>
          <w:szCs w:val="32"/>
        </w:rPr>
        <w:t>包括办公费、水电费、邮电费、取暖费、交通费、一般会议费和物业管理费之和。</w:t>
      </w:r>
    </w:p>
    <w:p w14:paraId="6FB52A8C">
      <w:pPr>
        <w:spacing w:line="500" w:lineRule="exact"/>
        <w:ind w:left="210" w:leftChars="100" w:right="210" w:rightChars="100" w:firstLine="627" w:firstLineChars="196"/>
        <w:jc w:val="center"/>
        <w:outlineLvl w:val="0"/>
        <w:rPr>
          <w:rFonts w:ascii="黑体" w:hAnsi="黑体" w:eastAsia="黑体" w:cs="Times New Roman"/>
          <w:sz w:val="32"/>
          <w:szCs w:val="32"/>
        </w:rPr>
      </w:pPr>
    </w:p>
    <w:p w14:paraId="4020F426">
      <w:pPr>
        <w:spacing w:line="500" w:lineRule="exact"/>
        <w:ind w:left="210" w:leftChars="100" w:right="210" w:rightChars="100"/>
        <w:jc w:val="center"/>
        <w:outlineLvl w:val="0"/>
        <w:rPr>
          <w:rFonts w:ascii="黑体" w:hAnsi="黑体" w:eastAsia="黑体" w:cs="Times New Roman"/>
          <w:sz w:val="32"/>
          <w:szCs w:val="32"/>
        </w:rPr>
      </w:pPr>
      <w:r>
        <w:rPr>
          <w:rFonts w:hint="eastAsia" w:ascii="黑体" w:hAnsi="黑体" w:eastAsia="黑体" w:cs="黑体"/>
          <w:sz w:val="32"/>
          <w:szCs w:val="32"/>
        </w:rPr>
        <w:t>第七部分：其他需说明的事项</w:t>
      </w:r>
    </w:p>
    <w:p w14:paraId="6F462803">
      <w:pPr>
        <w:spacing w:line="500" w:lineRule="exact"/>
        <w:ind w:left="210" w:leftChars="100" w:right="210" w:rightChars="100"/>
        <w:jc w:val="left"/>
        <w:outlineLvl w:val="0"/>
        <w:rPr>
          <w:rFonts w:ascii="黑体" w:hAnsi="黑体" w:eastAsia="黑体" w:cs="Times New Roman"/>
          <w:sz w:val="32"/>
          <w:szCs w:val="32"/>
        </w:rPr>
      </w:pPr>
      <w:r>
        <w:rPr>
          <w:rFonts w:ascii="仿宋" w:hAnsi="仿宋" w:eastAsia="仿宋" w:cs="仿宋"/>
          <w:sz w:val="32"/>
          <w:szCs w:val="32"/>
        </w:rPr>
        <w:t xml:space="preserve">    </w:t>
      </w:r>
      <w:r>
        <w:rPr>
          <w:rFonts w:hint="eastAsia" w:ascii="仿宋" w:hAnsi="仿宋" w:eastAsia="仿宋" w:cs="仿宋"/>
          <w:sz w:val="32"/>
          <w:szCs w:val="32"/>
        </w:rPr>
        <w:t>我单位无其他需说明的事项。</w:t>
      </w:r>
    </w:p>
    <w:p w14:paraId="620373B4">
      <w:pPr>
        <w:ind w:left="210" w:leftChars="100" w:right="210" w:rightChars="100" w:firstLine="800" w:firstLineChars="250"/>
        <w:rPr>
          <w:rFonts w:ascii="仿宋" w:hAnsi="仿宋" w:eastAsia="仿宋" w:cs="Times New Roman"/>
          <w:sz w:val="32"/>
          <w:szCs w:val="32"/>
        </w:rPr>
      </w:pPr>
    </w:p>
    <w:p w14:paraId="11BABCE1">
      <w:pPr>
        <w:ind w:left="210" w:leftChars="100" w:right="210" w:rightChars="100"/>
        <w:rPr>
          <w:rFonts w:ascii="仿宋" w:hAnsi="仿宋" w:eastAsia="仿宋" w:cs="仿宋"/>
          <w:sz w:val="32"/>
          <w:szCs w:val="32"/>
        </w:rPr>
      </w:pPr>
      <w:r>
        <w:rPr>
          <w:rFonts w:ascii="仿宋" w:hAnsi="仿宋" w:eastAsia="仿宋" w:cs="仿宋"/>
          <w:sz w:val="32"/>
          <w:szCs w:val="32"/>
        </w:rPr>
        <w:t xml:space="preserve">                                     </w:t>
      </w:r>
    </w:p>
    <w:p w14:paraId="1BE0350E">
      <w:pPr>
        <w:ind w:left="210" w:leftChars="100" w:right="210" w:rightChars="100"/>
        <w:rPr>
          <w:rFonts w:cs="Times New Roman"/>
        </w:rPr>
      </w:pPr>
    </w:p>
    <w:p w14:paraId="03DE0EE3">
      <w:pPr>
        <w:ind w:left="210" w:leftChars="100" w:right="210" w:rightChars="100"/>
        <w:rPr>
          <w:rFonts w:cs="Times New Roman"/>
        </w:rPr>
      </w:pPr>
    </w:p>
    <w:sectPr>
      <w:pgSz w:w="11907" w:h="16839"/>
      <w:pgMar w:top="1531" w:right="1134" w:bottom="1474" w:left="1134"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modern"/>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微软雅黑">
    <w:altName w:val="黑体"/>
    <w:panose1 w:val="020B0503020204020204"/>
    <w:charset w:val="86"/>
    <w:family w:val="modern"/>
    <w:pitch w:val="default"/>
    <w:sig w:usb0="00000000" w:usb1="00000000" w:usb2="00000016" w:usb3="00000000" w:csb0="0004001F" w:csb1="00000000"/>
  </w:font>
  <w:font w:name="仿宋">
    <w:panose1 w:val="02010609060101010101"/>
    <w:charset w:val="86"/>
    <w:family w:val="roman"/>
    <w:pitch w:val="default"/>
    <w:sig w:usb0="800002BF" w:usb1="38CF7CFA" w:usb2="00000016" w:usb3="00000000" w:csb0="00040001" w:csb1="00000000"/>
  </w:font>
  <w:font w:name="方正仿宋_GBK">
    <w:panose1 w:val="02000000000000000000"/>
    <w:charset w:val="86"/>
    <w:family w:val="decorative"/>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A5901"/>
    <w:multiLevelType w:val="singleLevel"/>
    <w:tmpl w:val="594A5901"/>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54809EC"/>
    <w:rsid w:val="00034D31"/>
    <w:rsid w:val="00107BFB"/>
    <w:rsid w:val="00190D77"/>
    <w:rsid w:val="001C2686"/>
    <w:rsid w:val="00383C43"/>
    <w:rsid w:val="00397420"/>
    <w:rsid w:val="003D524A"/>
    <w:rsid w:val="004F0372"/>
    <w:rsid w:val="00697528"/>
    <w:rsid w:val="00705929"/>
    <w:rsid w:val="007D1F4D"/>
    <w:rsid w:val="00823498"/>
    <w:rsid w:val="00B12629"/>
    <w:rsid w:val="00B2748B"/>
    <w:rsid w:val="00B82F55"/>
    <w:rsid w:val="00BA3305"/>
    <w:rsid w:val="00D24EE8"/>
    <w:rsid w:val="00DE5380"/>
    <w:rsid w:val="00E6602A"/>
    <w:rsid w:val="00F577FB"/>
    <w:rsid w:val="00F6388D"/>
    <w:rsid w:val="00FA0939"/>
    <w:rsid w:val="054809EC"/>
    <w:rsid w:val="0670611D"/>
    <w:rsid w:val="07172A47"/>
    <w:rsid w:val="071B7272"/>
    <w:rsid w:val="07641EAE"/>
    <w:rsid w:val="077C7554"/>
    <w:rsid w:val="0A756A25"/>
    <w:rsid w:val="0B052D5A"/>
    <w:rsid w:val="0BB916E7"/>
    <w:rsid w:val="10E51AC5"/>
    <w:rsid w:val="11C32343"/>
    <w:rsid w:val="1E1A4FF0"/>
    <w:rsid w:val="1F3D76D1"/>
    <w:rsid w:val="22BA201C"/>
    <w:rsid w:val="295578EA"/>
    <w:rsid w:val="29D71FB3"/>
    <w:rsid w:val="2A074B57"/>
    <w:rsid w:val="2A096218"/>
    <w:rsid w:val="2A6E6875"/>
    <w:rsid w:val="30684E90"/>
    <w:rsid w:val="30701C8C"/>
    <w:rsid w:val="35A50AAF"/>
    <w:rsid w:val="3A034777"/>
    <w:rsid w:val="43765B28"/>
    <w:rsid w:val="44675ACB"/>
    <w:rsid w:val="4743487A"/>
    <w:rsid w:val="518B2B28"/>
    <w:rsid w:val="52E3761B"/>
    <w:rsid w:val="5C480A98"/>
    <w:rsid w:val="5C710D05"/>
    <w:rsid w:val="5E9750D5"/>
    <w:rsid w:val="64172AB8"/>
    <w:rsid w:val="6796587F"/>
    <w:rsid w:val="67D469E8"/>
    <w:rsid w:val="6BAD6781"/>
    <w:rsid w:val="726C11D6"/>
    <w:rsid w:val="796B05E1"/>
    <w:rsid w:val="7A7AE3D9"/>
    <w:rsid w:val="DF5F277E"/>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customStyle="1" w:styleId="7">
    <w:name w:val="列出段落1"/>
    <w:basedOn w:val="1"/>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character" w:customStyle="1" w:styleId="8">
    <w:name w:val="页眉 Char"/>
    <w:basedOn w:val="6"/>
    <w:link w:val="3"/>
    <w:semiHidden/>
    <w:qFormat/>
    <w:uiPriority w:val="99"/>
    <w:rPr>
      <w:rFonts w:cs="Calibri"/>
      <w:kern w:val="2"/>
      <w:sz w:val="18"/>
      <w:szCs w:val="18"/>
    </w:rPr>
  </w:style>
  <w:style w:type="character" w:customStyle="1" w:styleId="9">
    <w:name w:val="页脚 Char"/>
    <w:basedOn w:val="6"/>
    <w:link w:val="2"/>
    <w:semiHidden/>
    <w:qFormat/>
    <w:uiPriority w:val="99"/>
    <w:rPr>
      <w:rFonts w:cs="Calibri"/>
      <w:kern w:val="2"/>
      <w:sz w:val="18"/>
      <w:szCs w:val="18"/>
    </w:rPr>
  </w:style>
  <w:style w:type="paragraph" w:customStyle="1"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111</Company>
  <Pages>12</Pages>
  <Words>4767</Words>
  <Characters>857</Characters>
  <Lines>7</Lines>
  <Paragraphs>11</Paragraphs>
  <TotalTime>5</TotalTime>
  <ScaleCrop>false</ScaleCrop>
  <LinksUpToDate>false</LinksUpToDate>
  <CharactersWithSpaces>5613</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2017-06-22T04:38:00Z</dcterms:created>
  <dc:creator>n</dc:creator>
  <cp:lastModifiedBy>kylin</cp:lastModifiedBy>
  <dcterms:modified xsi:type="dcterms:W3CDTF">2026-04-23T16:50:22Z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60284050F35541D4A6D591646B012DA4_13</vt:lpwstr>
  </property>
</Properties>
</file>