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4E911">
      <w:pPr>
        <w:tabs>
          <w:tab w:val="left" w:pos="720"/>
        </w:tabs>
        <w:spacing w:line="480" w:lineRule="exact"/>
        <w:rPr>
          <w:rFonts w:ascii="仿宋" w:hAnsi="仿宋" w:eastAsia="仿宋"/>
          <w:sz w:val="32"/>
          <w:szCs w:val="32"/>
        </w:rPr>
      </w:pPr>
    </w:p>
    <w:p w14:paraId="27410563">
      <w:pPr>
        <w:tabs>
          <w:tab w:val="left" w:pos="720"/>
        </w:tabs>
        <w:spacing w:line="480" w:lineRule="exact"/>
        <w:rPr>
          <w:rFonts w:ascii="仿宋" w:hAnsi="仿宋" w:eastAsia="仿宋"/>
          <w:sz w:val="32"/>
          <w:szCs w:val="32"/>
        </w:rPr>
      </w:pPr>
    </w:p>
    <w:p w14:paraId="5892D0B5">
      <w:pPr>
        <w:tabs>
          <w:tab w:val="left" w:pos="720"/>
        </w:tabs>
        <w:spacing w:line="480" w:lineRule="exact"/>
        <w:rPr>
          <w:rFonts w:ascii="仿宋" w:hAnsi="仿宋" w:eastAsia="仿宋"/>
          <w:sz w:val="32"/>
          <w:szCs w:val="32"/>
        </w:rPr>
      </w:pPr>
    </w:p>
    <w:p w14:paraId="4D47CFB5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4A20C390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28F036BA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6F0DDA40">
      <w:pPr>
        <w:tabs>
          <w:tab w:val="left" w:pos="720"/>
        </w:tabs>
        <w:spacing w:line="480" w:lineRule="exact"/>
        <w:rPr>
          <w:rFonts w:hint="default" w:ascii="仿宋" w:hAnsi="仿宋" w:eastAsia="仿宋"/>
          <w:sz w:val="32"/>
          <w:szCs w:val="32"/>
          <w:lang w:val="en-US"/>
        </w:rPr>
      </w:pPr>
      <w:r>
        <w:rPr>
          <w:rFonts w:hint="eastAsia" w:ascii="仿宋" w:hAnsi="仿宋" w:eastAsia="仿宋"/>
          <w:sz w:val="32"/>
          <w:szCs w:val="32"/>
        </w:rPr>
        <w:t>曲市监字（2022）第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 xml:space="preserve">号         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 xml:space="preserve">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  签发人: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王民央</w:t>
      </w:r>
    </w:p>
    <w:p w14:paraId="158F43CA">
      <w:pPr>
        <w:spacing w:line="220" w:lineRule="atLeast"/>
        <w:ind w:firstLine="883" w:firstLineChars="20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2A5A421B">
      <w:pPr>
        <w:spacing w:line="220" w:lineRule="atLeast"/>
        <w:ind w:firstLine="883" w:firstLineChars="200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曲阳县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市场监督管理局</w:t>
      </w:r>
    </w:p>
    <w:p w14:paraId="636B4D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0"/>
          <w:sz w:val="44"/>
          <w:szCs w:val="44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0"/>
          <w:sz w:val="44"/>
          <w:szCs w:val="44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关于印发2022年“双随机、一公开”监管工作实施方案的</w:t>
      </w:r>
    </w:p>
    <w:p w14:paraId="219BD6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0"/>
          <w:sz w:val="44"/>
          <w:szCs w:val="44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0"/>
          <w:sz w:val="44"/>
          <w:szCs w:val="44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通 知</w:t>
      </w:r>
    </w:p>
    <w:p w14:paraId="04C60B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44"/>
          <w:szCs w:val="44"/>
          <w:u w:val="none"/>
          <w:lang w:val="en-US" w:eastAsia="zh-CN" w:bidi="ar"/>
        </w:rPr>
      </w:pPr>
    </w:p>
    <w:p w14:paraId="14E3DD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为认真贯彻落实上级部门关于“双随机、一公开”监管工作的部署要求，持续优化营商环境，进一步深化“放管服”改革，推进“双随机、一公开”监管与企业信用风险分级分类深度融合，实现市场监管部门内部联合“双随机、一公开”监管抽查事项全覆盖、监管方式常态化、抽查检查规范化精准化，制定本方案。</w:t>
      </w:r>
    </w:p>
    <w:p w14:paraId="45ECB12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一、工作目标</w:t>
      </w:r>
    </w:p>
    <w:p w14:paraId="7ADFDD5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进一步完善我县市场监管系统内部“双随机、一公开”监管工作机制，加强“双随机、一公开”监管规范化建设，确保“双随机、一公开”监管全覆盖、常态化、规范化。综合运用企业信用风险分级分类结果，大力实施差异化随机抽查，提高抽查检查发现问题率，提升监管的精准性和靶向性。全县年度抽查企业占比达到3%以上,抽查结果公示率达到100%,抽查检查发现问题后续处理到位，联合惩戒到位。</w:t>
      </w:r>
    </w:p>
    <w:p w14:paraId="0E50FF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二、主要工作任务</w:t>
      </w:r>
    </w:p>
    <w:p w14:paraId="6D2CBA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（一）完善“一单两库”。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各业务股室要在新的河北省双随机监管工作平台（以下简称新平台）上线运行后，及时结合“三定”规定明确的监管职责，对照全系统随机抽查事项清单，对涉及本业务条线监管事权的事项进行认领，为开展随机抽查打好基础。各相关股、所要对检查对象名录库和执法检查人员名录库实施动态调整，结合行业分类、重点领域和监管工作需求，对检查对象名录库进行分类标注；综合考虑执法队伍实际、内部职能划分、执法人员专长等因素，对执法人员名录进行分类标注，对确需委托专业人员（机构）参加抽查，也要通过分类标注方式建立专门的专家库，提升人员匹配的科学性、精准性，确保抽查检查的高效性。此项工作要于3月底前完成。</w:t>
      </w:r>
    </w:p>
    <w:p w14:paraId="6532A21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（二）规范抽查检查工作程序。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依据省、市局的工作安排，结合我县实际与工作需求，各业务股室条线有具体双随机抽查工作计划安排的，要严格按照规范化要求，履行相关工作程序，报县局备案。各股、所要严格按照程序实施随机抽查检查。根据所涉及到的抽查对象范围和检查事项，通过河北省双随机监管工作平台，从检查对象名录库中随机抽取检查对象，抽取的过程要确保公开、公正，并根据实际情况随机匹配执法检查人员。涉及专业领域的，可以委托有资质的机构开展检验检测、财务审计、调查咨询等工作，或依法采用相关机构作出的鉴定结论。要严格按照《随机抽查工作规范——河北省地方标准》开展抽查检查，规范随机抽查工作程序。抽查结束后，要及时将相关抽查资料归档，确保档案资料齐全，签字完整，提高“双随机、一公开”监管规范化水平。</w:t>
      </w:r>
    </w:p>
    <w:p w14:paraId="10DA0D1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（三）加强系统内部联合抽查，提升监管精准性。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要结合行业领域特点和被检查对象所涉及抽查事项的交集度，科学合理组织开展系统内部联合抽查，实现“进一次门，查多项事”，减少对企业正常经营的干扰。要充分运用企业信用风险分级分类结果，根据不同信用风险等级实施差异化抽查，提高抽查检查问题发现率，确保“双随机”抽查的精准性和震慑力，推进智慧监管、精准监管。</w:t>
      </w:r>
    </w:p>
    <w:p w14:paraId="19347C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（四）强化结果运用，做好后续处置。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要本着“谁检查、谁录入、谁公示”的原则，在检查结束后 20 个工作日内录入检查结果并向社会公示。要认真做好随机抽查后续处置工作，及时将后续处理结果录入平台，涉及其他部门监管职责的要及时抄告、移送，涉嫌犯罪的要移送司法机关，防止后续监管脱节。要对抽查中发现的违法违规行为加大惩戒力度，实施联合惩戒，促进“双随机、一公开”监管与信用监管有效衔接，增强市场主体诚信守法经营意识。市局、县局将在每次抽查任务结束后，通过对抽查工作进行回访、调取后台抽查数据等方式进行督导，督导情况视情通报全系统，并作为年度考核依据。</w:t>
      </w:r>
    </w:p>
    <w:p w14:paraId="1283569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（五）加大宣传培训力度。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要加大对“双随机、一公开”监管政策的宣传力度，多种形式宣传解读推进“双随机、一公开”监管工作的重大意义和政策措施，将双随机抽查的操作流程、检查标准、失信行为惩戒等向社会、市场主体开展普法宣传，提高市场主体对双随机抽查的认知度，促进全社会对监管对象、政府监管行为的监督。要加强基层执法人员业务培训，重点抓好随机抽查工作规范——河北省地方标准、抽查检查工作指引等内容培训，提升基层执法人员各领域抽查检查水平和发现问题能力。同时，以新平台上线为契机，着重抓好新平台操作使用培训，培养一批业务能力强、综合素质高、“一专多能”的执法人员。</w:t>
      </w:r>
    </w:p>
    <w:p w14:paraId="7608762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三、工作要求</w:t>
      </w:r>
    </w:p>
    <w:p w14:paraId="4D18420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（一）加强组织领导。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为加强我局“双随机、一公开”监管工作的组织领导，县局成立由局长为组长、各业务主管局长任副组长,各股、所长为成员的“双随机、一公开”工作领导小组，各相关股、所要进一步增强责任意识，按照抽查计划和具体实施方案，细化工作目标任务，完善工作机制，扎实推进本地“双随机、一公开”监管工作，确保工作取得实效。</w:t>
      </w:r>
    </w:p>
    <w:p w14:paraId="3106958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（二）严格督导问效。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县局要坚持问题导向和目标导向，运用跟踪问效、督导检查等措施，督促基层分局按计划、按时限扎实推进工作。要探索建立双随机抽查工作回访制度，对回访中发现抽查检查走形式、随意录入检查结果等问题，要予以问责。</w:t>
      </w:r>
    </w:p>
    <w:p w14:paraId="5BDC54F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（三）强化责任担当。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各股室要进一步增强责任意识，科学、严谨制定每期随机抽查工作实施方案，抽查前要组织参与检查的执法人员进行相关业务培训，执法检查人员要本着对检查对象、检查结果负责的原则，严格按照确定的时间、抽查事项、检查流程和相关要求认真开展抽查检查，严防滥用职权、徇私舞弊等现象发生。</w:t>
      </w:r>
    </w:p>
    <w:p w14:paraId="44DED43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（四）注重情况反馈。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各单位要按照信息报送制度要求，及时报送“双随机、一公开”工作进展情况，对随机抽查、平台使用中遇到的问题及工作中好的经验做法，及时反馈县局信用监管股。</w:t>
      </w:r>
    </w:p>
    <w:p w14:paraId="1F71803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联系人：雷  骄   电话：4292022</w:t>
      </w:r>
    </w:p>
    <w:p w14:paraId="0D521C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邮   箱：qyshuangsuiji@163.com</w:t>
      </w:r>
    </w:p>
    <w:p w14:paraId="28FF74D3">
      <w:pPr>
        <w:ind w:left="960" w:hanging="960" w:hangingChars="3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5B1785A9">
      <w:pPr>
        <w:ind w:left="960" w:hanging="960" w:hangingChars="3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附件：曲阳县市场监督管理局“双随机、一公开”监管工作领导小组名单</w:t>
      </w:r>
    </w:p>
    <w:p w14:paraId="28BE2A9B">
      <w:pPr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附件：</w:t>
      </w:r>
    </w:p>
    <w:p w14:paraId="6EDEA751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曲阳县市场监督管理局</w:t>
      </w:r>
    </w:p>
    <w:p w14:paraId="74A83588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“双随机、一公开”监管工作领导小组名单</w:t>
      </w:r>
    </w:p>
    <w:p w14:paraId="7AF855D1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EF5B19F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组  长：王征明    市场监督管理局局长</w:t>
      </w:r>
    </w:p>
    <w:p w14:paraId="4F30D2E7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副组长：王民央    市场监督管理局副局长</w:t>
      </w:r>
    </w:p>
    <w:p w14:paraId="3DA7378E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井树建    市场监督管理局副局长</w:t>
      </w:r>
    </w:p>
    <w:p w14:paraId="69C05211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甄永庆    市场监督管理局副局长</w:t>
      </w:r>
    </w:p>
    <w:p w14:paraId="15CC8063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赵  红    市场监督管理局副局长</w:t>
      </w:r>
    </w:p>
    <w:p w14:paraId="0F57C0EF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  员：雷  骄    信用监管股股长</w:t>
      </w:r>
    </w:p>
    <w:p w14:paraId="2E4E645A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肖  梁    特种设备股股长</w:t>
      </w:r>
    </w:p>
    <w:p w14:paraId="78582F77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杨亚辉    广告股股长</w:t>
      </w:r>
    </w:p>
    <w:p w14:paraId="4C88531B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牛亚敏    知识产权股股长</w:t>
      </w:r>
    </w:p>
    <w:p w14:paraId="19BB64E3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田  甜    食品流通股股长</w:t>
      </w:r>
    </w:p>
    <w:p w14:paraId="33563317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苏根柱    质量发展股股长</w:t>
      </w:r>
    </w:p>
    <w:p w14:paraId="03DACA89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张新立    药品监管股股长</w:t>
      </w:r>
    </w:p>
    <w:p w14:paraId="1466F491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王  伟    药械股股长</w:t>
      </w:r>
    </w:p>
    <w:p w14:paraId="00C0CDC0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韩  飞    特殊食品化妆品股股长</w:t>
      </w:r>
    </w:p>
    <w:p w14:paraId="05DE73E9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杨立强    食品抽检股股长</w:t>
      </w:r>
    </w:p>
    <w:p w14:paraId="6ED02520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王跃龙    燃煤成品油监管股股长</w:t>
      </w:r>
    </w:p>
    <w:p w14:paraId="2733786E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陈旭昭    网络监管股股长</w:t>
      </w:r>
    </w:p>
    <w:p w14:paraId="27D0074E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卢伟峰    标准计量股股长</w:t>
      </w:r>
    </w:p>
    <w:p w14:paraId="6F53E61D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刘庆勋    价格监管股股长</w:t>
      </w:r>
    </w:p>
    <w:p w14:paraId="73B1D4ED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段旭红    质量监管股股长</w:t>
      </w:r>
    </w:p>
    <w:p w14:paraId="750E2236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李晓红    餐饮股股长</w:t>
      </w:r>
    </w:p>
    <w:p w14:paraId="47F0525F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闫娅春    食品生产股股长</w:t>
      </w:r>
    </w:p>
    <w:p w14:paraId="64B3C5FA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郑  剑    恒州所所长</w:t>
      </w:r>
    </w:p>
    <w:p w14:paraId="016525B5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唐少明    产德所所长</w:t>
      </w:r>
    </w:p>
    <w:p w14:paraId="041C925B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李春昌    下河所所长</w:t>
      </w:r>
    </w:p>
    <w:p w14:paraId="297CAD95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杨  辉    灵山所所长</w:t>
      </w:r>
    </w:p>
    <w:p w14:paraId="0935D84A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高义岩    燕赵所所长</w:t>
      </w:r>
    </w:p>
    <w:p w14:paraId="1C6EB4B6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吴晓光    羊平所所长</w:t>
      </w:r>
    </w:p>
    <w:p w14:paraId="3BB5ED66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邵庆伟    党城所所长</w:t>
      </w:r>
    </w:p>
    <w:p w14:paraId="4C4966C3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领导小组下设办公室，办公室设在企业监管股，办公室主任由雷骄同志担任，负责全局“双随机、一公开”监管工作业务指导。</w:t>
      </w:r>
    </w:p>
    <w:p w14:paraId="3B607EDC">
      <w:pPr>
        <w:rPr>
          <w:rFonts w:hint="eastAsia" w:ascii="仿宋" w:hAnsi="仿宋" w:eastAsia="仿宋" w:cs="仿宋"/>
          <w:sz w:val="32"/>
          <w:szCs w:val="32"/>
        </w:rPr>
      </w:pPr>
    </w:p>
    <w:p w14:paraId="5375248D">
      <w:pPr>
        <w:rPr>
          <w:rFonts w:hint="eastAsia" w:ascii="仿宋" w:hAnsi="仿宋" w:eastAsia="仿宋" w:cs="仿宋"/>
          <w:sz w:val="32"/>
          <w:szCs w:val="32"/>
        </w:rPr>
      </w:pPr>
    </w:p>
    <w:p w14:paraId="3F3F495D">
      <w:pPr>
        <w:jc w:val="righ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2022年2月10日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yN2NkYzVjNTRlYTEwNjFiNzJkOWNjOTdlYjIxNDIifQ=="/>
  </w:docVars>
  <w:rsids>
    <w:rsidRoot w:val="00000000"/>
    <w:rsid w:val="01221944"/>
    <w:rsid w:val="2FD92C25"/>
    <w:rsid w:val="3A9809CC"/>
    <w:rsid w:val="78033155"/>
    <w:rsid w:val="7F03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2664</Words>
  <Characters>2706</Characters>
  <Lines>0</Lines>
  <Paragraphs>0</Paragraphs>
  <TotalTime>3</TotalTime>
  <ScaleCrop>false</ScaleCrop>
  <LinksUpToDate>false</LinksUpToDate>
  <CharactersWithSpaces>2870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2022-03-09T06:52:00Z</dcterms:created>
  <dc:creator>Administrator.SKY-20190425MVF</dc:creator>
  <cp:lastModifiedBy>Administrator</cp:lastModifiedBy>
  <cp:lastPrinted>2022-06-08T08:01:00Z</cp:lastPrinted>
  <dcterms:modified xsi:type="dcterms:W3CDTF">2025-08-25T02:30:49Z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033AD8D407BE4D3792813405263B8025</vt:lpwstr>
  </property>
  <property fmtid="{D5CDD505-2E9C-101B-9397-08002B2CF9AE}" pid="4" name="KSOTemplateDocerSaveRecord">
    <vt:lpwstr>eyJoZGlkIjoiNGYwM2U5YzM5YmE1YzFkNTJjYWU0ZTZiMDFlYzJkMjgifQ==</vt:lpwstr>
  </property>
</Properties>
</file>