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方正小标宋_GBK" w:cs="Times New Roman"/>
          <w:color w:val="auto"/>
          <w:sz w:val="44"/>
          <w:szCs w:val="44"/>
        </w:rPr>
      </w:pPr>
      <w:bookmarkStart w:id="5" w:name="_GoBack"/>
      <w:bookmarkEnd w:id="5"/>
      <w:r>
        <w:rPr>
          <w:rFonts w:hint="eastAsia" w:ascii="Times New Roman" w:hAnsi="Times New Roman" w:eastAsia="方正小标宋_GBK" w:cs="Times New Roman"/>
          <w:color w:val="auto"/>
          <w:sz w:val="44"/>
          <w:szCs w:val="44"/>
        </w:rPr>
        <w:t>曲阳县教育局</w:t>
      </w:r>
    </w:p>
    <w:p>
      <w:pPr>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rPr>
        <w:t>9</w:t>
      </w:r>
      <w:r>
        <w:rPr>
          <w:rFonts w:ascii="Times New Roman" w:hAnsi="Times New Roman" w:eastAsia="方正小标宋_GBK" w:cs="Times New Roman"/>
          <w:color w:val="auto"/>
          <w:sz w:val="44"/>
          <w:szCs w:val="44"/>
        </w:rPr>
        <w:t>年部门预算信息公开</w:t>
      </w:r>
    </w:p>
    <w:p>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《中华人民共和国预算法》</w:t>
      </w:r>
      <w:r>
        <w:rPr>
          <w:rFonts w:hint="eastAsia" w:ascii="仿宋" w:hAnsi="仿宋" w:eastAsia="仿宋" w:cs="Times New Roman"/>
          <w:color w:val="auto"/>
          <w:sz w:val="32"/>
          <w:szCs w:val="32"/>
        </w:rPr>
        <w:t>、</w:t>
      </w:r>
      <w:r>
        <w:rPr>
          <w:rFonts w:ascii="仿宋" w:hAnsi="仿宋" w:eastAsia="仿宋" w:cs="Times New Roman"/>
          <w:color w:val="auto"/>
          <w:sz w:val="32"/>
          <w:szCs w:val="32"/>
        </w:rPr>
        <w:t>《地方预决算公开操作规程》和《河北省</w:t>
      </w:r>
      <w:r>
        <w:rPr>
          <w:rFonts w:hint="eastAsia" w:ascii="仿宋" w:hAnsi="仿宋" w:eastAsia="仿宋" w:cs="Times New Roman"/>
          <w:color w:val="auto"/>
          <w:sz w:val="32"/>
          <w:szCs w:val="32"/>
          <w:lang w:eastAsia="zh-CN"/>
        </w:rPr>
        <w:t>财政厅修订补充</w:t>
      </w:r>
      <w:r>
        <w:rPr>
          <w:rFonts w:hint="eastAsia" w:ascii="仿宋" w:hAnsi="仿宋" w:eastAsia="仿宋" w:cs="Times New Roman"/>
          <w:color w:val="auto"/>
          <w:sz w:val="32"/>
          <w:szCs w:val="32"/>
          <w:lang w:val="en-US" w:eastAsia="zh-CN"/>
        </w:rPr>
        <w:t>&lt;河北省预决算公开操作规程实施细则&gt;</w:t>
      </w:r>
      <w:r>
        <w:rPr>
          <w:rFonts w:ascii="仿宋" w:hAnsi="仿宋" w:eastAsia="仿宋" w:cs="Times New Roman"/>
          <w:color w:val="auto"/>
          <w:sz w:val="32"/>
          <w:szCs w:val="32"/>
        </w:rPr>
        <w:t>》</w:t>
      </w:r>
      <w:r>
        <w:rPr>
          <w:rFonts w:hint="eastAsia" w:ascii="仿宋" w:hAnsi="仿宋" w:eastAsia="仿宋" w:cs="Times New Roman"/>
          <w:color w:val="auto"/>
          <w:sz w:val="32"/>
          <w:szCs w:val="32"/>
          <w:lang w:eastAsia="zh-CN"/>
        </w:rPr>
        <w:t>（冀财预</w:t>
      </w:r>
      <w:r>
        <w:rPr>
          <w:rFonts w:hint="eastAsia" w:ascii="仿宋" w:hAnsi="仿宋" w:eastAsia="仿宋" w:cs="Times New Roman"/>
          <w:color w:val="auto"/>
          <w:sz w:val="32"/>
          <w:szCs w:val="32"/>
          <w:lang w:val="en-US" w:eastAsia="zh-CN"/>
        </w:rPr>
        <w:t>[2017]82号）</w:t>
      </w:r>
      <w:r>
        <w:rPr>
          <w:rFonts w:hint="eastAsia" w:ascii="仿宋" w:hAnsi="仿宋" w:eastAsia="仿宋" w:cs="Times New Roman"/>
          <w:color w:val="auto"/>
          <w:sz w:val="32"/>
          <w:szCs w:val="32"/>
        </w:rPr>
        <w:t>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将曲阳县教育局</w:t>
      </w:r>
      <w:r>
        <w:rPr>
          <w:rFonts w:ascii="仿宋" w:hAnsi="仿宋" w:eastAsia="仿宋" w:cs="Times New Roman"/>
          <w:color w:val="auto"/>
          <w:sz w:val="32"/>
          <w:szCs w:val="32"/>
        </w:rPr>
        <w:t>201</w:t>
      </w:r>
      <w:r>
        <w:rPr>
          <w:rFonts w:hint="eastAsia" w:ascii="仿宋" w:hAnsi="仿宋" w:eastAsia="仿宋" w:cs="Times New Roman"/>
          <w:color w:val="auto"/>
          <w:sz w:val="32"/>
          <w:szCs w:val="32"/>
        </w:rPr>
        <w:t>9</w:t>
      </w:r>
      <w:r>
        <w:rPr>
          <w:rFonts w:ascii="仿宋" w:hAnsi="仿宋" w:eastAsia="仿宋" w:cs="Times New Roman"/>
          <w:color w:val="auto"/>
          <w:sz w:val="32"/>
          <w:szCs w:val="32"/>
        </w:rPr>
        <w:t>年部门预算公开如下：</w:t>
      </w:r>
    </w:p>
    <w:p>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pPr>
        <w:spacing w:line="360" w:lineRule="auto"/>
        <w:ind w:firstLine="643" w:firstLineChars="200"/>
        <w:rPr>
          <w:rFonts w:ascii="仿宋" w:hAnsi="仿宋" w:eastAsia="仿宋"/>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根据《中共保定市委、保定市人民政府关于印发〈曲阳县人民政府机构改革方案〉的通知》（保字[2009]76号），现将我局部门职责说明如下：</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制定全县教育工作的政策和规定，检查、监督教育方针、政策的贯彻执行情况，落实教育优先发展的战略地位。</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制定全县各类教育的发展规划，合理调整学校布局，在省、市规定的审批权限内审批公办、民助各类学校的设置。</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义务教育、学前教育、特殊教育、高中教育、职业技术教育、成人教育的指导和管理；对各类教育工作状况及办学水平进行监督、检查、评估、指导、验收；组织、检查、督导普及九年义务教育、扫除青壮年文盲规划的落实。</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负责教育局直属学校和单位党建及全县教育系统思想政治工作、精神文明建设、艺术教育、国防教育、知识分子、统战、老干部等工作；负责全县教育系统工会、青年团、妇女工作及计划生育工作。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依法管理教师队伍，负责教师的调配、职称、培训和各级各类学校教师继续教育及业务技能培训；管理和指导师范类大中专毕业生就业工作；负责实施教师资格认定工作。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负责教育体制、办学体制、学校管理体制、县城和农村教育综合改革的统筹规划和实施。</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负责教育系统单位、学校领导班子和领导干部的考核、考察、任免和管理工作；负责教育系统后备干部的管理工作。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负责教育经费预决算工作，依法监督教育经费的管理和使用；检查教师工资的统一发放工作；负责统筹规划和管理全县教育系统基本建设和设施的配置以及计划统计工作；负责全县学校后勤社会化工作。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负责组织各类学校招生考试工作。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负责全县教育教学的理论研究和教育科研工作。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制定全县语言文字工作的政策、规定，编制语言文字工作长期规划，组织协调并监督检查汉语和少数民族语言文字规范、标准的实施，指导推广普通话和普通话测试工作，负责社会用字规范管理。</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贯彻执行国家制定的体育政策法规和发展规划，研究制定全县体育工作的政策和发展规划并组织实施。</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积极推动全县体育体制改革，拟定全县体育工作发展战略，推行全民健身计划，指导和配合各部门、各行业、各社会团体开展群众性体育活动；实施国家体育锻炼标准，开展国民体质监测。</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统筹规划全县竞技体育发展，研究和平衡全县体育竞赛、竞技运动项目设置与重点布局。</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负责全县体育领域科技研究工作。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拟定体育产业政策、发展体育市场；制定全县体育经营活动的从业条件和审核程序。</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负责全县性体育社团资格审查。</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负责教育系统安全保卫和社会治安综合治理工作。</w:t>
      </w:r>
    </w:p>
    <w:p>
      <w:pPr>
        <w:numPr>
          <w:ilvl w:val="0"/>
          <w:numId w:val="1"/>
        </w:numPr>
        <w:spacing w:line="360" w:lineRule="auto"/>
        <w:ind w:left="0" w:firstLine="566" w:firstLineChars="177"/>
        <w:rPr>
          <w:rFonts w:ascii="仿宋" w:hAnsi="仿宋" w:eastAsia="仿宋"/>
          <w:color w:val="auto"/>
          <w:sz w:val="32"/>
          <w:szCs w:val="32"/>
        </w:rPr>
      </w:pPr>
      <w:r>
        <w:rPr>
          <w:rFonts w:hint="eastAsia" w:ascii="仿宋" w:hAnsi="仿宋" w:eastAsia="仿宋"/>
          <w:color w:val="auto"/>
          <w:sz w:val="32"/>
          <w:szCs w:val="32"/>
        </w:rPr>
        <w:t>承办县政府交办的其他事项。</w:t>
      </w:r>
    </w:p>
    <w:p>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7"/>
        <w:tblW w:w="8651" w:type="dxa"/>
        <w:tblInd w:w="0" w:type="dxa"/>
        <w:tblLayout w:type="fixed"/>
        <w:tblCellMar>
          <w:top w:w="0" w:type="dxa"/>
          <w:left w:w="108" w:type="dxa"/>
          <w:bottom w:w="0" w:type="dxa"/>
          <w:right w:w="108" w:type="dxa"/>
        </w:tblCellMar>
      </w:tblPr>
      <w:tblGrid>
        <w:gridCol w:w="3837"/>
        <w:gridCol w:w="1208"/>
        <w:gridCol w:w="1208"/>
        <w:gridCol w:w="2398"/>
      </w:tblGrid>
      <w:tr>
        <w:tblPrEx>
          <w:tblLayout w:type="fixed"/>
          <w:tblCellMar>
            <w:top w:w="0" w:type="dxa"/>
            <w:left w:w="108" w:type="dxa"/>
            <w:bottom w:w="0" w:type="dxa"/>
            <w:right w:w="108" w:type="dxa"/>
          </w:tblCellMar>
        </w:tblPrEx>
        <w:trPr>
          <w:trHeight w:val="312" w:hRule="atLeast"/>
        </w:trPr>
        <w:tc>
          <w:tcPr>
            <w:tcW w:w="38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Courier New" w:hAnsi="Courier New" w:cs="Courier New"/>
                <w:b/>
                <w:bCs/>
                <w:color w:val="auto"/>
                <w:kern w:val="0"/>
                <w:szCs w:val="21"/>
              </w:rPr>
            </w:pPr>
            <w:r>
              <w:rPr>
                <w:rFonts w:ascii="Courier New" w:hAnsi="Courier New" w:cs="Courier New"/>
                <w:b/>
                <w:bCs/>
                <w:color w:val="auto"/>
                <w:kern w:val="0"/>
                <w:szCs w:val="21"/>
              </w:rPr>
              <w:t>单位名称</w:t>
            </w:r>
          </w:p>
        </w:tc>
        <w:tc>
          <w:tcPr>
            <w:tcW w:w="12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s="Times New Roman"/>
                <w:b/>
                <w:bCs/>
                <w:color w:val="auto"/>
                <w:kern w:val="0"/>
                <w:szCs w:val="21"/>
              </w:rPr>
            </w:pPr>
            <w:r>
              <w:rPr>
                <w:rFonts w:ascii="Times New Roman" w:hAnsi="Times New Roman" w:cs="Times New Roman"/>
                <w:b/>
                <w:bCs/>
                <w:color w:val="auto"/>
                <w:kern w:val="0"/>
                <w:szCs w:val="21"/>
              </w:rPr>
              <w:t>单位性质</w:t>
            </w:r>
          </w:p>
        </w:tc>
        <w:tc>
          <w:tcPr>
            <w:tcW w:w="12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s="Times New Roman"/>
                <w:b/>
                <w:bCs/>
                <w:color w:val="auto"/>
                <w:kern w:val="0"/>
                <w:szCs w:val="21"/>
              </w:rPr>
            </w:pPr>
            <w:r>
              <w:rPr>
                <w:rFonts w:ascii="Times New Roman" w:hAnsi="Times New Roman" w:cs="Times New Roman"/>
                <w:b/>
                <w:bCs/>
                <w:color w:val="auto"/>
                <w:kern w:val="0"/>
                <w:szCs w:val="21"/>
              </w:rPr>
              <w:t>单位规格</w:t>
            </w:r>
          </w:p>
        </w:tc>
        <w:tc>
          <w:tcPr>
            <w:tcW w:w="23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s="Times New Roman"/>
                <w:b/>
                <w:bCs/>
                <w:color w:val="auto"/>
                <w:kern w:val="0"/>
                <w:szCs w:val="21"/>
              </w:rPr>
            </w:pPr>
            <w:r>
              <w:rPr>
                <w:rFonts w:ascii="Times New Roman" w:hAnsi="Times New Roman" w:cs="Times New Roman"/>
                <w:b/>
                <w:bCs/>
                <w:color w:val="auto"/>
                <w:kern w:val="0"/>
                <w:szCs w:val="21"/>
              </w:rPr>
              <w:t>经费保障形式</w:t>
            </w:r>
          </w:p>
        </w:tc>
      </w:tr>
      <w:tr>
        <w:tblPrEx>
          <w:tblLayout w:type="fixed"/>
          <w:tblCellMar>
            <w:top w:w="0" w:type="dxa"/>
            <w:left w:w="108" w:type="dxa"/>
            <w:bottom w:w="0" w:type="dxa"/>
            <w:right w:w="108" w:type="dxa"/>
          </w:tblCellMar>
        </w:tblPrEx>
        <w:trPr>
          <w:trHeight w:val="312" w:hRule="atLeast"/>
        </w:trPr>
        <w:tc>
          <w:tcPr>
            <w:tcW w:w="383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Courier New" w:hAnsi="Courier New" w:cs="Courier New"/>
                <w:b/>
                <w:bCs/>
                <w:color w:val="auto"/>
                <w:kern w:val="0"/>
                <w:szCs w:val="21"/>
              </w:rPr>
            </w:pPr>
          </w:p>
        </w:tc>
        <w:tc>
          <w:tcPr>
            <w:tcW w:w="12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auto"/>
                <w:kern w:val="0"/>
                <w:szCs w:val="21"/>
              </w:rPr>
            </w:pPr>
          </w:p>
        </w:tc>
        <w:tc>
          <w:tcPr>
            <w:tcW w:w="12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auto"/>
                <w:kern w:val="0"/>
                <w:szCs w:val="21"/>
              </w:rPr>
            </w:pPr>
          </w:p>
        </w:tc>
        <w:tc>
          <w:tcPr>
            <w:tcW w:w="239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s="Times New Roman"/>
                <w:b/>
                <w:bCs/>
                <w:color w:val="auto"/>
                <w:kern w:val="0"/>
                <w:szCs w:val="21"/>
              </w:rPr>
            </w:pP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曲阳县教育局</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行政</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正科级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财政拨款</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河北省曲阳县第一高级中学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曲阳县第二初级中学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曲阳县第四高级中学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曲阳县第五高级中学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河北省曲阳县职业技术教育中心</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曲阳县招生委员会办公室</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河北省曲阳县校办产业管理办公室</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曲阳县教育局电教仪器站</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曲阳县教育局成人教育办公室</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保定广播电视大学曲阳分校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曲阳县教师进修学校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曲阳县教育局教研室</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曲阳县特教中心</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曲阳县第一幼儿园</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曲阳县业余体校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河北曲阳雕刻学校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曲阳县燕南学校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曲阳县文昌小学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曲阳县恒州镇中心学校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曲阳县下河乡中心学校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曲阳县路庄子乡中心学校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曲阳县庄窠乡中心学校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曲阳县燕赵镇中心学校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曲阳县东旺乡中心学校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曲阳县文德乡中心学校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曲阳县羊平镇中心学校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曲阳县邸村乡中心学校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曲阳县晓林乡中心学校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曲阳县灵山镇中心学校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曲阳县党城乡中心学校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曲阳县北台乡中心学校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曲阳县范家庄乡中心学校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曲阳县郎家庄乡中心学校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曲阳县产德乡中心学校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曲阳县孝墓乡中心学校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曲阳县齐村乡中心学校</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河北省曲阳县恒州镇中学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曲阳县恒州镇七里庄中学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曲阳县路庄子中学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曲阳县庄窠乡庄窠中学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曲阳县下河乡下河中学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曲阳县下河乡董家马中学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曲阳县燕赵镇燕赵中学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曲阳县燕赵镇南留营中学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曲阳县文德乡文德中学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曲阳县文德乡南洪德中学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曲阳县东旺乡南杏树中学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曲阳县东旺乡高门屯中学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曲阳县羊平镇岸下中学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曲阳县晓林乡晓林中学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曲阳县晓林乡崔家庄中学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曲阳县邸村乡东邸村中学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曲阳县党城乡喜峪中学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曲阳县北台乡北台中学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河北省曲阳县郎家庄中学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曲阳县范家庄乡范家庄中学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曲阳县灵山镇灵山中学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曲阳县灵山镇韩家村中学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曲阳县灵山镇北镇中学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曲阳县灵山镇朱家峪中学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曲阳县产德乡砂城中学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曲阳县齐村乡南雅握中学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曲阳县孝墓乡万华中学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曲阳县北岳中学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河北省曲阳永宁中学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曲阳县永宁小学</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曲阳县永宁幼儿园</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曲阳县南街幼儿园</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曲阳县孟良河幼儿园</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青少年活动中心</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r>
        <w:tblPrEx>
          <w:tblLayout w:type="fixed"/>
          <w:tblCellMar>
            <w:top w:w="0" w:type="dxa"/>
            <w:left w:w="108" w:type="dxa"/>
            <w:bottom w:w="0" w:type="dxa"/>
            <w:right w:w="108" w:type="dxa"/>
          </w:tblCellMar>
        </w:tblPrEx>
        <w:trPr>
          <w:trHeight w:val="300" w:hRule="atLeast"/>
        </w:trPr>
        <w:tc>
          <w:tcPr>
            <w:tcW w:w="38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auto"/>
                <w:kern w:val="0"/>
                <w:szCs w:val="21"/>
              </w:rPr>
            </w:pPr>
            <w:r>
              <w:rPr>
                <w:rFonts w:ascii="Times New Roman" w:hAnsi="Times New Roman" w:cs="Times New Roman"/>
                <w:color w:val="auto"/>
                <w:kern w:val="0"/>
                <w:szCs w:val="21"/>
              </w:rPr>
              <w:t>曲阳县业余体校（非银行）</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事业</w:t>
            </w:r>
          </w:p>
        </w:tc>
        <w:tc>
          <w:tcPr>
            <w:tcW w:w="120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正股级</w:t>
            </w:r>
          </w:p>
        </w:tc>
        <w:tc>
          <w:tcPr>
            <w:tcW w:w="2398"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Times New Roman"/>
                <w:color w:val="auto"/>
                <w:kern w:val="0"/>
                <w:szCs w:val="21"/>
              </w:rPr>
            </w:pPr>
            <w:r>
              <w:rPr>
                <w:rFonts w:ascii="Times New Roman" w:hAnsi="Times New Roman" w:cs="Times New Roman"/>
                <w:color w:val="auto"/>
                <w:kern w:val="0"/>
                <w:szCs w:val="21"/>
              </w:rPr>
              <w:t>财政性资金基本保证</w:t>
            </w:r>
          </w:p>
        </w:tc>
      </w:tr>
    </w:tbl>
    <w:p>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r>
        <w:rPr>
          <w:rFonts w:hint="eastAsia" w:ascii="Times New Roman" w:hAnsi="Times New Roman" w:eastAsia="仿宋" w:cs="Times New Roman"/>
          <w:color w:val="auto"/>
          <w:sz w:val="32"/>
          <w:szCs w:val="32"/>
        </w:rPr>
        <w:t>曲阳县教育局</w:t>
      </w:r>
      <w:r>
        <w:rPr>
          <w:rFonts w:ascii="Times New Roman" w:hAnsi="Times New Roman" w:eastAsia="仿宋" w:cs="Times New Roman"/>
          <w:color w:val="auto"/>
          <w:sz w:val="32"/>
          <w:szCs w:val="32"/>
        </w:rPr>
        <w:t>及所属事业单位的收支包含在部门预算中。</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反映本部门当年全部收入。2019年预算收入94809.15万元，其中：一般公共预算收入91299.09万元，基金预算收入182万元，财政专户核拨收入3328.06万元，其他来源收入0万元。</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收支预算总表支出栏、基本支出表、项目支出表按经济分类和支出功能分类科目编制，反映曲阳县教育局年度部门预算中支出预算的总体情况。2019年部门支出预算为94809.15万元，其中基本支出51762.25万元，包括人员经费48283.18万元和日常公用经费3479.07万元；项目支出43046.90万元，主要为学前教育支出1773.51万元，义务教育支出21520.72万元，普通高中支出4364.13万元，职业教育1280.70万元，教师队伍建设支出50万元，推进教育公平支出12800.33万元，教育政务管理支出1134.51万元，体育发展支出123万元。</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2019年，部门预算收支安排94809.15万元，较2018年增长9336.99万元，其中：基本支出增长1148.68万元，主要是</w:t>
      </w:r>
      <w:r>
        <w:rPr>
          <w:rFonts w:hint="eastAsia" w:ascii="仿宋" w:hAnsi="仿宋" w:eastAsia="仿宋"/>
          <w:color w:val="auto"/>
          <w:sz w:val="32"/>
          <w:szCs w:val="32"/>
        </w:rPr>
        <w:t>增加教育局及下属事业单位的人员和公用经费支出</w:t>
      </w:r>
      <w:r>
        <w:rPr>
          <w:rFonts w:hint="eastAsia" w:ascii="Times New Roman" w:hAnsi="Times New Roman" w:eastAsia="仿宋" w:cs="Times New Roman"/>
          <w:color w:val="auto"/>
          <w:sz w:val="32"/>
          <w:szCs w:val="32"/>
        </w:rPr>
        <w:t>；项目支出增长8188.31万元，主要是由于</w:t>
      </w:r>
      <w:r>
        <w:rPr>
          <w:rFonts w:hint="eastAsia" w:ascii="仿宋" w:hAnsi="仿宋" w:eastAsia="仿宋"/>
          <w:color w:val="auto"/>
          <w:sz w:val="32"/>
          <w:szCs w:val="32"/>
        </w:rPr>
        <w:t>增加下属事业单位教育教学专项业务经费和建设项目等支出</w:t>
      </w:r>
      <w:r>
        <w:rPr>
          <w:rFonts w:hint="eastAsia" w:ascii="Times New Roman" w:hAnsi="Times New Roman" w:eastAsia="仿宋" w:cs="Times New Roman"/>
          <w:color w:val="auto"/>
          <w:sz w:val="32"/>
          <w:szCs w:val="32"/>
        </w:rPr>
        <w:t>。</w:t>
      </w:r>
    </w:p>
    <w:p>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2019年，我部门机关运行经费共计安排24.56万元，主要用于保证机关正常运转的办公费、电费、邮电费、差旅费、福利费、工会经费、取暖费、公务用车运行维护费等支出。</w:t>
      </w:r>
    </w:p>
    <w:p>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部门财政拨款“三公”经费预算安排2.80万元，其中：因公出国（境）费0万元；公务用车购置及运维费2.80万元（其中：公务用车运行维护费2.80万元，公务用车购置费0万元)；公务接待费0万元。“三公”经费较上年减少0.8万元，其中公务用车购置及运维费减少0.8万元，因公出国（境）费和公务接待费与上年相比无变化。减少原因是</w:t>
      </w:r>
      <w:r>
        <w:rPr>
          <w:rFonts w:hint="eastAsia" w:ascii="仿宋" w:hAnsi="仿宋" w:eastAsia="仿宋" w:cs="宋体"/>
          <w:color w:val="auto"/>
          <w:kern w:val="0"/>
          <w:sz w:val="32"/>
          <w:szCs w:val="32"/>
        </w:rPr>
        <w:t>公务用车改革核减公务用车，严格管理，认真贯彻执行中央</w:t>
      </w:r>
      <w:r>
        <w:rPr>
          <w:rFonts w:hint="eastAsia" w:ascii="仿宋" w:hAnsi="仿宋" w:eastAsia="仿宋" w:cs="宋体"/>
          <w:color w:val="auto"/>
          <w:kern w:val="0"/>
          <w:sz w:val="32"/>
          <w:szCs w:val="32"/>
          <w:lang w:eastAsia="zh-CN"/>
        </w:rPr>
        <w:t>八项规定</w:t>
      </w:r>
      <w:r>
        <w:rPr>
          <w:rFonts w:hint="eastAsia" w:ascii="仿宋" w:hAnsi="仿宋" w:eastAsia="仿宋" w:cs="宋体"/>
          <w:color w:val="auto"/>
          <w:kern w:val="0"/>
          <w:sz w:val="32"/>
          <w:szCs w:val="32"/>
        </w:rPr>
        <w:t>，厉行节约，杜绝浪费。</w:t>
      </w:r>
    </w:p>
    <w:p>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2019年是贯彻落实党的十九大精神的第二年，也是我县迎接省政府教育综合督导评估之年。根据</w:t>
      </w:r>
      <w:r>
        <w:rPr>
          <w:rFonts w:hint="eastAsia" w:ascii="仿宋" w:hAnsi="仿宋" w:eastAsia="仿宋"/>
          <w:color w:val="auto"/>
          <w:sz w:val="32"/>
          <w:szCs w:val="32"/>
          <w:lang w:eastAsia="zh-CN"/>
        </w:rPr>
        <w:t>党的十九大</w:t>
      </w:r>
      <w:r>
        <w:rPr>
          <w:rFonts w:ascii="仿宋" w:hAnsi="仿宋" w:eastAsia="仿宋"/>
          <w:color w:val="auto"/>
          <w:sz w:val="32"/>
          <w:szCs w:val="32"/>
        </w:rPr>
        <w:t>精神和习近平总书记在全国教育大会上对教育提出的新政策、新规划、新要求，结合省、市、县党委会议精神，立足我县教育实际，我局科学谋划2019年教育工作总体思路是：</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以</w:t>
      </w:r>
      <w:r>
        <w:rPr>
          <w:rFonts w:hint="eastAsia" w:ascii="仿宋" w:hAnsi="仿宋" w:eastAsia="仿宋"/>
          <w:color w:val="auto"/>
          <w:sz w:val="32"/>
          <w:szCs w:val="32"/>
          <w:lang w:eastAsia="zh-CN"/>
        </w:rPr>
        <w:t>习近平新时代中国特色社会主义思想</w:t>
      </w:r>
      <w:r>
        <w:rPr>
          <w:rFonts w:ascii="仿宋" w:hAnsi="仿宋" w:eastAsia="仿宋"/>
          <w:color w:val="auto"/>
          <w:sz w:val="32"/>
          <w:szCs w:val="32"/>
        </w:rPr>
        <w:t>为指导，全面加强党对教育工作的领导，坚持立德树人的根本任务，以办好人民满意的教育为中心，加强纪律作风建设和教师队伍建设，重点抓好教育</w:t>
      </w:r>
      <w:r>
        <w:rPr>
          <w:rFonts w:hint="eastAsia" w:ascii="仿宋" w:hAnsi="仿宋" w:eastAsia="仿宋"/>
          <w:color w:val="auto"/>
          <w:sz w:val="32"/>
          <w:szCs w:val="32"/>
          <w:lang w:eastAsia="zh-CN"/>
        </w:rPr>
        <w:t>脱贫攻坚</w:t>
      </w:r>
      <w:r>
        <w:rPr>
          <w:rFonts w:ascii="仿宋" w:hAnsi="仿宋" w:eastAsia="仿宋"/>
          <w:color w:val="auto"/>
          <w:sz w:val="32"/>
          <w:szCs w:val="32"/>
        </w:rPr>
        <w:t>、大力改善办学条件、提升教育教学质量、强化教育管理、维护教育系统安全稳定、迎接省政府教育综合督导评估等重点工作，逐步实现让每个孩子都享有公平而有质量的教育，为把我县建成全省教育强县而不懈奋斗。</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一、始终坚持以办好人民满意的教育为中心</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二、坚持立德树人的根本任务，加强思想政治工作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（一）创城工作进入常态化创建。</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（二）继续认真贯彻落实《中小学德育工作指南》。</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（三）加强各学校“德育效果星”的督导与评定。</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（四）继续开展“阅知行”读书教育活动及第二十五届读书活动。</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（五）加强学生养成教育。</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（六）加强德育队伍建设，提高德育工作实效。重视和关心德育教师队伍的建设，有计划、有步骤地做好德育管理干部和班主任的选拔、培训工作，推动中小学德育工作扎实有效地开展。</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三、持续开展教育系统纪律作风建设</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四、进一步加强教师队伍建设</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（一）加强教师招聘工作。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 xml:space="preserve">（二）积极开展教师培训。 </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（三）强化师德师风建设。</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（四）加强校长队伍管理。</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五、大力改善办学条件</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六、强化教育管理，继续推进“十星级学校”创建和“三名工程”</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七、推进各级各类学校教育质量的提升</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（一）学前教育抓提升。</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（二）义务教育抓均衡。</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（三）普通高中抓突破。</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（四）职业教育抓提升。</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（五）民办教育抓规范。</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（六）深入推进“四进校园”工作。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八、着力推进教育扶贫工作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（一）扎实开展教育系统扶贫领域腐败和作风问题专项治理。</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（二）加强扶贫政策宣传。</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（三）加大驻村工作队扶贫力度，认真开展扶贫责任人结对帮扶。</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（四）加强技能扶贫。</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（五）开展全县建档立卡贫困户学生资助。</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（六）加强贫困村薄弱中小学基础建设。</w:t>
      </w:r>
    </w:p>
    <w:p>
      <w:pPr>
        <w:autoSpaceDE w:val="0"/>
        <w:autoSpaceDN w:val="0"/>
        <w:adjustRightInd w:val="0"/>
        <w:ind w:left="198" w:firstLine="640" w:firstLineChars="200"/>
        <w:jc w:val="left"/>
        <w:rPr>
          <w:rFonts w:ascii="仿宋" w:hAnsi="仿宋" w:eastAsia="仿宋" w:cs="Times New Roman"/>
          <w:color w:val="auto"/>
          <w:sz w:val="32"/>
          <w:szCs w:val="32"/>
        </w:rPr>
      </w:pPr>
      <w:r>
        <w:rPr>
          <w:rFonts w:ascii="仿宋" w:hAnsi="仿宋" w:eastAsia="仿宋"/>
          <w:color w:val="auto"/>
          <w:sz w:val="32"/>
          <w:szCs w:val="32"/>
        </w:rPr>
        <w:t>九、积极开展法制安全工作</w:t>
      </w:r>
      <w:r>
        <w:rPr>
          <w:rFonts w:hint="eastAsia" w:ascii="仿宋" w:hAnsi="仿宋" w:eastAsia="仿宋" w:cs="Times New Roman"/>
          <w:color w:val="auto"/>
          <w:sz w:val="32"/>
          <w:szCs w:val="32"/>
        </w:rPr>
        <w:t>。</w:t>
      </w:r>
    </w:p>
    <w:p>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职责分类绩效目标：</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2019年我局科学谋划教育工作，以</w:t>
      </w:r>
      <w:r>
        <w:rPr>
          <w:rFonts w:hint="eastAsia" w:ascii="仿宋" w:hAnsi="仿宋" w:eastAsia="仿宋"/>
          <w:color w:val="auto"/>
          <w:sz w:val="32"/>
          <w:szCs w:val="32"/>
          <w:lang w:eastAsia="zh-CN"/>
        </w:rPr>
        <w:t>习近平新时代中国特色社会主义思想</w:t>
      </w:r>
      <w:r>
        <w:rPr>
          <w:rFonts w:ascii="仿宋" w:hAnsi="仿宋" w:eastAsia="仿宋"/>
          <w:color w:val="auto"/>
          <w:sz w:val="32"/>
          <w:szCs w:val="32"/>
        </w:rPr>
        <w:t>为指导，全面加强党对教育工作的领导，坚持立德树人的根本任务，以办好人民满意的教育为中心，加强纪律作风建设和教师队伍建设，重点抓好教育</w:t>
      </w:r>
      <w:r>
        <w:rPr>
          <w:rFonts w:hint="eastAsia" w:ascii="仿宋" w:hAnsi="仿宋" w:eastAsia="仿宋"/>
          <w:color w:val="auto"/>
          <w:sz w:val="32"/>
          <w:szCs w:val="32"/>
          <w:lang w:eastAsia="zh-CN"/>
        </w:rPr>
        <w:t>脱贫攻坚</w:t>
      </w:r>
      <w:r>
        <w:rPr>
          <w:rFonts w:ascii="仿宋" w:hAnsi="仿宋" w:eastAsia="仿宋"/>
          <w:color w:val="auto"/>
          <w:sz w:val="32"/>
          <w:szCs w:val="32"/>
        </w:rPr>
        <w:t>、大力改善办学条件、提升教育教学质量、强化教育管理、维护教育系统安全稳定、迎接省政府教育综合督导评估等重点工作，逐步实现让每个孩子都享有公平而有质量的教育，把我县建成全省教育强县。</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（一）学前教育</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1、扩大学前教育资源。开展扩大学前教育资源项目，支持扩建和新建公办幼儿园、利用社会力量举办普惠性幼儿园、改善办园条件，落实学前教育资助制度。</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实施学前教育资助。对普惠性幼儿园在园的孤儿、烈士子女，优抚、低保家庭子女，纳入农村特困救助范围的家庭子女，父母一方死亡、离异的单亲贫困家庭子女，因受灾、疾病等原因导致家庭经济困难的儿童以及残疾儿童予以资助。</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（二）义务教育</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1、发展城乡义务教育。统一城乡义务教育年生均公用经费标准：小学685元、初中885元（均含取暖费85元），特教6000元。为农村义务教育学生和城市区家庭经济困难学生免费提供教科书。</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改善薄弱学校办学条件。从2014年开始，全面改善贫困地区薄弱学校基本办学条件，使贫困地区农村义务教育学校教学设施和生活设施满足基本生活需要，留守儿童学习和寄宿得到基本满足，村小学和教学点能够正常运转，城镇超大班额现象基本消除，教师数量、素质、结构基本适应教学需要。</w:t>
      </w:r>
    </w:p>
    <w:p>
      <w:pPr>
        <w:spacing w:line="500" w:lineRule="exact"/>
        <w:ind w:firstLine="560"/>
        <w:rPr>
          <w:rFonts w:ascii="仿宋" w:hAnsi="仿宋" w:eastAsia="仿宋"/>
          <w:color w:val="auto"/>
          <w:sz w:val="32"/>
          <w:szCs w:val="32"/>
        </w:rPr>
      </w:pPr>
      <w:r>
        <w:rPr>
          <w:rFonts w:ascii="仿宋" w:hAnsi="仿宋" w:eastAsia="仿宋"/>
          <w:color w:val="auto"/>
          <w:sz w:val="32"/>
          <w:szCs w:val="32"/>
        </w:rPr>
        <w:t>3、提升特殊教育保障水平。视力、听力、智力残疾儿童少年义务教育入学率达到80％，特教学校生均经费达到6000元，建设一批“医教结合”学校。</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（三）普通高中教育</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1、改善普通高中办学条件和学生资助。提高我县高中毛入学率。改善贫困地区普通高中办学条件，从2016年秋季学期开始，对建档立卡的高中贫困学生，实行免学费、免住宿费、免费提供教课书。</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2、落实高考奖励政策。大力发展高中教育，落实高三教师奖励政策。</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（四）职业教育</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1、提升中等职业教育质量。落实中等职业学校免学费、助学金政策和生均公用经费标准。</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2、提升中等职业教育办学水平。深化教育教学改革，进一步扩大中等职业教育优质教育资源，提高中职高专院校生均拨款水平。</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（五）教师队伍建设</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1、提升教师队伍素质。为原民办代课教师教龄发放补助。按照年人均3000元标准，发放边远乡村教师生活补助。落实三区支教省级配套资金。对扎根乡村的教师进行表彰。落实乡村教师支持计划。</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（六）推进教育公平</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1、资助贫困学生。每年资助高校贫困学生。</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2、提高特殊群体教师待遇。为代课教师发放教龄补助，对边远乡村教师发放生活补助。</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（七）、教育政务管理</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1、综合业务管理。做好各项教育管理工作。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2、综合事务管理。保障机关工作正常高效运转。</w:t>
      </w:r>
    </w:p>
    <w:p>
      <w:pPr>
        <w:spacing w:line="500" w:lineRule="exact"/>
        <w:ind w:firstLine="560"/>
        <w:rPr>
          <w:rFonts w:ascii="仿宋" w:hAnsi="仿宋" w:eastAsia="仿宋"/>
          <w:color w:val="auto"/>
          <w:sz w:val="32"/>
          <w:szCs w:val="32"/>
        </w:rPr>
      </w:pPr>
      <w:r>
        <w:rPr>
          <w:rFonts w:ascii="仿宋" w:hAnsi="仿宋" w:eastAsia="仿宋"/>
          <w:color w:val="auto"/>
          <w:sz w:val="32"/>
          <w:szCs w:val="32"/>
        </w:rPr>
        <w:t>（八）、体育发展</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体育发展。（1）指导全县优秀运动队建设；组织各类综合性运动比赛；提高全县竞技体育水平。（2）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3）指导全县优秀运动队建设；组织各类综合性运动比赛；提高全县竞技体育水平。（4）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5）加强体育场馆设施的维修与维护工作，保证场馆设施正常运转，逐步改善比赛、训练及群众健身条件。。</w:t>
      </w:r>
    </w:p>
    <w:p>
      <w:pPr>
        <w:spacing w:line="500" w:lineRule="exact"/>
        <w:ind w:firstLine="560"/>
        <w:rPr>
          <w:rFonts w:ascii="仿宋" w:hAnsi="仿宋" w:eastAsia="仿宋"/>
          <w:color w:val="auto"/>
          <w:sz w:val="32"/>
          <w:szCs w:val="32"/>
        </w:rPr>
      </w:pPr>
      <w:r>
        <w:rPr>
          <w:rFonts w:ascii="仿宋" w:hAnsi="仿宋" w:eastAsia="仿宋"/>
          <w:color w:val="auto"/>
          <w:sz w:val="32"/>
          <w:szCs w:val="32"/>
        </w:rPr>
        <w:t>2、体育设施建设。建设功能明确、特色鲜明、设备先进、管理科学的体育训练场地、场馆和设施，使之成为群众健身、体育训练和服务的基础保障。</w:t>
      </w:r>
    </w:p>
    <w:p>
      <w:pPr>
        <w:spacing w:line="500" w:lineRule="exact"/>
        <w:ind w:firstLine="560"/>
        <w:rPr>
          <w:rFonts w:ascii="仿宋" w:hAnsi="仿宋" w:eastAsia="仿宋"/>
          <w:color w:val="auto"/>
          <w:sz w:val="32"/>
          <w:szCs w:val="32"/>
        </w:rPr>
      </w:pPr>
      <w:r>
        <w:rPr>
          <w:rFonts w:ascii="仿宋" w:hAnsi="仿宋" w:eastAsia="仿宋"/>
          <w:color w:val="auto"/>
          <w:sz w:val="32"/>
          <w:szCs w:val="32"/>
        </w:rPr>
        <w:t>（九）体育政务管理</w:t>
      </w:r>
    </w:p>
    <w:p>
      <w:pPr>
        <w:spacing w:line="500" w:lineRule="exact"/>
        <w:ind w:firstLine="560"/>
        <w:rPr>
          <w:rFonts w:ascii="仿宋" w:hAnsi="仿宋" w:eastAsia="仿宋"/>
          <w:color w:val="auto"/>
          <w:sz w:val="32"/>
          <w:szCs w:val="32"/>
        </w:rPr>
      </w:pPr>
      <w:r>
        <w:rPr>
          <w:rFonts w:ascii="仿宋" w:hAnsi="仿宋" w:eastAsia="仿宋"/>
          <w:color w:val="auto"/>
          <w:sz w:val="32"/>
          <w:szCs w:val="32"/>
        </w:rPr>
        <w:t>1、综合业务管理。确保各项业务工作谋划到位、顺利开展。</w:t>
      </w:r>
    </w:p>
    <w:p>
      <w:pPr>
        <w:autoSpaceDE w:val="0"/>
        <w:autoSpaceDN w:val="0"/>
        <w:adjustRightInd w:val="0"/>
        <w:ind w:firstLine="640" w:firstLineChars="200"/>
        <w:jc w:val="left"/>
        <w:rPr>
          <w:rFonts w:ascii="仿宋" w:hAnsi="仿宋" w:eastAsia="仿宋" w:cs="Times New Roman"/>
          <w:color w:val="auto"/>
          <w:sz w:val="32"/>
          <w:szCs w:val="32"/>
        </w:rPr>
      </w:pPr>
      <w:r>
        <w:rPr>
          <w:rFonts w:ascii="仿宋" w:hAnsi="仿宋" w:eastAsia="仿宋"/>
          <w:color w:val="auto"/>
          <w:sz w:val="32"/>
          <w:szCs w:val="32"/>
        </w:rPr>
        <w:t>2、综合事务管理。保障机关工作正常高效运转。</w:t>
      </w:r>
    </w:p>
    <w:p>
      <w:pPr>
        <w:autoSpaceDE w:val="0"/>
        <w:autoSpaceDN w:val="0"/>
        <w:adjustRightInd w:val="0"/>
        <w:ind w:left="198" w:firstLine="643" w:firstLineChars="200"/>
        <w:jc w:val="left"/>
        <w:rPr>
          <w:rFonts w:ascii="Times New Roman" w:hAnsi="Times New Roman" w:eastAsia="仿宋" w:cs="Times New Roman"/>
          <w:b/>
          <w:color w:val="auto"/>
          <w:sz w:val="32"/>
          <w:szCs w:val="32"/>
        </w:rPr>
        <w:sectPr>
          <w:pgSz w:w="11907" w:h="16839"/>
          <w:pgMar w:top="1020" w:right="1361" w:bottom="1020" w:left="1361" w:header="851" w:footer="992" w:gutter="0"/>
          <w:cols w:space="425" w:num="1"/>
          <w:docGrid w:type="lines" w:linePitch="312" w:charSpace="0"/>
        </w:sectPr>
      </w:pPr>
    </w:p>
    <w:p>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pPr>
        <w:jc w:val="center"/>
        <w:outlineLvl w:val="0"/>
        <w:rPr>
          <w:rFonts w:ascii="方正小标宋_GBK" w:eastAsia="方正小标宋_GBK"/>
          <w:color w:val="auto"/>
          <w:sz w:val="32"/>
        </w:rPr>
      </w:pPr>
      <w:bookmarkStart w:id="1" w:name="_Toc539889"/>
      <w:r>
        <w:rPr>
          <w:rFonts w:hint="eastAsia" w:ascii="方正小标宋_GBK" w:eastAsia="方正小标宋_GBK"/>
          <w:color w:val="auto"/>
          <w:sz w:val="32"/>
        </w:rPr>
        <w:t>部门职责-工作活动绩效目标</w:t>
      </w:r>
      <w:r>
        <w:rPr>
          <w:rStyle w:val="11"/>
          <w:rFonts w:ascii="方正小标宋_GBK" w:eastAsia="方正小标宋_GBK"/>
          <w:color w:val="auto"/>
          <w:sz w:val="32"/>
        </w:rPr>
        <w:footnoteReference w:id="0" w:customMarkFollows="1"/>
        <w:sym w:font="Symbol" w:char="F020"/>
      </w:r>
      <w:bookmarkEnd w:id="1"/>
    </w:p>
    <w:tbl>
      <w:tblPr>
        <w:tblStyle w:val="7"/>
        <w:tblW w:w="139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color w:val="auto"/>
                <w:sz w:val="24"/>
              </w:rPr>
            </w:pPr>
            <w:r>
              <w:rPr>
                <w:rFonts w:ascii="方正小标宋_GBK" w:eastAsia="方正小标宋_GBK"/>
                <w:color w:val="auto"/>
                <w:sz w:val="24"/>
              </w:rPr>
              <w:t>360</w:t>
            </w:r>
            <w:r>
              <w:rPr>
                <w:rFonts w:hint="eastAsia" w:ascii="方正小标宋_GBK" w:eastAsia="方正小标宋_GBK"/>
                <w:color w:val="auto"/>
                <w:sz w:val="24"/>
              </w:rPr>
              <w:t>曲阳县教育局</w:t>
            </w:r>
          </w:p>
        </w:tc>
        <w:tc>
          <w:tcPr>
            <w:tcW w:w="2948"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rPr>
                <w:color w:val="auto"/>
              </w:rPr>
            </w:pPr>
          </w:p>
        </w:tc>
        <w:tc>
          <w:tcPr>
            <w:tcW w:w="1276" w:type="dxa"/>
            <w:vMerge w:val="continue"/>
            <w:shd w:val="clear" w:color="auto" w:fill="auto"/>
            <w:vAlign w:val="center"/>
          </w:tcPr>
          <w:p>
            <w:pPr>
              <w:spacing w:line="300" w:lineRule="exact"/>
              <w:jc w:val="left"/>
              <w:outlineLvl w:val="0"/>
              <w:rPr>
                <w:color w:val="auto"/>
              </w:rPr>
            </w:pPr>
          </w:p>
        </w:tc>
        <w:tc>
          <w:tcPr>
            <w:tcW w:w="2976" w:type="dxa"/>
            <w:vMerge w:val="continue"/>
            <w:shd w:val="clear" w:color="auto" w:fill="auto"/>
            <w:vAlign w:val="center"/>
          </w:tcPr>
          <w:p>
            <w:pPr>
              <w:spacing w:line="300" w:lineRule="exact"/>
              <w:jc w:val="left"/>
              <w:outlineLvl w:val="0"/>
              <w:rPr>
                <w:color w:val="auto"/>
              </w:rPr>
            </w:pPr>
          </w:p>
        </w:tc>
        <w:tc>
          <w:tcPr>
            <w:tcW w:w="2976" w:type="dxa"/>
            <w:vMerge w:val="continue"/>
            <w:shd w:val="clear" w:color="auto" w:fill="auto"/>
            <w:vAlign w:val="center"/>
          </w:tcPr>
          <w:p>
            <w:pPr>
              <w:spacing w:line="300" w:lineRule="exact"/>
              <w:jc w:val="left"/>
              <w:outlineLvl w:val="0"/>
              <w:rPr>
                <w:color w:val="auto"/>
              </w:rPr>
            </w:pPr>
          </w:p>
        </w:tc>
        <w:tc>
          <w:tcPr>
            <w:tcW w:w="1417" w:type="dxa"/>
            <w:vMerge w:val="continue"/>
            <w:shd w:val="clear" w:color="auto" w:fill="auto"/>
            <w:vAlign w:val="center"/>
          </w:tcPr>
          <w:p>
            <w:pPr>
              <w:spacing w:line="300" w:lineRule="exact"/>
              <w:jc w:val="left"/>
              <w:outlineLvl w:val="0"/>
              <w:rPr>
                <w:color w:val="auto"/>
              </w:rPr>
            </w:pPr>
          </w:p>
        </w:tc>
        <w:tc>
          <w:tcPr>
            <w:tcW w:w="737"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一、学前教育</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1773.51</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实施学前教育重点项目，扩大学前教育资源，缓解当前存在的</w:t>
            </w:r>
            <w:r>
              <w:rPr>
                <w:rFonts w:hint="cs" w:ascii="方正书宋_GBK" w:eastAsia="方正书宋_GBK"/>
                <w:color w:val="auto"/>
              </w:rPr>
              <w:t>“</w:t>
            </w:r>
            <w:r>
              <w:rPr>
                <w:rFonts w:hint="eastAsia" w:ascii="方正书宋_GBK" w:eastAsia="方正书宋_GBK"/>
                <w:color w:val="auto"/>
              </w:rPr>
              <w:t>入园难</w:t>
            </w:r>
            <w:r>
              <w:rPr>
                <w:rFonts w:hint="cs" w:ascii="方正书宋_GBK" w:eastAsia="方正书宋_GBK"/>
                <w:color w:val="auto"/>
              </w:rPr>
              <w:t>”</w:t>
            </w:r>
            <w:r>
              <w:rPr>
                <w:rFonts w:hint="eastAsia" w:ascii="方正书宋_GBK" w:eastAsia="方正书宋_GBK"/>
                <w:color w:val="auto"/>
              </w:rPr>
              <w:t>、</w:t>
            </w:r>
            <w:r>
              <w:rPr>
                <w:rFonts w:hint="cs" w:ascii="方正书宋_GBK" w:eastAsia="方正书宋_GBK"/>
                <w:color w:val="auto"/>
              </w:rPr>
              <w:t>“</w:t>
            </w:r>
            <w:r>
              <w:rPr>
                <w:rFonts w:hint="eastAsia" w:ascii="方正书宋_GBK" w:eastAsia="方正书宋_GBK"/>
                <w:color w:val="auto"/>
              </w:rPr>
              <w:t>入园贵</w:t>
            </w:r>
            <w:r>
              <w:rPr>
                <w:rFonts w:hint="cs" w:ascii="方正书宋_GBK" w:eastAsia="方正书宋_GBK"/>
                <w:color w:val="auto"/>
              </w:rPr>
              <w:t>”</w:t>
            </w:r>
            <w:r>
              <w:rPr>
                <w:rFonts w:hint="eastAsia" w:ascii="方正书宋_GBK" w:eastAsia="方正书宋_GBK"/>
                <w:color w:val="auto"/>
              </w:rPr>
              <w:t>问题。</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进一步完善财政支持政策，增强资金配置的科学性，提高幼儿园入园率和扩大在园幼儿数</w:t>
            </w:r>
            <w:r>
              <w:rPr>
                <w:rFonts w:ascii="方正书宋_GBK" w:eastAsia="方正书宋_GBK"/>
                <w:color w:val="auto"/>
              </w:rPr>
              <w:t>,</w:t>
            </w:r>
            <w:r>
              <w:rPr>
                <w:rFonts w:hint="eastAsia" w:ascii="方正书宋_GBK" w:eastAsia="方正书宋_GBK"/>
                <w:color w:val="auto"/>
              </w:rPr>
              <w:t>有效缓解</w:t>
            </w:r>
            <w:r>
              <w:rPr>
                <w:rFonts w:hint="cs" w:ascii="方正书宋_GBK" w:eastAsia="方正书宋_GBK"/>
                <w:color w:val="auto"/>
              </w:rPr>
              <w:t>“</w:t>
            </w:r>
            <w:r>
              <w:rPr>
                <w:rFonts w:hint="eastAsia" w:ascii="方正书宋_GBK" w:eastAsia="方正书宋_GBK"/>
                <w:color w:val="auto"/>
              </w:rPr>
              <w:t>入园难</w:t>
            </w:r>
            <w:r>
              <w:rPr>
                <w:rFonts w:hint="cs" w:ascii="方正书宋_GBK" w:eastAsia="方正书宋_GBK"/>
                <w:color w:val="auto"/>
              </w:rPr>
              <w:t>”</w:t>
            </w:r>
            <w:r>
              <w:rPr>
                <w:rFonts w:hint="eastAsia" w:ascii="方正书宋_GBK" w:eastAsia="方正书宋_GBK"/>
                <w:color w:val="auto"/>
              </w:rPr>
              <w:t>、</w:t>
            </w:r>
            <w:r>
              <w:rPr>
                <w:rFonts w:hint="cs" w:ascii="方正书宋_GBK" w:eastAsia="方正书宋_GBK"/>
                <w:color w:val="auto"/>
              </w:rPr>
              <w:t>“</w:t>
            </w:r>
            <w:r>
              <w:rPr>
                <w:rFonts w:hint="eastAsia" w:ascii="方正书宋_GBK" w:eastAsia="方正书宋_GBK"/>
                <w:color w:val="auto"/>
              </w:rPr>
              <w:t>入园贵</w:t>
            </w:r>
            <w:r>
              <w:rPr>
                <w:rFonts w:hint="cs" w:ascii="方正书宋_GBK" w:eastAsia="方正书宋_GBK"/>
                <w:color w:val="auto"/>
              </w:rPr>
              <w:t>”</w:t>
            </w:r>
            <w:r>
              <w:rPr>
                <w:rFonts w:hint="eastAsia" w:ascii="方正书宋_GBK" w:eastAsia="方正书宋_GBK"/>
                <w:color w:val="auto"/>
              </w:rPr>
              <w:t>等问题。</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、扩大学前教育资源</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1684.66</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支持改扩建公办幼儿园，改善办园条件，在乡村和城乡结合部新建幼儿园等；通过政府购买服务、奖励等方式支持普惠性民办幼儿园发展，由民办幼儿园统筹用于改善办园条件、购置玩教具、支付租金、改善教师待遇、开展教师培训等；对接受农民工随迁子女的幼儿园给予奖励性资助等。支持实施普惠性幼儿园在园幼儿资助项目。</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开展扩大学前教育资源项目，支持扩建和新建公办幼儿园、利用社会力量举办普惠性幼儿园、改善办园条件，落实学前教育资助制度</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适龄儿童毛入园率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78%</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73%</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幼儿资助比例</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9%</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在园幼儿数量</w:t>
            </w:r>
            <w:r>
              <w:rPr>
                <w:rFonts w:ascii="方正书宋_GBK" w:eastAsia="方正书宋_GBK"/>
                <w:color w:val="auto"/>
              </w:rPr>
              <w:t>(</w:t>
            </w:r>
            <w:r>
              <w:rPr>
                <w:rFonts w:hint="eastAsia" w:ascii="方正书宋_GBK" w:eastAsia="方正书宋_GBK"/>
                <w:color w:val="auto"/>
              </w:rPr>
              <w:t>人）</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18000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17000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16000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&lt;16000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、实施学前教育资助</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88.85</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对普惠性幼儿园在园的孤儿、烈士子女，优抚、低保家庭子女，纳入农村特困救助范围的家庭子女，父母一方死亡、离异的单亲贫困家庭子女，因受灾、疾病等原因导致家庭经济困难的儿童以及残疾儿童予以资助。</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帮助家庭经济困难儿童、孤儿和残疾儿童接受普惠性学前教育。</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适龄儿童毛入园率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w:t>
            </w: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二、义务教育</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21520.72</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以农村教育为重点，推进义务教育均衡发展，建立中小学校舍维修长效机制，改善贫困地区义务教育薄弱学校办学条件，促进公共教育资源向农村和经济欠发达地区倾斜。</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完善城乡义务教育经费保障机制，提高贫困寄宿生资助面。加大资金投入力度，加快改善贫困地区义务教育薄弱学校基本办学条件。促进特殊教育和民族教育发展。推进教育扶贫工程，促进贫困地区教育事业发展。</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、发展城乡义务教育</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21007.72</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完善城乡义务教育经费保障机制，保障农村中小学正常运转，保证学校校舍安全，资助家庭经济困难寄宿学生，向农村义务教育学生和城市区家庭经济困难学生免费提供教科书；中小学公用经费保障水平逐年提高。推进教育扶贫。</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统一城乡义务教育年生均公用经费标准：小学</w:t>
            </w:r>
            <w:r>
              <w:rPr>
                <w:rFonts w:ascii="方正书宋_GBK" w:eastAsia="方正书宋_GBK"/>
                <w:color w:val="auto"/>
              </w:rPr>
              <w:t>685</w:t>
            </w:r>
            <w:r>
              <w:rPr>
                <w:rFonts w:hint="eastAsia" w:ascii="方正书宋_GBK" w:eastAsia="方正书宋_GBK"/>
                <w:color w:val="auto"/>
              </w:rPr>
              <w:t>元、初中</w:t>
            </w:r>
            <w:r>
              <w:rPr>
                <w:rFonts w:ascii="方正书宋_GBK" w:eastAsia="方正书宋_GBK"/>
                <w:color w:val="auto"/>
              </w:rPr>
              <w:t>885</w:t>
            </w:r>
            <w:r>
              <w:rPr>
                <w:rFonts w:hint="eastAsia" w:ascii="方正书宋_GBK" w:eastAsia="方正书宋_GBK"/>
                <w:color w:val="auto"/>
              </w:rPr>
              <w:t>元（均含取暖费</w:t>
            </w:r>
            <w:r>
              <w:rPr>
                <w:rFonts w:ascii="方正书宋_GBK" w:eastAsia="方正书宋_GBK"/>
                <w:color w:val="auto"/>
              </w:rPr>
              <w:t>85</w:t>
            </w:r>
            <w:r>
              <w:rPr>
                <w:rFonts w:hint="eastAsia" w:ascii="方正书宋_GBK" w:eastAsia="方正书宋_GBK"/>
                <w:color w:val="auto"/>
              </w:rPr>
              <w:t>元），特教</w:t>
            </w:r>
            <w:r>
              <w:rPr>
                <w:rFonts w:ascii="方正书宋_GBK" w:eastAsia="方正书宋_GBK"/>
                <w:color w:val="auto"/>
              </w:rPr>
              <w:t>6000</w:t>
            </w:r>
            <w:r>
              <w:rPr>
                <w:rFonts w:hint="eastAsia" w:ascii="方正书宋_GBK" w:eastAsia="方正书宋_GBK"/>
                <w:color w:val="auto"/>
              </w:rPr>
              <w:t>元。为农村义务教育学生和城市区家庭经济困难学生免费提供教科书。</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贫困寄宿生生活费补助覆盖率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26%</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24%</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新建、改扩建、维修校舍面积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72000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64000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&lt;64000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补助贫困寄宿生生活费人数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3800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3600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教科书免费发放率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96%</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、改善薄弱学校办学条件</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513.00</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保障义务教育阶段薄弱学校基本教学条件，改善学校生活设施，办好必要的教学点，解决城镇学校大班额问题，推进农村学校教育信息化。</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全面改善贫困地区薄弱学校基本办学条件，使贫困地区农村义务教育学校教学设施和生活设施满足基本生活需要，留守儿童学习和寄宿得到基本满足，村小学和教学点能够正常运转，城镇超大班额现象基本消除，教师数量、素质、结构基本适应教学需要。</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初中生均设备价值</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1100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950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中小学图书购置数量</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360000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320000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小学生均校舍面积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4</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小学生均设备价值</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550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初中生均校舍面积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9</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8</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新建、改扩建中小学校舍面积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72000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64000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&lt;64000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中小学教学设备购置数量</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63000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56000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、提升特殊教育保障水平</w:t>
            </w:r>
          </w:p>
        </w:tc>
        <w:tc>
          <w:tcPr>
            <w:tcW w:w="1276" w:type="dxa"/>
            <w:vMerge w:val="restart"/>
            <w:shd w:val="clear" w:color="auto" w:fill="auto"/>
            <w:vAlign w:val="center"/>
          </w:tcPr>
          <w:p>
            <w:pPr>
              <w:spacing w:line="300" w:lineRule="exact"/>
              <w:jc w:val="left"/>
              <w:rPr>
                <w:rFonts w:ascii="方正书宋_GBK" w:eastAsia="方正书宋_GBK"/>
                <w:color w:val="auto"/>
              </w:rPr>
            </w:pP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保障全县基本普及残疾儿童少年接受义务教育，提高特殊教育经费保障水平，支持特殊教育学校设备设施配备和</w:t>
            </w:r>
            <w:r>
              <w:rPr>
                <w:rFonts w:hint="cs" w:ascii="方正书宋_GBK" w:eastAsia="方正书宋_GBK"/>
                <w:color w:val="auto"/>
              </w:rPr>
              <w:t>“</w:t>
            </w:r>
            <w:r>
              <w:rPr>
                <w:rFonts w:hint="eastAsia" w:ascii="方正书宋_GBK" w:eastAsia="方正书宋_GBK"/>
                <w:color w:val="auto"/>
              </w:rPr>
              <w:t>医教结合</w:t>
            </w:r>
            <w:r>
              <w:rPr>
                <w:rFonts w:hint="cs" w:ascii="方正书宋_GBK" w:eastAsia="方正书宋_GBK"/>
                <w:color w:val="auto"/>
              </w:rPr>
              <w:t>”</w:t>
            </w:r>
            <w:r>
              <w:rPr>
                <w:rFonts w:hint="eastAsia" w:ascii="方正书宋_GBK" w:eastAsia="方正书宋_GBK"/>
                <w:color w:val="auto"/>
              </w:rPr>
              <w:t>区域实验等。</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视力、听力、智力残疾儿童少年义务教育入学率达到</w:t>
            </w:r>
            <w:r>
              <w:rPr>
                <w:rFonts w:ascii="方正书宋_GBK" w:eastAsia="方正书宋_GBK"/>
                <w:color w:val="auto"/>
              </w:rPr>
              <w:t>80</w:t>
            </w:r>
            <w:r>
              <w:rPr>
                <w:rFonts w:hint="eastAsia" w:ascii="方正书宋_GBK" w:eastAsia="方正书宋_GBK"/>
                <w:color w:val="auto"/>
              </w:rPr>
              <w:t>％，特教学校生均经费达到</w:t>
            </w:r>
            <w:r>
              <w:rPr>
                <w:rFonts w:ascii="方正书宋_GBK" w:eastAsia="方正书宋_GBK"/>
                <w:color w:val="auto"/>
              </w:rPr>
              <w:t>6000</w:t>
            </w:r>
            <w:r>
              <w:rPr>
                <w:rFonts w:hint="eastAsia" w:ascii="方正书宋_GBK" w:eastAsia="方正书宋_GBK"/>
                <w:color w:val="auto"/>
              </w:rPr>
              <w:t>元，建设一批</w:t>
            </w:r>
            <w:r>
              <w:rPr>
                <w:rFonts w:hint="cs" w:ascii="方正书宋_GBK" w:eastAsia="方正书宋_GBK"/>
                <w:color w:val="auto"/>
              </w:rPr>
              <w:t>“</w:t>
            </w:r>
            <w:r>
              <w:rPr>
                <w:rFonts w:hint="eastAsia" w:ascii="方正书宋_GBK" w:eastAsia="方正书宋_GBK"/>
                <w:color w:val="auto"/>
              </w:rPr>
              <w:t>医教结合</w:t>
            </w:r>
            <w:r>
              <w:rPr>
                <w:rFonts w:hint="cs" w:ascii="方正书宋_GBK" w:eastAsia="方正书宋_GBK"/>
                <w:color w:val="auto"/>
              </w:rPr>
              <w:t>”</w:t>
            </w:r>
            <w:r>
              <w:rPr>
                <w:rFonts w:hint="eastAsia" w:ascii="方正书宋_GBK" w:eastAsia="方正书宋_GBK"/>
                <w:color w:val="auto"/>
              </w:rPr>
              <w:t>学校。</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入学率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建设</w:t>
            </w:r>
            <w:r>
              <w:rPr>
                <w:rFonts w:hint="cs" w:ascii="方正书宋_GBK" w:eastAsia="方正书宋_GBK"/>
                <w:color w:val="auto"/>
              </w:rPr>
              <w:t>“</w:t>
            </w:r>
            <w:r>
              <w:rPr>
                <w:rFonts w:hint="eastAsia" w:ascii="方正书宋_GBK" w:eastAsia="方正书宋_GBK"/>
                <w:color w:val="auto"/>
              </w:rPr>
              <w:t>医教结合</w:t>
            </w:r>
            <w:r>
              <w:rPr>
                <w:rFonts w:hint="cs" w:ascii="方正书宋_GBK" w:eastAsia="方正书宋_GBK"/>
                <w:color w:val="auto"/>
              </w:rPr>
              <w:t>”</w:t>
            </w:r>
            <w:r>
              <w:rPr>
                <w:rFonts w:hint="eastAsia" w:ascii="方正书宋_GBK" w:eastAsia="方正书宋_GBK"/>
                <w:color w:val="auto"/>
              </w:rPr>
              <w:t>学校数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三、普通高中教育</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4364.13</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健全普通高中国家助学金制度，改善普通高中办学件。</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改善贫困地区普通高中办学条件，免除建档立卡的贫困高中学生的学费、住宿费、教课书费。</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、改善普通高中办学条件和学生资助</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4364.13</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提高我县高中毛入学率。改善贫困地区普通高中办学条件，从</w:t>
            </w:r>
            <w:r>
              <w:rPr>
                <w:rFonts w:ascii="方正书宋_GBK" w:eastAsia="方正书宋_GBK"/>
                <w:color w:val="auto"/>
              </w:rPr>
              <w:t>2016</w:t>
            </w:r>
            <w:r>
              <w:rPr>
                <w:rFonts w:hint="eastAsia" w:ascii="方正书宋_GBK" w:eastAsia="方正书宋_GBK"/>
                <w:color w:val="auto"/>
              </w:rPr>
              <w:t>年秋季学期开始，对建档立卡的公办高中贫困学生，实行免学费、免住宿费、免费提供教课书。</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提高我县高中毛入学率。改善贫困地区普通高中办学条件，从</w:t>
            </w:r>
            <w:r>
              <w:rPr>
                <w:rFonts w:ascii="方正书宋_GBK" w:eastAsia="方正书宋_GBK"/>
                <w:color w:val="auto"/>
              </w:rPr>
              <w:t>2016</w:t>
            </w:r>
            <w:r>
              <w:rPr>
                <w:rFonts w:hint="eastAsia" w:ascii="方正书宋_GBK" w:eastAsia="方正书宋_GBK"/>
                <w:color w:val="auto"/>
              </w:rPr>
              <w:t>年秋季学期开始，对建档立卡的公办高中贫困学生，实行免学费、免住宿费、免费提供教课书。</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在校高中生数量</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9300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8800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建档立卡的公办高中贫困学生</w:t>
            </w:r>
            <w:r>
              <w:rPr>
                <w:rFonts w:hint="cs" w:ascii="方正书宋_GBK" w:eastAsia="方正书宋_GBK"/>
                <w:color w:val="auto"/>
              </w:rPr>
              <w:t>“</w:t>
            </w:r>
            <w:r>
              <w:rPr>
                <w:rFonts w:hint="eastAsia" w:ascii="方正书宋_GBK" w:eastAsia="方正书宋_GBK"/>
                <w:color w:val="auto"/>
              </w:rPr>
              <w:t>三免</w:t>
            </w:r>
            <w:r>
              <w:rPr>
                <w:rFonts w:hint="cs" w:ascii="方正书宋_GBK" w:eastAsia="方正书宋_GBK"/>
                <w:color w:val="auto"/>
              </w:rPr>
              <w:t>”</w:t>
            </w:r>
            <w:r>
              <w:rPr>
                <w:rFonts w:hint="eastAsia" w:ascii="方正书宋_GBK" w:eastAsia="方正书宋_GBK"/>
                <w:color w:val="auto"/>
              </w:rPr>
              <w:t>覆盖率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0.99</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0.98</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三免</w:t>
            </w:r>
            <w:r>
              <w:rPr>
                <w:rFonts w:hint="cs" w:ascii="方正书宋_GBK" w:eastAsia="方正书宋_GBK"/>
                <w:color w:val="auto"/>
              </w:rPr>
              <w:t>”</w:t>
            </w:r>
            <w:r>
              <w:rPr>
                <w:rFonts w:hint="eastAsia" w:ascii="方正书宋_GBK" w:eastAsia="方正书宋_GBK"/>
                <w:color w:val="auto"/>
              </w:rPr>
              <w:t>的高中贫困学生数量</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350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330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310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高中阶段毛入学率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86%</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、落实高考奖励政策</w:t>
            </w:r>
          </w:p>
        </w:tc>
        <w:tc>
          <w:tcPr>
            <w:tcW w:w="1276" w:type="dxa"/>
            <w:shd w:val="clear" w:color="auto" w:fill="auto"/>
            <w:vAlign w:val="center"/>
          </w:tcPr>
          <w:p>
            <w:pPr>
              <w:spacing w:line="300" w:lineRule="exact"/>
              <w:jc w:val="left"/>
              <w:rPr>
                <w:rFonts w:ascii="方正书宋_GBK" w:eastAsia="方正书宋_GBK"/>
                <w:color w:val="auto"/>
              </w:rPr>
            </w:pP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对高三教师发放奖金</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大力发展高中教育，落实高三教师奖励政策</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高中毛入学率，高三教师发放高考资金</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四、职业教育</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1280.70</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大力发展职业教育，坚持以就业为导向，深化职业教育教学改革，增强职业教育发展活力。</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推进职业教育质量提升工程。认真贯彻落实上级中等职业学校各类专业教学标准，推进中等职业学校教学工作诊断与改进。</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、提升中等职业教育质量</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1280.70</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实施重点中职学校质量提升计划，建设全省精品校，形成优势带动。改善职业学校办学条件；落实中等职业学校免学费、助学金政策和生均公用经费标准。</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落实中等职业学校免学费、助学金政策和生均公用经费标准。</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中职生均设备价值</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12000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11000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10000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家庭经济困难学生助学金覆盖率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96%</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中职教学设备购置数量</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550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400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家庭经济困难学生助学金补助人次</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3800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3600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新建、改扩建中职校舍面积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2500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2200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2000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中职生均校舍面积</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38</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35</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、提升高等职业教育办学水平</w:t>
            </w:r>
          </w:p>
        </w:tc>
        <w:tc>
          <w:tcPr>
            <w:tcW w:w="1276" w:type="dxa"/>
            <w:vMerge w:val="restart"/>
            <w:shd w:val="clear" w:color="auto" w:fill="auto"/>
            <w:vAlign w:val="center"/>
          </w:tcPr>
          <w:p>
            <w:pPr>
              <w:spacing w:line="300" w:lineRule="exact"/>
              <w:jc w:val="left"/>
              <w:rPr>
                <w:rFonts w:ascii="方正书宋_GBK" w:eastAsia="方正书宋_GBK"/>
                <w:color w:val="auto"/>
              </w:rPr>
            </w:pP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扩大优质教育资源，深化教育教学改革，提升专业发展水平。提高高职院校生均拨款水平，增强学校经费保障能力。</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深化教育教学改革，进一步扩大高等职业教育优质教育资源，提高高职高专院校生均拨款水平，</w:t>
            </w:r>
            <w:r>
              <w:rPr>
                <w:rFonts w:ascii="方正书宋_GBK" w:eastAsia="方正书宋_GBK"/>
                <w:color w:val="auto"/>
              </w:rPr>
              <w:t>2017</w:t>
            </w:r>
            <w:r>
              <w:rPr>
                <w:rFonts w:hint="eastAsia" w:ascii="方正书宋_GBK" w:eastAsia="方正书宋_GBK"/>
                <w:color w:val="auto"/>
              </w:rPr>
              <w:t>年力争达到</w:t>
            </w:r>
            <w:r>
              <w:rPr>
                <w:rFonts w:ascii="方正书宋_GBK" w:eastAsia="方正书宋_GBK"/>
                <w:color w:val="auto"/>
              </w:rPr>
              <w:t>12000</w:t>
            </w:r>
            <w:r>
              <w:rPr>
                <w:rFonts w:hint="eastAsia" w:ascii="方正书宋_GBK" w:eastAsia="方正书宋_GBK"/>
                <w:color w:val="auto"/>
              </w:rPr>
              <w:t>元。</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万元财政投入培养的学生数</w:t>
            </w: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教学保障率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五、教师队伍建设</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50.00</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主管全县教师工作，实施各类教师资格制度，实施各类学校教师和教育行政干部队伍建设工作，实施教育系统人事制度改革等工作。</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完成中小学骨干、学科教师培训，高层次、优秀人才引进计划，提高特殊群体教师待遇。</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、提升教师队伍素质</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50.00</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开展中小学、校长培训，完成中小学、幼儿园教师国家级培训计划。发放原民办代课教师教龄补助。落实集中连片特困地区边远乡村教师生活补助政策。开展三区支教。建立乡村教师荣誉制度。</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为原民办代课教师教龄发放补助。按照年人均</w:t>
            </w:r>
            <w:r>
              <w:rPr>
                <w:rFonts w:ascii="方正书宋_GBK" w:eastAsia="方正书宋_GBK"/>
                <w:color w:val="auto"/>
              </w:rPr>
              <w:t>3000</w:t>
            </w:r>
            <w:r>
              <w:rPr>
                <w:rFonts w:hint="eastAsia" w:ascii="方正书宋_GBK" w:eastAsia="方正书宋_GBK"/>
                <w:color w:val="auto"/>
              </w:rPr>
              <w:t>元标准，发放边远乡村教师生活补助。落实三区支教省级配套资金。对扎根乡村的教师进行表彰。</w:t>
            </w:r>
          </w:p>
        </w:tc>
        <w:tc>
          <w:tcPr>
            <w:tcW w:w="1417" w:type="dxa"/>
            <w:shd w:val="clear" w:color="auto" w:fill="auto"/>
            <w:vAlign w:val="center"/>
          </w:tcPr>
          <w:p>
            <w:pPr>
              <w:spacing w:line="300" w:lineRule="exact"/>
              <w:jc w:val="left"/>
              <w:rPr>
                <w:rFonts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三区</w:t>
            </w:r>
            <w:r>
              <w:rPr>
                <w:rFonts w:hint="cs" w:ascii="方正书宋_GBK" w:eastAsia="方正书宋_GBK"/>
                <w:color w:val="auto"/>
              </w:rPr>
              <w:t>”</w:t>
            </w:r>
            <w:r>
              <w:rPr>
                <w:rFonts w:hint="eastAsia" w:ascii="方正书宋_GBK" w:eastAsia="方正书宋_GBK"/>
                <w:color w:val="auto"/>
              </w:rPr>
              <w:t>支教学生、家长满意度情况</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96%</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培训教师人数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4800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4550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4300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&lt;4300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选派</w:t>
            </w:r>
            <w:r>
              <w:rPr>
                <w:rFonts w:hint="cs" w:ascii="方正书宋_GBK" w:eastAsia="方正书宋_GBK"/>
                <w:color w:val="auto"/>
              </w:rPr>
              <w:t>“</w:t>
            </w:r>
            <w:r>
              <w:rPr>
                <w:rFonts w:hint="eastAsia" w:ascii="方正书宋_GBK" w:eastAsia="方正书宋_GBK"/>
                <w:color w:val="auto"/>
              </w:rPr>
              <w:t>三区</w:t>
            </w:r>
            <w:r>
              <w:rPr>
                <w:rFonts w:hint="cs" w:ascii="方正书宋_GBK" w:eastAsia="方正书宋_GBK"/>
                <w:color w:val="auto"/>
              </w:rPr>
              <w:t>”</w:t>
            </w:r>
            <w:r>
              <w:rPr>
                <w:rFonts w:hint="eastAsia" w:ascii="方正书宋_GBK" w:eastAsia="方正书宋_GBK"/>
                <w:color w:val="auto"/>
              </w:rPr>
              <w:t>支教教师人数</w:t>
            </w: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参训教师合格率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92%</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六、推进教育公平</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12800.33</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负责推进教育公平</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对高校家庭经济困难学生进行资助，确保每一名家庭经济困难学生不因贫困而失学。</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、资助贫困学生</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194.66</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设立助学金用于资助家庭经济困难学生和品学兼优的学生。</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每年资助高校贫困学生</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贫困学生资助人数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370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360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资助经费发放到位率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、提高特殊群体教师待遇</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12605.67</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为代课教师发放教龄补助，对边远乡村教师发放生活补助。</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提高特殊群体教师待遇。</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资金测算准确率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院校资金发放到位率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70%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完成工作量的</w:t>
            </w:r>
            <w:r>
              <w:rPr>
                <w:rFonts w:ascii="方正书宋_GBK" w:eastAsia="方正书宋_GBK"/>
                <w:color w:val="auto"/>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七、教育政务管理</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1134.51</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负责教育系统综合业务管理和机关综合事务管理。</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依法行政，构建人民群众满意、勤政廉洁的政府部门；保障工作正常高效运行，相关工作顺利开展。</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、综合业务管理</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787.15</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做好教育政策制定、教育改革、教育科研、教育信息化建设等工作。</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做好各项教育管理工作。</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机关业务对象满意度</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综合业务管理工作完成率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、综合事务管理</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347.36</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做好会议培训组织，内部信息化建设与维护，财务和资产管理，标准化建设，基础设施维修，大型设备购置，人事、党务以及老干部管理等工作。</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保障机关工作正常高效运转。</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综合事务管理工作完成率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机关工作人员满意度</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八、体育发展</w:t>
            </w:r>
          </w:p>
        </w:tc>
        <w:tc>
          <w:tcPr>
            <w:tcW w:w="1276"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123.00</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推动多元化体育服务体系建设，推动体育公共服务；规范体育服务管理工作。</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加强体育公共服务体系建设，促进全县体育事业全面协调可持续发展。引导全县体育产业繁荣、健康、良性发展。</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、体育发展</w:t>
            </w:r>
          </w:p>
        </w:tc>
        <w:tc>
          <w:tcPr>
            <w:tcW w:w="1276" w:type="dxa"/>
            <w:vMerge w:val="restart"/>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123.00</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贯彻落实《全民健身条例》，推行全民健身计划，组织开展群众体育活动，加强群众体育设施建设，指导群众科学健身，指导开展群众性体育活动，会同有关部门举办全县残疾人、农民、少数民族、职工综合性运动会，培训社会体育指导员。</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指导全县优秀运动队建设；组织各类综合性运动比赛；提高全县竞技体育水平。</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大型比赛群众参与度（人次）</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300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250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200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大型全民健身活动参与人数增长率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场馆设施运行状况</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运行良好</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正常运行</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部分不能正常运行</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不能使用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组织开展大型全民健身活动次数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做好社会体育指导员的管理、指导和培训</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举办综合性运动比赛次数</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6</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5</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、体育设施建设</w:t>
            </w:r>
          </w:p>
        </w:tc>
        <w:tc>
          <w:tcPr>
            <w:tcW w:w="1276" w:type="dxa"/>
            <w:vMerge w:val="restart"/>
            <w:shd w:val="clear" w:color="auto" w:fill="auto"/>
            <w:vAlign w:val="center"/>
          </w:tcPr>
          <w:p>
            <w:pPr>
              <w:spacing w:line="300" w:lineRule="exact"/>
              <w:jc w:val="left"/>
              <w:rPr>
                <w:rFonts w:ascii="方正书宋_GBK" w:eastAsia="方正书宋_GBK"/>
                <w:color w:val="auto"/>
              </w:rPr>
            </w:pP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加强体育场馆、体育设施建设，加强公共体育设施监督管理。</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建设功能明确、特色鲜明、设备先进、管理科学的体育训练场地、场馆和设施，使之成为群众健身、体育训练和服务的基础保障。</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年度基本建设和维修改造计划完成率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场地建设达标率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九、政务管理</w:t>
            </w:r>
          </w:p>
        </w:tc>
        <w:tc>
          <w:tcPr>
            <w:tcW w:w="1276" w:type="dxa"/>
            <w:shd w:val="clear" w:color="auto" w:fill="auto"/>
            <w:vAlign w:val="center"/>
          </w:tcPr>
          <w:p>
            <w:pPr>
              <w:spacing w:line="300" w:lineRule="exact"/>
              <w:jc w:val="left"/>
              <w:rPr>
                <w:rFonts w:ascii="方正书宋_GBK" w:eastAsia="方正书宋_GBK"/>
                <w:color w:val="auto"/>
              </w:rPr>
            </w:pP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负责系统综合业务管理和机关综合事务管理。</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确保各项业务工作谋划到位、顺利开展。保障机关工作正常高效运转。</w:t>
            </w:r>
          </w:p>
        </w:tc>
        <w:tc>
          <w:tcPr>
            <w:tcW w:w="1417" w:type="dxa"/>
            <w:shd w:val="clear" w:color="auto" w:fill="auto"/>
            <w:vAlign w:val="center"/>
          </w:tcPr>
          <w:p>
            <w:pPr>
              <w:spacing w:line="300" w:lineRule="exact"/>
              <w:jc w:val="left"/>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c>
          <w:tcPr>
            <w:tcW w:w="737" w:type="dxa"/>
            <w:shd w:val="clear" w:color="auto" w:fill="auto"/>
            <w:vAlign w:val="center"/>
          </w:tcPr>
          <w:p>
            <w:pPr>
              <w:spacing w:line="300" w:lineRule="exact"/>
              <w:jc w:val="center"/>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、综合业务管理</w:t>
            </w:r>
          </w:p>
        </w:tc>
        <w:tc>
          <w:tcPr>
            <w:tcW w:w="1276" w:type="dxa"/>
            <w:vMerge w:val="restart"/>
            <w:shd w:val="clear" w:color="auto" w:fill="auto"/>
            <w:vAlign w:val="center"/>
          </w:tcPr>
          <w:p>
            <w:pPr>
              <w:spacing w:line="300" w:lineRule="exact"/>
              <w:jc w:val="left"/>
              <w:rPr>
                <w:rFonts w:ascii="方正书宋_GBK" w:eastAsia="方正书宋_GBK"/>
                <w:color w:val="auto"/>
              </w:rPr>
            </w:pP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拟定体育事业和产业发展规划，开展体育赛事管理、体育交流合作宣传等工作。</w:t>
            </w:r>
          </w:p>
        </w:tc>
        <w:tc>
          <w:tcPr>
            <w:tcW w:w="2976" w:type="dxa"/>
            <w:vMerge w:val="restart"/>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确保各项业务工作谋划到位、顺利开展。</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年度任务完成率</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pPr>
              <w:spacing w:line="300" w:lineRule="exact"/>
              <w:jc w:val="left"/>
              <w:rPr>
                <w:rFonts w:ascii="方正书宋_GBK" w:eastAsia="方正书宋_GBK"/>
                <w:b/>
                <w:color w:val="auto"/>
              </w:rPr>
            </w:pPr>
          </w:p>
        </w:tc>
        <w:tc>
          <w:tcPr>
            <w:tcW w:w="12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2976" w:type="dxa"/>
            <w:vMerge w:val="continue"/>
            <w:shd w:val="clear" w:color="auto" w:fill="auto"/>
            <w:vAlign w:val="center"/>
          </w:tcPr>
          <w:p>
            <w:pPr>
              <w:spacing w:line="300" w:lineRule="exact"/>
              <w:jc w:val="left"/>
              <w:rPr>
                <w:rFonts w:ascii="方正书宋_GBK" w:eastAsia="方正书宋_GBK"/>
                <w:color w:val="auto"/>
              </w:rPr>
            </w:pP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公众满意度</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、综合事务管理</w:t>
            </w:r>
          </w:p>
        </w:tc>
        <w:tc>
          <w:tcPr>
            <w:tcW w:w="1276" w:type="dxa"/>
            <w:shd w:val="clear" w:color="auto" w:fill="auto"/>
            <w:vAlign w:val="center"/>
          </w:tcPr>
          <w:p>
            <w:pPr>
              <w:spacing w:line="300" w:lineRule="exact"/>
              <w:jc w:val="left"/>
              <w:rPr>
                <w:rFonts w:ascii="方正书宋_GBK" w:eastAsia="方正书宋_GBK"/>
                <w:color w:val="auto"/>
              </w:rPr>
            </w:pP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主要开展设施维护运行等保障运转工作。</w:t>
            </w:r>
          </w:p>
        </w:tc>
        <w:tc>
          <w:tcPr>
            <w:tcW w:w="2976"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保障机关工作正常高效运转。</w:t>
            </w:r>
          </w:p>
        </w:tc>
        <w:tc>
          <w:tcPr>
            <w:tcW w:w="141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综合事务管理工作完成率</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pPr>
              <w:spacing w:line="300" w:lineRule="exact"/>
              <w:jc w:val="center"/>
              <w:rPr>
                <w:rFonts w:ascii="方正书宋_GBK" w:eastAsia="方正书宋_GBK"/>
                <w:color w:val="auto"/>
              </w:rPr>
            </w:pPr>
            <w:r>
              <w:rPr>
                <w:rFonts w:ascii="方正书宋_GBK" w:eastAsia="方正书宋_GBK"/>
                <w:color w:val="auto"/>
              </w:rPr>
              <w:t>&lt;90%</w:t>
            </w:r>
          </w:p>
        </w:tc>
      </w:tr>
    </w:tbl>
    <w:p>
      <w:pPr>
        <w:autoSpaceDE w:val="0"/>
        <w:autoSpaceDN w:val="0"/>
        <w:adjustRightInd w:val="0"/>
        <w:ind w:left="198" w:firstLine="643" w:firstLineChars="200"/>
        <w:jc w:val="left"/>
        <w:rPr>
          <w:rFonts w:ascii="Times New Roman" w:hAnsi="Times New Roman" w:eastAsia="仿宋" w:cs="Times New Roman"/>
          <w:b/>
          <w:color w:val="auto"/>
          <w:sz w:val="32"/>
          <w:szCs w:val="32"/>
        </w:rPr>
      </w:pPr>
    </w:p>
    <w:p>
      <w:pPr>
        <w:jc w:val="center"/>
        <w:outlineLvl w:val="0"/>
        <w:rPr>
          <w:rFonts w:ascii="方正小标宋_GBK" w:hAnsi="Times New Roman" w:eastAsia="方正小标宋_GBK" w:cs="Times New Roman"/>
          <w:color w:val="auto"/>
          <w:sz w:val="32"/>
          <w:szCs w:val="24"/>
        </w:rPr>
      </w:pPr>
    </w:p>
    <w:p>
      <w:pPr>
        <w:autoSpaceDE w:val="0"/>
        <w:autoSpaceDN w:val="0"/>
        <w:adjustRightInd w:val="0"/>
        <w:ind w:firstLine="960" w:firstLineChars="300"/>
        <w:jc w:val="left"/>
        <w:rPr>
          <w:rFonts w:ascii="黑体" w:hAnsi="黑体" w:eastAsia="黑体" w:cs="Times New Roman"/>
          <w:color w:val="auto"/>
          <w:sz w:val="32"/>
          <w:szCs w:val="32"/>
        </w:rPr>
      </w:pPr>
    </w:p>
    <w:p>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我部门</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rPr>
        <w:t>18426.17</w:t>
      </w:r>
      <w:r>
        <w:rPr>
          <w:rFonts w:ascii="Times New Roman" w:hAnsi="Times New Roman" w:eastAsia="仿宋" w:cs="Times New Roman"/>
          <w:color w:val="auto"/>
          <w:sz w:val="32"/>
          <w:szCs w:val="24"/>
        </w:rPr>
        <w:t>万元。具体内容见下表。</w:t>
      </w:r>
      <w:bookmarkEnd w:id="2"/>
    </w:p>
    <w:p>
      <w:pPr>
        <w:jc w:val="center"/>
        <w:outlineLvl w:val="0"/>
        <w:rPr>
          <w:rFonts w:ascii="方正小标宋_GBK" w:eastAsia="方正小标宋_GBK"/>
          <w:color w:val="auto"/>
          <w:sz w:val="32"/>
        </w:rPr>
      </w:pPr>
      <w:bookmarkStart w:id="3" w:name="_Toc539895"/>
      <w:bookmarkStart w:id="4" w:name="_Toc503971530"/>
      <w:r>
        <w:rPr>
          <w:rFonts w:hint="eastAsia" w:ascii="方正小标宋_GBK" w:eastAsia="方正小标宋_GBK"/>
          <w:color w:val="auto"/>
          <w:sz w:val="32"/>
        </w:rPr>
        <w:t>部门政府采购预算</w:t>
      </w:r>
      <w:bookmarkEnd w:id="3"/>
    </w:p>
    <w:tbl>
      <w:tblPr>
        <w:tblStyle w:val="7"/>
        <w:tblW w:w="1456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24"/>
        <w:gridCol w:w="975"/>
        <w:gridCol w:w="850"/>
        <w:gridCol w:w="1371"/>
        <w:gridCol w:w="637"/>
        <w:gridCol w:w="951"/>
        <w:gridCol w:w="951"/>
        <w:gridCol w:w="1063"/>
        <w:gridCol w:w="1063"/>
        <w:gridCol w:w="1063"/>
        <w:gridCol w:w="838"/>
        <w:gridCol w:w="851"/>
        <w:gridCol w:w="832"/>
        <w:gridCol w:w="7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8059" w:type="dxa"/>
            <w:gridSpan w:val="7"/>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color w:val="auto"/>
                <w:sz w:val="24"/>
              </w:rPr>
            </w:pPr>
            <w:r>
              <w:rPr>
                <w:rFonts w:ascii="方正小标宋_GBK" w:eastAsia="方正小标宋_GBK"/>
                <w:color w:val="auto"/>
                <w:sz w:val="24"/>
              </w:rPr>
              <w:t>360</w:t>
            </w:r>
            <w:r>
              <w:rPr>
                <w:rFonts w:hint="eastAsia" w:ascii="方正小标宋_GBK" w:eastAsia="方正小标宋_GBK"/>
                <w:color w:val="auto"/>
                <w:sz w:val="24"/>
              </w:rPr>
              <w:t>曲阳县教育局</w:t>
            </w:r>
          </w:p>
        </w:tc>
        <w:tc>
          <w:tcPr>
            <w:tcW w:w="6509" w:type="dxa"/>
            <w:gridSpan w:val="7"/>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3299" w:type="dxa"/>
            <w:gridSpan w:val="2"/>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850"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1371"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637"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951"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951"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509" w:type="dxa"/>
            <w:gridSpan w:val="7"/>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324"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975"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850" w:type="dxa"/>
            <w:vMerge w:val="continue"/>
            <w:shd w:val="clear" w:color="auto" w:fill="auto"/>
            <w:vAlign w:val="center"/>
          </w:tcPr>
          <w:p>
            <w:pPr>
              <w:spacing w:line="300" w:lineRule="exact"/>
              <w:jc w:val="left"/>
              <w:outlineLvl w:val="0"/>
              <w:rPr>
                <w:color w:val="auto"/>
              </w:rPr>
            </w:pPr>
          </w:p>
        </w:tc>
        <w:tc>
          <w:tcPr>
            <w:tcW w:w="1371" w:type="dxa"/>
            <w:vMerge w:val="continue"/>
            <w:shd w:val="clear" w:color="auto" w:fill="auto"/>
            <w:vAlign w:val="center"/>
          </w:tcPr>
          <w:p>
            <w:pPr>
              <w:spacing w:line="300" w:lineRule="exact"/>
              <w:jc w:val="left"/>
              <w:outlineLvl w:val="0"/>
              <w:rPr>
                <w:color w:val="auto"/>
              </w:rPr>
            </w:pPr>
          </w:p>
        </w:tc>
        <w:tc>
          <w:tcPr>
            <w:tcW w:w="637" w:type="dxa"/>
            <w:vMerge w:val="continue"/>
            <w:shd w:val="clear" w:color="auto" w:fill="auto"/>
            <w:vAlign w:val="center"/>
          </w:tcPr>
          <w:p>
            <w:pPr>
              <w:spacing w:line="300" w:lineRule="exact"/>
              <w:jc w:val="left"/>
              <w:outlineLvl w:val="0"/>
              <w:rPr>
                <w:color w:val="auto"/>
              </w:rPr>
            </w:pPr>
          </w:p>
        </w:tc>
        <w:tc>
          <w:tcPr>
            <w:tcW w:w="951" w:type="dxa"/>
            <w:vMerge w:val="continue"/>
            <w:shd w:val="clear" w:color="auto" w:fill="auto"/>
            <w:vAlign w:val="center"/>
          </w:tcPr>
          <w:p>
            <w:pPr>
              <w:spacing w:line="300" w:lineRule="exact"/>
              <w:jc w:val="left"/>
              <w:outlineLvl w:val="0"/>
              <w:rPr>
                <w:color w:val="auto"/>
              </w:rPr>
            </w:pPr>
          </w:p>
        </w:tc>
        <w:tc>
          <w:tcPr>
            <w:tcW w:w="951" w:type="dxa"/>
            <w:vMerge w:val="continue"/>
            <w:shd w:val="clear" w:color="auto" w:fill="auto"/>
            <w:vAlign w:val="center"/>
          </w:tcPr>
          <w:p>
            <w:pPr>
              <w:spacing w:line="300" w:lineRule="exact"/>
              <w:jc w:val="left"/>
              <w:outlineLvl w:val="0"/>
              <w:rPr>
                <w:color w:val="auto"/>
              </w:rPr>
            </w:pPr>
          </w:p>
        </w:tc>
        <w:tc>
          <w:tcPr>
            <w:tcW w:w="1063"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647" w:type="dxa"/>
            <w:gridSpan w:val="5"/>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799" w:type="dxa"/>
            <w:vMerge w:val="restart"/>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324" w:type="dxa"/>
            <w:vMerge w:val="continue"/>
            <w:shd w:val="clear" w:color="auto" w:fill="auto"/>
            <w:vAlign w:val="center"/>
          </w:tcPr>
          <w:p>
            <w:pPr>
              <w:spacing w:line="300" w:lineRule="exact"/>
              <w:jc w:val="left"/>
              <w:outlineLvl w:val="0"/>
              <w:rPr>
                <w:color w:val="auto"/>
              </w:rPr>
            </w:pPr>
          </w:p>
        </w:tc>
        <w:tc>
          <w:tcPr>
            <w:tcW w:w="975" w:type="dxa"/>
            <w:vMerge w:val="continue"/>
            <w:shd w:val="clear" w:color="auto" w:fill="auto"/>
            <w:vAlign w:val="center"/>
          </w:tcPr>
          <w:p>
            <w:pPr>
              <w:spacing w:line="300" w:lineRule="exact"/>
              <w:jc w:val="left"/>
              <w:outlineLvl w:val="0"/>
              <w:rPr>
                <w:color w:val="auto"/>
              </w:rPr>
            </w:pPr>
          </w:p>
        </w:tc>
        <w:tc>
          <w:tcPr>
            <w:tcW w:w="850" w:type="dxa"/>
            <w:vMerge w:val="continue"/>
            <w:shd w:val="clear" w:color="auto" w:fill="auto"/>
            <w:vAlign w:val="center"/>
          </w:tcPr>
          <w:p>
            <w:pPr>
              <w:spacing w:line="300" w:lineRule="exact"/>
              <w:jc w:val="left"/>
              <w:outlineLvl w:val="0"/>
              <w:rPr>
                <w:color w:val="auto"/>
              </w:rPr>
            </w:pPr>
          </w:p>
        </w:tc>
        <w:tc>
          <w:tcPr>
            <w:tcW w:w="1371" w:type="dxa"/>
            <w:vMerge w:val="continue"/>
            <w:shd w:val="clear" w:color="auto" w:fill="auto"/>
            <w:vAlign w:val="center"/>
          </w:tcPr>
          <w:p>
            <w:pPr>
              <w:spacing w:line="300" w:lineRule="exact"/>
              <w:jc w:val="left"/>
              <w:outlineLvl w:val="0"/>
              <w:rPr>
                <w:color w:val="auto"/>
              </w:rPr>
            </w:pPr>
          </w:p>
        </w:tc>
        <w:tc>
          <w:tcPr>
            <w:tcW w:w="637" w:type="dxa"/>
            <w:vMerge w:val="continue"/>
            <w:shd w:val="clear" w:color="auto" w:fill="auto"/>
            <w:vAlign w:val="center"/>
          </w:tcPr>
          <w:p>
            <w:pPr>
              <w:spacing w:line="300" w:lineRule="exact"/>
              <w:jc w:val="left"/>
              <w:outlineLvl w:val="0"/>
              <w:rPr>
                <w:color w:val="auto"/>
              </w:rPr>
            </w:pPr>
          </w:p>
        </w:tc>
        <w:tc>
          <w:tcPr>
            <w:tcW w:w="951" w:type="dxa"/>
            <w:vMerge w:val="continue"/>
            <w:shd w:val="clear" w:color="auto" w:fill="auto"/>
            <w:vAlign w:val="center"/>
          </w:tcPr>
          <w:p>
            <w:pPr>
              <w:spacing w:line="300" w:lineRule="exact"/>
              <w:jc w:val="left"/>
              <w:outlineLvl w:val="0"/>
              <w:rPr>
                <w:color w:val="auto"/>
              </w:rPr>
            </w:pPr>
          </w:p>
        </w:tc>
        <w:tc>
          <w:tcPr>
            <w:tcW w:w="951" w:type="dxa"/>
            <w:vMerge w:val="continue"/>
            <w:shd w:val="clear" w:color="auto" w:fill="auto"/>
            <w:vAlign w:val="center"/>
          </w:tcPr>
          <w:p>
            <w:pPr>
              <w:spacing w:line="300" w:lineRule="exact"/>
              <w:jc w:val="left"/>
              <w:outlineLvl w:val="0"/>
              <w:rPr>
                <w:color w:val="auto"/>
              </w:rPr>
            </w:pPr>
          </w:p>
        </w:tc>
        <w:tc>
          <w:tcPr>
            <w:tcW w:w="1063" w:type="dxa"/>
            <w:vMerge w:val="continue"/>
            <w:shd w:val="clear" w:color="auto" w:fill="auto"/>
            <w:vAlign w:val="center"/>
          </w:tcPr>
          <w:p>
            <w:pPr>
              <w:spacing w:line="300" w:lineRule="exact"/>
              <w:jc w:val="left"/>
              <w:outlineLvl w:val="0"/>
              <w:rPr>
                <w:color w:val="auto"/>
              </w:rPr>
            </w:pPr>
          </w:p>
        </w:tc>
        <w:tc>
          <w:tcPr>
            <w:tcW w:w="1063"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1063"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838"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851"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832"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799" w:type="dxa"/>
            <w:vMerge w:val="continue"/>
            <w:shd w:val="clear" w:color="auto" w:fill="auto"/>
            <w:vAlign w:val="center"/>
          </w:tcPr>
          <w:p>
            <w:pPr>
              <w:spacing w:line="300" w:lineRule="exact"/>
              <w:jc w:val="left"/>
              <w:outlineLvl w:val="0"/>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18426.17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18426.17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18000.57</w:t>
            </w:r>
          </w:p>
        </w:tc>
        <w:tc>
          <w:tcPr>
            <w:tcW w:w="838"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64.00</w:t>
            </w: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361.60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曲阳县教育局小计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16771.78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16771.78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16707.78</w:t>
            </w:r>
          </w:p>
        </w:tc>
        <w:tc>
          <w:tcPr>
            <w:tcW w:w="838"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64.00</w:t>
            </w: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扩大学前教育资源</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768.00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幼儿园生均公用经费补助资金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390.20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乡村学校少年宫项目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59.00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文艺设备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A0335</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义务教育综合奖补</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765.00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765.00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农村中小学校舍维修改造项目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2293.00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2293.00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2293.00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2293.00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2293.00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工程项目手续费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学生营养改善计划</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3361.00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其他货物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A99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学校工程款及质保金</w:t>
            </w:r>
            <w:r>
              <w:rPr>
                <w:rFonts w:ascii="方正书宋_GBK" w:eastAsia="方正书宋_GBK"/>
                <w:color w:val="auto"/>
              </w:rPr>
              <w:t>(</w:t>
            </w:r>
            <w:r>
              <w:rPr>
                <w:rFonts w:hint="eastAsia" w:ascii="方正书宋_GBK" w:eastAsia="方正书宋_GBK"/>
                <w:color w:val="auto"/>
              </w:rPr>
              <w:t>存量及县级资金</w:t>
            </w:r>
            <w:r>
              <w:rPr>
                <w:rFonts w:ascii="方正书宋_GBK" w:eastAsia="方正书宋_GBK"/>
                <w:color w:val="auto"/>
              </w:rPr>
              <w:t>)</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2022.00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2018</w:t>
            </w:r>
            <w:r>
              <w:rPr>
                <w:rFonts w:hint="eastAsia" w:ascii="方正书宋_GBK" w:eastAsia="方正书宋_GBK"/>
                <w:color w:val="auto"/>
              </w:rPr>
              <w:t>年迎接国家义务教育均衡化评估验收设备采购项目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886.00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886.00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886.00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886.00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886.00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二中新建足球场</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2016</w:t>
            </w:r>
            <w:r>
              <w:rPr>
                <w:rFonts w:hint="eastAsia" w:ascii="方正书宋_GBK" w:eastAsia="方正书宋_GBK"/>
                <w:color w:val="auto"/>
              </w:rPr>
              <w:t>年教学设备采购项目质保金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12.36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12.36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12.36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12.36</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学校取暖设备购置资金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2017</w:t>
            </w:r>
            <w:r>
              <w:rPr>
                <w:rFonts w:hint="eastAsia" w:ascii="方正书宋_GBK" w:eastAsia="方正书宋_GBK"/>
                <w:color w:val="auto"/>
              </w:rPr>
              <w:t>年迎接河北省均衡化评估验收设备采购项目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1967.00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1967.00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中小学薄弱学校改造资金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513.00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513.00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改善高中办学条件资金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925.00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事业单位用房施工</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B0106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925.00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教育管理事务</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7.92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7.92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7.92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7.92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国家标准化考点建设及维护</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招聘教师工作经费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国家标准化考点建设及维护质保金</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全民体育活动</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青少年体育活动</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77.50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青少年体育活动</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77.50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体育设备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河北省曲阳县第一高级中学小计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174.95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174.95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119.53</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55.42</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第一高级中学教育教学专项业务经费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743.00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修缮工程</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B08</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47.58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32.42</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第一高级中学教育教学专项业务经费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743.00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187.50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曲阳一中普通高中生均公用经费项目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166.75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469.50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46.95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46.95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46.95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曲阳一中普通高中生均公用经费项目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166.75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第一高级中学教育教学专项业务经费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743.00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曲阳一中普通高中生均公用经费项目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166.75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曲阳县第二初级中学小计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77.06</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复印机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打印设备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制冷空调设备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A020523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制冷空调设备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A020523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视频设备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A020911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1.96</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广播、电视、电影设备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视频设备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A020911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其他货物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A99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体育设备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6.64</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10.42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曲阳县第二初级中学教育教学专项业务经费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323.92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曲阳县第四高级中学小计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曲阳四中普通高中生均公用经费项目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35.70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演出服装</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A033502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曲阳四中普通高中生均公用经费项目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35.70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曲阳县第五高级中学小计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12.90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曲阳五中普通高中生均公用经费项目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90.72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曲阳五中普通高中生均公用经费项目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90.72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9.90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河北省曲阳县职业技术教育中心小计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425.98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425.98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418.98</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7.00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计算机软件</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A020108</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多功能一体机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打印设备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乐器</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架</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12.90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窗帘及类似品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A070305</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职教中心中职免学费项目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338.93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10.68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10.68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演出服装</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A033502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职教中心生均公用经费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184.50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职中实训楼维修改造项目（质量提升）</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装修工程</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B07</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职中实训室建设项目（教育费附加）</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计算机设备及软件</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职教中心教育教学专项业务经费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曲阳县招生委员会办公室小计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9.80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9.80</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9.80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招生办教育教学专项业务经费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197.36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会议服务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招生办教育教学专项业务经费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197.36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包</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曲阳县教育局成人教育办公室小计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20.00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20.00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20.00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成人教育费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教育服务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C18</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人次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保定广播电视大学曲阳分校小计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136.00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136.00</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136.00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A0802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38.00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会议服务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场</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修缮工程</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B08</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LED</w:t>
            </w:r>
            <w:r>
              <w:rPr>
                <w:rFonts w:hint="eastAsia" w:ascii="方正书宋_GBK" w:eastAsia="方正书宋_GBK"/>
                <w:color w:val="auto"/>
              </w:rPr>
              <w:t>显示屏</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A020207</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曲阳电大教育教学专项业务经费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427.05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曲阳县教师进修学校小计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81.50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81.50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30.00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51.50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教师进修学校教育教学专项业务经费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125.40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包</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教师进修学校教育教学专项业务经费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125.40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会议和展览服务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教师进修学校教育教学专项业务经费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125.40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专业技能培训服务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C1806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教师进修学校教育教学专项业务经费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125.40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包</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教师进修学校教育教学专项业务经费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125.40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中小学教师培训费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专业技能培训服务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C1806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学前教育教师培训</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专业技能培训服务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C1806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曲阳县教育局教研室小计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3.40</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教研室教育教学专项业务经费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15.65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曲阳县特教中心小计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特教中心教育教学专项业务经费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21.84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特教中心教育教学专项业务经费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21.84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曲阳县第一幼儿园小计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11.61</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11.61</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11.61</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投影仪</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广播、电视、电影设备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多功能一体机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1.18</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1.18</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饮食炊事机械</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A031210</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投影幕</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音频设备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A020912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2.43</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2.43</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第一幼儿园教育教学专项业务经费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109.60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曲阳县燕南学校小计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燕南学校教育教学专项业务经费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183.50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燕南学校教育教学专项业务经费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183.50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燕南学校教育教学专项业务经费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183.50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曲阳县文昌小学小计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37.11</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37.11</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37.11</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7.51</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7.51</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A020210</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触控一体机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A020208</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单人套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文昌小学教育教学专项业务经费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217.68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1860.00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18.60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曲阳县恒州镇中心学校小计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26.08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26.08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26.08</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恒州镇教育教学专项业务经费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191.06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恒州镇教育教学专项业务经费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191.06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恒州镇教育教学专项业务经费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191.06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万件</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14.48</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14.48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恒州镇教育教学专项业务经费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191.06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图书</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万本</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曲阳县下河乡中心学校小计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7.05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7.05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7.05</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下河乡教育教学专项业务经费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132.04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下河乡教育教学专项业务经费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132.04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百平方米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3.60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下河乡教育教学专项业务经费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132.04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百平方米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曲阳县路庄子乡中心学校小计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8.48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8.48</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8.48</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路庄子乡中心学校教育教学专项业务经费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74.10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1.64</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路庄子乡中心学校教育教学专项业务经费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74.10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通用设备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0.84</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路庄子乡中心学校教育教学专项业务经费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74.10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路庄子乡中心学校教育教学专项业务经费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74.10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曲阳县庄窠乡中心学校小计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5.66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5.66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5.66</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庄窠乡教育教学专项业务经费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47.16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226.00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2.26</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庄窠乡教育教学专项业务经费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47.16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庄窠乡教育教学专项业务经费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47.16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曲阳县燕赵镇中心学校小计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10.15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10.15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10.15</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燕赵镇中心学校教育教学专项业务经费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燕赵镇中心学校教育教学专项业务经费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8.45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曲阳县东旺乡中心学校小计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21.53</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21.53</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21.53</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东旺乡中心学校教育教学专项业务经费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182.66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东旺乡中心学校教育教学专项业务经费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182.66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东旺乡中心学校教育教学专项业务经费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182.66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东旺乡中心学校教育教学专项业务经费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182.66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曲阳县羊平镇中心学校小计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77.00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羊平镇教育教学专项业务经费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232.37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羊平镇教育教学专项业务经费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232.37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一批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56.42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56.42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56.42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56.42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羊平镇教育教学专项业务经费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232.37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一批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羊平镇教育教学专项业务经费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232.37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一批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12.48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曲阳县邸村乡中心学校小计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11.70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邸村乡教育教学专项业务经费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121.01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邸村乡教育教学专项业务经费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121.01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邸村乡教育教学专项业务经费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121.01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邸村乡教育教学专项业务经费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121.01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曲阳县晓林乡中心学校小计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10.97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10.97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10.97</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晓林乡中心学校教育教学专项业务经费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139.39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1.79</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1.79</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晓林乡中心学校教育教学专项业务经费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139.39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718.00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7.18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晓林乡中心学校教育教学专项业务经费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139.39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箱</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晓林乡中心学校教育教学专项业务经费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139.39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曲阳县灵山镇中心学校小计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110.90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110.90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110.90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452.25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452.25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A09</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万件</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452.25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图书</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万册</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452.25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灵山镇中心学校教育教学专项业务经费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452.25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曲阳县党城乡中心学校小计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11.30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党城乡教育教学专项业务经费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152.53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党城乡教育教学专项业务经费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152.53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曲阳县北台乡中心学校小计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8.56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8.56</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8.56</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476.00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4.76</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4.76</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箱</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曲阳县范家庄乡中心学校小计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1.83</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1.83</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1.83</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范家庄中心学校教育教学专项业务经费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0.33</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0.33</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0.33</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范家庄中心学校教育教学专项业务经费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42.93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曲阳县郎家庄乡中心学校小计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18.15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18.15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18.15</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郎家庄乡中心学校教育教学专项业务经费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4.30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郎家庄乡中心学校教育教学专项业务经费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郎家庄乡中心学校教育教学专项业务经费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箱</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郎家庄乡中心学校教育教学专项业务经费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147.25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曲阳县产德乡中心学校小计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12.65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12.65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12.65</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产德乡中心学校教育教学专项业务经费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产德乡中心学校教育教学专项业务经费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1.58</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产德乡中心学校教育教学专项业务经费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计算机设备维修和保养服务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一批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产德乡中心学校教育教学专项业务经费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150.66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一批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5.07</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5.07</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5.07</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5.07</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曲阳县孝墓乡中心学校小计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22.25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22.25</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22.25</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孝墓乡教育教学专项业务经费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孝墓乡教育教学专项业务经费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孝墓乡教育教学专项业务经费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孝墓乡教育教学专项业务经费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孝墓乡教育教学专项业务经费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110.04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2.85</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曲阳县齐村乡中心学校小计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10.37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10.37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10.37</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齐村乡中心学校教育教学专项业务经费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70.47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千张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0.95</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齐村乡中心学校教育教学专项业务经费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70.47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7.42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齐村乡中心学校教育教学专项业务经费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70.47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箱</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齐村乡中心学校教育教学专项业务经费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70.47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曲阳县路庄子中学小计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0.40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0.40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0.40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路庄子中学教育教学专项业务经费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25.79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曲阳县下河乡下河中学小计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下河中学教育教学专项业务经费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下河中学教育教学专项业务经费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55.37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百平米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曲阳县燕赵镇燕赵中学小计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7.50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燕赵中学教育教学专项业务经费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55.28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燕赵中学教育教学专项业务经费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55.28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曲阳县燕赵镇南留营中学小计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1.47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1.47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1.47</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南留营中学教育教学专项业务经费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23.35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0.47</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0.47</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0.47</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0.47</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南留营中学教育教学专项业务经费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23.35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曲阳县文德乡文德中学小计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1.39</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1.39</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1.39</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21.61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文德中学教育教学专项业务经费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21.61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119.00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1.19</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曲阳县文德乡南洪德中学小计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南洪德中学教育教学专项业务经费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南洪德中学教育教学专项业务经费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南洪德中学教育教学专项业务经费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箱</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南洪德中学教育教学专项业务经费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46.68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货物</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曲阳县东旺乡南杏树中学小计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3.60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3.60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3.60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南杏树中学教育教学专项业务经费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37.18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南杏树中学教育教学专项业务经费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37.18</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曲阳县东旺乡高门屯中学小计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10.02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10.02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10.02</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高门屯中学教育教学专项业务经费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高门屯中学教育教学专项业务经费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打印设备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高门屯中学教育教学专项业务经费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专用设备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高门屯中学教育教学专项业务经费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计算机设备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高门屯中学教育教学专项业务经费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54.26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曲阳县晓林乡晓林中学小计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0.30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晓林中学教育教学专项业务经费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14.57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曲阳县晓林乡崔家庄中学小计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3.49</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3.49</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3.49</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崔家庄中学教育教学专项业务经费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20.81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崔家庄中学教育教学专项业务经费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20.81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199.00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1.99</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曲阳县邸村乡东邸村中学小计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0.90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0.90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东邸村中学教育教学专项业务经费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东邸村中学教育教学专项业务经费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31.20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曲阳县党城乡喜峪中学小计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2.12</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喜峪中学教育教学专项业务经费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0.82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喜峪中学教育教学专项业务经费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34.07</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曲阳县北台乡北台中学小计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0.77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0.77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0.77</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0.39</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0.39</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北台中学教育教学专项业务经费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14.75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38.00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0.38</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曲阳县范家庄乡范家庄中学小计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1.80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范家庄中学教育教学专项业务经费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26.73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范家庄中学教育教学专项业务经费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26.73</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曲阳县灵山镇灵山中学小计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5.12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5.12</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5.12</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53.52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0.52</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灵山中学教育教学专项业务经费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53.52</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4.60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曲阳县灵山镇韩家村中学小计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韩家村中学教育教学专项业务经费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22.29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韩家村中学教育教学专项业务经费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22.29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曲阳县灵山镇北镇中学小计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1.70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北镇中学教育教学专项业务经费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29.64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北镇中学教育教学专项业务经费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29.64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曲阳县灵山镇朱家峪中学小计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6.00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朱家峪中学教育教学专项业务经费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69.19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朱家峪中学教育教学专项业务经费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69.19</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曲阳县齐村乡南雅握中学小计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2.40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2.40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2.40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南雅握中学教育教学专项业务经费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27.80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万张</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南雅握中学教育教学专项业务经费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27.80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曲阳县孝墓乡万华中学小计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0.10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0.10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0.10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万华中学教育教学专项业务经费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18.91</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曲阳县北岳中学小计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31.50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31.50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31.50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125.74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印刷和出版</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C0814</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125.74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打印设备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125.74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制冷空调设备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A020523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125.74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保安监控和防盗报警系统工程</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B060202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北岳中学教育教学专项业务经费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125.74</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河北省曲阳永宁中学小计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95.50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95.50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59.50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36.00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629.00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空调机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A0206180203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空调机</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A0206180203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629.00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投影仪</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投影仪</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3.50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629.00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图书</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320.00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套</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A0802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0.75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7.50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8.00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永宁中学普通高中生均公用经费项目</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287.20</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曲阳县永宁小学小计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23.30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23.30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23.30</w:t>
            </w: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166.56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A0802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永宁小学教育教学专项业务经费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166.56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平方米</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0.01</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17.30</w:t>
            </w: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曲阳县永宁幼儿园小计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42.00</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42.00</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42.00</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308.56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308.56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家具用具</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个</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0.18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9.00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308.56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0.60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6.00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308.56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印刷品</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A0802</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0.50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永宁幼儿园教育教学专项业务经费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308.56</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图书</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A0501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批</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13.00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center"/>
              <w:rPr>
                <w:rFonts w:ascii="方正书宋_GBK" w:eastAsia="方正书宋_GBK"/>
                <w:b/>
                <w:color w:val="auto"/>
              </w:rPr>
            </w:pPr>
            <w:r>
              <w:rPr>
                <w:rFonts w:hint="eastAsia" w:ascii="方正书宋_GBK" w:eastAsia="方正书宋_GBK"/>
                <w:b/>
                <w:color w:val="auto"/>
              </w:rPr>
              <w:t>曲阳县孟良河幼儿园小计</w:t>
            </w:r>
          </w:p>
        </w:tc>
        <w:tc>
          <w:tcPr>
            <w:tcW w:w="975" w:type="dxa"/>
            <w:shd w:val="clear" w:color="auto" w:fill="auto"/>
            <w:vAlign w:val="center"/>
          </w:tcPr>
          <w:p>
            <w:pPr>
              <w:spacing w:line="300" w:lineRule="exact"/>
              <w:jc w:val="right"/>
              <w:rPr>
                <w:rFonts w:ascii="方正书宋_GBK" w:eastAsia="方正书宋_GBK"/>
                <w:b/>
                <w:color w:val="auto"/>
              </w:rPr>
            </w:pPr>
          </w:p>
        </w:tc>
        <w:tc>
          <w:tcPr>
            <w:tcW w:w="850" w:type="dxa"/>
            <w:shd w:val="clear" w:color="auto" w:fill="auto"/>
            <w:vAlign w:val="center"/>
          </w:tcPr>
          <w:p>
            <w:pPr>
              <w:spacing w:line="300" w:lineRule="exact"/>
              <w:jc w:val="left"/>
              <w:rPr>
                <w:rFonts w:ascii="方正书宋_GBK" w:eastAsia="方正书宋_GBK"/>
                <w:b/>
                <w:color w:val="auto"/>
              </w:rPr>
            </w:pPr>
          </w:p>
        </w:tc>
        <w:tc>
          <w:tcPr>
            <w:tcW w:w="1371" w:type="dxa"/>
            <w:shd w:val="clear" w:color="auto" w:fill="auto"/>
            <w:vAlign w:val="center"/>
          </w:tcPr>
          <w:p>
            <w:pPr>
              <w:spacing w:line="300" w:lineRule="exact"/>
              <w:jc w:val="left"/>
              <w:rPr>
                <w:rFonts w:ascii="方正书宋_GBK" w:eastAsia="方正书宋_GBK"/>
                <w:b/>
                <w:color w:val="auto"/>
              </w:rPr>
            </w:pPr>
          </w:p>
        </w:tc>
        <w:tc>
          <w:tcPr>
            <w:tcW w:w="637" w:type="dxa"/>
            <w:shd w:val="clear" w:color="auto" w:fill="auto"/>
            <w:vAlign w:val="center"/>
          </w:tcPr>
          <w:p>
            <w:pPr>
              <w:spacing w:line="300" w:lineRule="exact"/>
              <w:jc w:val="lef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951" w:type="dxa"/>
            <w:shd w:val="clear" w:color="auto" w:fill="auto"/>
            <w:vAlign w:val="center"/>
          </w:tcPr>
          <w:p>
            <w:pPr>
              <w:spacing w:line="300" w:lineRule="exact"/>
              <w:jc w:val="right"/>
              <w:rPr>
                <w:rFonts w:ascii="方正书宋_GBK" w:eastAsia="方正书宋_GBK"/>
                <w:b/>
                <w:color w:val="auto"/>
              </w:rPr>
            </w:pP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8.87</w:t>
            </w:r>
          </w:p>
        </w:tc>
        <w:tc>
          <w:tcPr>
            <w:tcW w:w="1063"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8.87</w:t>
            </w:r>
          </w:p>
        </w:tc>
        <w:tc>
          <w:tcPr>
            <w:tcW w:w="1063" w:type="dxa"/>
            <w:shd w:val="clear" w:color="auto" w:fill="auto"/>
            <w:vAlign w:val="center"/>
          </w:tcPr>
          <w:p>
            <w:pPr>
              <w:spacing w:line="300" w:lineRule="exact"/>
              <w:jc w:val="right"/>
              <w:rPr>
                <w:rFonts w:ascii="方正书宋_GBK" w:eastAsia="方正书宋_GBK"/>
                <w:b/>
                <w:color w:val="auto"/>
              </w:rPr>
            </w:pPr>
          </w:p>
        </w:tc>
        <w:tc>
          <w:tcPr>
            <w:tcW w:w="838" w:type="dxa"/>
            <w:shd w:val="clear" w:color="auto" w:fill="auto"/>
            <w:vAlign w:val="center"/>
          </w:tcPr>
          <w:p>
            <w:pPr>
              <w:spacing w:line="300" w:lineRule="exact"/>
              <w:jc w:val="right"/>
              <w:rPr>
                <w:rFonts w:ascii="方正书宋_GBK" w:eastAsia="方正书宋_GBK"/>
                <w:b/>
                <w:color w:val="auto"/>
              </w:rPr>
            </w:pPr>
          </w:p>
        </w:tc>
        <w:tc>
          <w:tcPr>
            <w:tcW w:w="851" w:type="dxa"/>
            <w:shd w:val="clear" w:color="auto" w:fill="auto"/>
            <w:vAlign w:val="center"/>
          </w:tcPr>
          <w:p>
            <w:pPr>
              <w:spacing w:line="300" w:lineRule="exact"/>
              <w:jc w:val="right"/>
              <w:rPr>
                <w:rFonts w:ascii="方正书宋_GBK" w:eastAsia="方正书宋_GBK"/>
                <w:b/>
                <w:color w:val="auto"/>
              </w:rPr>
            </w:pPr>
            <w:r>
              <w:rPr>
                <w:rFonts w:ascii="方正书宋_GBK" w:eastAsia="方正书宋_GBK"/>
                <w:b/>
                <w:color w:val="auto"/>
              </w:rPr>
              <w:t>8.87</w:t>
            </w:r>
          </w:p>
        </w:tc>
        <w:tc>
          <w:tcPr>
            <w:tcW w:w="832" w:type="dxa"/>
            <w:shd w:val="clear" w:color="auto" w:fill="auto"/>
            <w:vAlign w:val="center"/>
          </w:tcPr>
          <w:p>
            <w:pPr>
              <w:spacing w:line="300" w:lineRule="exact"/>
              <w:jc w:val="right"/>
              <w:rPr>
                <w:rFonts w:ascii="方正书宋_GBK" w:eastAsia="方正书宋_GBK"/>
                <w:b/>
                <w:color w:val="auto"/>
              </w:rPr>
            </w:pPr>
          </w:p>
        </w:tc>
        <w:tc>
          <w:tcPr>
            <w:tcW w:w="799" w:type="dxa"/>
            <w:shd w:val="clear" w:color="auto" w:fill="auto"/>
            <w:vAlign w:val="center"/>
          </w:tcPr>
          <w:p>
            <w:pPr>
              <w:spacing w:line="300" w:lineRule="exact"/>
              <w:jc w:val="right"/>
              <w:rPr>
                <w:rFonts w:ascii="方正书宋_GBK" w:eastAsia="方正书宋_GBK"/>
                <w:b/>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打印设备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A02010601</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0.25</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电气设备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1.15</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电气设备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2.00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0.22</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0.44</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0.44</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0.44</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制冷空调设备</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A020523</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5.00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0.35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1.75</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1.75</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1.75</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照相机及器材</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A020205</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台</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0.48</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0.48</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324"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孟良河幼儿园教育教学专项业务经费</w:t>
            </w:r>
          </w:p>
        </w:tc>
        <w:tc>
          <w:tcPr>
            <w:tcW w:w="975"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107.95</w:t>
            </w:r>
          </w:p>
        </w:tc>
        <w:tc>
          <w:tcPr>
            <w:tcW w:w="850"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1371" w:type="dxa"/>
            <w:shd w:val="clear" w:color="auto" w:fill="auto"/>
            <w:vAlign w:val="center"/>
          </w:tcPr>
          <w:p>
            <w:pPr>
              <w:spacing w:line="300" w:lineRule="exact"/>
              <w:jc w:val="left"/>
              <w:rPr>
                <w:rFonts w:ascii="方正书宋_GBK" w:eastAsia="方正书宋_GBK"/>
                <w:color w:val="auto"/>
              </w:rPr>
            </w:pPr>
            <w:r>
              <w:rPr>
                <w:rFonts w:ascii="方正书宋_GBK" w:eastAsia="方正书宋_GBK"/>
                <w:color w:val="auto"/>
              </w:rPr>
              <w:t>C0806</w:t>
            </w:r>
          </w:p>
        </w:tc>
        <w:tc>
          <w:tcPr>
            <w:tcW w:w="637" w:type="dxa"/>
            <w:shd w:val="clear" w:color="auto" w:fill="auto"/>
            <w:vAlign w:val="center"/>
          </w:tcPr>
          <w:p>
            <w:pPr>
              <w:spacing w:line="300" w:lineRule="exact"/>
              <w:jc w:val="left"/>
              <w:rPr>
                <w:rFonts w:ascii="方正书宋_GBK" w:eastAsia="方正书宋_GBK"/>
                <w:color w:val="auto"/>
              </w:rPr>
            </w:pPr>
            <w:r>
              <w:rPr>
                <w:rFonts w:hint="eastAsia" w:ascii="方正书宋_GBK" w:eastAsia="方正书宋_GBK"/>
                <w:color w:val="auto"/>
              </w:rPr>
              <w:t>次</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10.00</w:t>
            </w:r>
          </w:p>
        </w:tc>
        <w:tc>
          <w:tcPr>
            <w:tcW w:w="9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0.48</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1063" w:type="dxa"/>
            <w:shd w:val="clear" w:color="auto" w:fill="auto"/>
            <w:vAlign w:val="center"/>
          </w:tcPr>
          <w:p>
            <w:pPr>
              <w:spacing w:line="300" w:lineRule="exact"/>
              <w:jc w:val="right"/>
              <w:rPr>
                <w:rFonts w:ascii="方正书宋_GBK" w:eastAsia="方正书宋_GBK"/>
                <w:color w:val="auto"/>
              </w:rPr>
            </w:pPr>
          </w:p>
        </w:tc>
        <w:tc>
          <w:tcPr>
            <w:tcW w:w="838" w:type="dxa"/>
            <w:shd w:val="clear" w:color="auto" w:fill="auto"/>
            <w:vAlign w:val="center"/>
          </w:tcPr>
          <w:p>
            <w:pPr>
              <w:spacing w:line="300" w:lineRule="exact"/>
              <w:jc w:val="right"/>
              <w:rPr>
                <w:rFonts w:ascii="方正书宋_GBK" w:eastAsia="方正书宋_GBK"/>
                <w:color w:val="auto"/>
              </w:rPr>
            </w:pPr>
          </w:p>
        </w:tc>
        <w:tc>
          <w:tcPr>
            <w:tcW w:w="851" w:type="dxa"/>
            <w:shd w:val="clear" w:color="auto" w:fill="auto"/>
            <w:vAlign w:val="center"/>
          </w:tcPr>
          <w:p>
            <w:pPr>
              <w:spacing w:line="300" w:lineRule="exact"/>
              <w:jc w:val="right"/>
              <w:rPr>
                <w:rFonts w:ascii="方正书宋_GBK" w:eastAsia="方正书宋_GBK"/>
                <w:color w:val="auto"/>
              </w:rPr>
            </w:pPr>
            <w:r>
              <w:rPr>
                <w:rFonts w:ascii="方正书宋_GBK" w:eastAsia="方正书宋_GBK"/>
                <w:color w:val="auto"/>
              </w:rPr>
              <w:t>4.80</w:t>
            </w:r>
          </w:p>
        </w:tc>
        <w:tc>
          <w:tcPr>
            <w:tcW w:w="832" w:type="dxa"/>
            <w:shd w:val="clear" w:color="auto" w:fill="auto"/>
            <w:vAlign w:val="center"/>
          </w:tcPr>
          <w:p>
            <w:pPr>
              <w:spacing w:line="300" w:lineRule="exact"/>
              <w:jc w:val="right"/>
              <w:rPr>
                <w:rFonts w:ascii="方正书宋_GBK" w:eastAsia="方正书宋_GBK"/>
                <w:color w:val="auto"/>
              </w:rPr>
            </w:pPr>
          </w:p>
        </w:tc>
        <w:tc>
          <w:tcPr>
            <w:tcW w:w="799" w:type="dxa"/>
            <w:shd w:val="clear" w:color="auto" w:fill="auto"/>
            <w:vAlign w:val="center"/>
          </w:tcPr>
          <w:p>
            <w:pPr>
              <w:spacing w:line="300" w:lineRule="exact"/>
              <w:jc w:val="right"/>
              <w:rPr>
                <w:rFonts w:ascii="方正书宋_GBK" w:eastAsia="方正书宋_GBK"/>
                <w:color w:val="auto"/>
              </w:rPr>
            </w:pPr>
          </w:p>
        </w:tc>
      </w:tr>
    </w:tbl>
    <w:p>
      <w:pPr>
        <w:spacing w:line="300" w:lineRule="exact"/>
        <w:jc w:val="left"/>
        <w:outlineLvl w:val="0"/>
        <w:rPr>
          <w:color w:val="auto"/>
        </w:rPr>
        <w:sectPr>
          <w:pgSz w:w="16839" w:h="11907" w:orient="landscape"/>
          <w:pgMar w:top="1361" w:right="1020" w:bottom="1361" w:left="1020" w:header="851" w:footer="992" w:gutter="0"/>
          <w:cols w:space="425" w:num="1"/>
          <w:docGrid w:type="lines" w:linePitch="312" w:charSpace="0"/>
        </w:sectPr>
      </w:pPr>
    </w:p>
    <w:bookmarkEnd w:id="4"/>
    <w:p>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曲阳县教育局（含所属单位）</w:t>
      </w:r>
      <w:r>
        <w:rPr>
          <w:rFonts w:ascii="Times New Roman" w:hAnsi="Times New Roman" w:eastAsia="仿宋" w:cs="Times New Roman"/>
          <w:color w:val="auto"/>
          <w:sz w:val="32"/>
          <w:szCs w:val="32"/>
        </w:rPr>
        <w:t>上年末固定资产金额为</w:t>
      </w:r>
      <w:r>
        <w:rPr>
          <w:rFonts w:hint="eastAsia" w:ascii="Times New Roman" w:hAnsi="Times New Roman" w:eastAsia="仿宋" w:cs="Times New Roman"/>
          <w:color w:val="auto"/>
          <w:sz w:val="32"/>
          <w:szCs w:val="32"/>
        </w:rPr>
        <w:t>88442.67</w:t>
      </w:r>
      <w:r>
        <w:rPr>
          <w:rFonts w:ascii="Times New Roman" w:hAnsi="Times New Roman" w:eastAsia="仿宋" w:cs="Times New Roman"/>
          <w:color w:val="auto"/>
          <w:sz w:val="32"/>
          <w:szCs w:val="32"/>
        </w:rPr>
        <w:t>万元（详见下表），本年度</w:t>
      </w:r>
      <w:r>
        <w:rPr>
          <w:rFonts w:hint="eastAsia" w:ascii="Times New Roman" w:hAnsi="Times New Roman" w:eastAsia="仿宋" w:cs="Times New Roman"/>
          <w:color w:val="auto"/>
          <w:sz w:val="32"/>
          <w:szCs w:val="32"/>
          <w:lang w:eastAsia="zh-CN"/>
        </w:rPr>
        <w:t>我</w:t>
      </w:r>
      <w:r>
        <w:rPr>
          <w:rFonts w:ascii="Times New Roman" w:hAnsi="Times New Roman" w:eastAsia="仿宋" w:cs="Times New Roman"/>
          <w:color w:val="auto"/>
          <w:sz w:val="32"/>
          <w:szCs w:val="32"/>
        </w:rPr>
        <w:t>单位</w:t>
      </w:r>
      <w:r>
        <w:rPr>
          <w:rFonts w:hint="eastAsia" w:ascii="Times New Roman" w:hAnsi="Times New Roman" w:eastAsia="仿宋" w:cs="Times New Roman"/>
          <w:color w:val="auto"/>
          <w:sz w:val="32"/>
          <w:szCs w:val="32"/>
        </w:rPr>
        <w:t>（处室）</w:t>
      </w:r>
      <w:r>
        <w:rPr>
          <w:rFonts w:ascii="Times New Roman" w:hAnsi="Times New Roman" w:eastAsia="仿宋" w:cs="Times New Roman"/>
          <w:color w:val="auto"/>
          <w:sz w:val="32"/>
          <w:szCs w:val="32"/>
        </w:rPr>
        <w:t>拟购置固定资产</w:t>
      </w:r>
      <w:r>
        <w:rPr>
          <w:rFonts w:hint="eastAsia" w:ascii="Times New Roman" w:hAnsi="Times New Roman" w:eastAsia="仿宋" w:cs="Times New Roman"/>
          <w:color w:val="auto"/>
          <w:sz w:val="32"/>
          <w:szCs w:val="32"/>
        </w:rPr>
        <w:t>总额为14465.54</w:t>
      </w:r>
      <w:r>
        <w:rPr>
          <w:rFonts w:ascii="Times New Roman" w:hAnsi="Times New Roman" w:eastAsia="仿宋" w:cs="Times New Roman"/>
          <w:color w:val="auto"/>
          <w:sz w:val="32"/>
          <w:szCs w:val="32"/>
        </w:rPr>
        <w:t>万元，主要为</w:t>
      </w:r>
      <w:r>
        <w:rPr>
          <w:rFonts w:hint="eastAsia" w:ascii="仿宋" w:hAnsi="仿宋" w:eastAsia="仿宋" w:cs="仿宋"/>
          <w:color w:val="auto"/>
          <w:sz w:val="32"/>
          <w:szCs w:val="32"/>
        </w:rPr>
        <w:t>教学仪器设备、</w:t>
      </w:r>
      <w:r>
        <w:rPr>
          <w:rFonts w:ascii="Times New Roman" w:hAnsi="Times New Roman" w:eastAsia="仿宋" w:cs="Times New Roman"/>
          <w:color w:val="auto"/>
          <w:sz w:val="32"/>
          <w:szCs w:val="32"/>
        </w:rPr>
        <w:t>计算机、一体机、空调、打印机、投影仪</w:t>
      </w:r>
      <w:r>
        <w:rPr>
          <w:rFonts w:hint="eastAsia" w:ascii="仿宋" w:hAnsi="仿宋" w:eastAsia="仿宋" w:cs="仿宋"/>
          <w:color w:val="auto"/>
          <w:sz w:val="32"/>
          <w:szCs w:val="32"/>
        </w:rPr>
        <w:t>，事业单位用房施工等工程项目</w:t>
      </w:r>
      <w:r>
        <w:rPr>
          <w:rFonts w:ascii="Times New Roman" w:hAnsi="Times New Roman" w:eastAsia="仿宋" w:cs="Times New Roman"/>
          <w:color w:val="auto"/>
          <w:sz w:val="32"/>
          <w:szCs w:val="32"/>
        </w:rPr>
        <w:t>等，已列入政府采购预算</w:t>
      </w:r>
      <w:r>
        <w:rPr>
          <w:rFonts w:hint="eastAsia" w:ascii="Times New Roman" w:hAnsi="Times New Roman" w:eastAsia="仿宋" w:cs="Times New Roman"/>
          <w:color w:val="auto"/>
          <w:sz w:val="32"/>
          <w:szCs w:val="32"/>
        </w:rPr>
        <w:t>，详见政府采购预算表。</w:t>
      </w:r>
    </w:p>
    <w:tbl>
      <w:tblPr>
        <w:tblStyle w:val="7"/>
        <w:tblW w:w="8613" w:type="dxa"/>
        <w:tblInd w:w="0" w:type="dxa"/>
        <w:tblLayout w:type="fixed"/>
        <w:tblCellMar>
          <w:top w:w="0" w:type="dxa"/>
          <w:left w:w="108" w:type="dxa"/>
          <w:bottom w:w="0" w:type="dxa"/>
          <w:right w:w="108" w:type="dxa"/>
        </w:tblCellMar>
      </w:tblPr>
      <w:tblGrid>
        <w:gridCol w:w="3303"/>
        <w:gridCol w:w="1996"/>
        <w:gridCol w:w="3230"/>
        <w:gridCol w:w="84"/>
      </w:tblGrid>
      <w:tr>
        <w:tblPrEx>
          <w:tblLayout w:type="fixed"/>
          <w:tblCellMar>
            <w:top w:w="0" w:type="dxa"/>
            <w:left w:w="108" w:type="dxa"/>
            <w:bottom w:w="0" w:type="dxa"/>
            <w:right w:w="108" w:type="dxa"/>
          </w:tblCellMar>
        </w:tblPrEx>
        <w:trPr>
          <w:gridAfter w:val="1"/>
          <w:wAfter w:w="84" w:type="dxa"/>
          <w:trHeight w:val="705" w:hRule="atLeast"/>
        </w:trPr>
        <w:tc>
          <w:tcPr>
            <w:tcW w:w="8529" w:type="dxa"/>
            <w:gridSpan w:val="3"/>
            <w:tcBorders>
              <w:top w:val="nil"/>
              <w:left w:val="nil"/>
              <w:bottom w:val="nil"/>
              <w:right w:val="nil"/>
            </w:tcBorders>
            <w:vAlign w:val="center"/>
          </w:tcPr>
          <w:p>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rPr>
              <w:t>曲阳县教育局部门固定资产占用情况表</w:t>
            </w:r>
          </w:p>
        </w:tc>
      </w:tr>
      <w:tr>
        <w:tblPrEx>
          <w:tblLayout w:type="fixed"/>
          <w:tblCellMar>
            <w:top w:w="0" w:type="dxa"/>
            <w:left w:w="108" w:type="dxa"/>
            <w:bottom w:w="0" w:type="dxa"/>
            <w:right w:w="108" w:type="dxa"/>
          </w:tblCellMar>
        </w:tblPrEx>
        <w:trPr>
          <w:trHeight w:val="510" w:hRule="atLeast"/>
        </w:trPr>
        <w:tc>
          <w:tcPr>
            <w:tcW w:w="5299" w:type="dxa"/>
            <w:gridSpan w:val="2"/>
            <w:tcBorders>
              <w:top w:val="nil"/>
              <w:left w:val="nil"/>
              <w:bottom w:val="nil"/>
              <w:right w:val="nil"/>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编制部门：</w:t>
            </w:r>
            <w:r>
              <w:rPr>
                <w:rFonts w:hint="eastAsia" w:ascii="Times New Roman" w:hAnsi="Times New Roman" w:eastAsia="仿宋" w:cs="Times New Roman"/>
                <w:color w:val="auto"/>
                <w:kern w:val="0"/>
                <w:sz w:val="24"/>
              </w:rPr>
              <w:t>曲阳县教育局</w:t>
            </w:r>
          </w:p>
        </w:tc>
        <w:tc>
          <w:tcPr>
            <w:tcW w:w="3314" w:type="dxa"/>
            <w:gridSpan w:val="2"/>
            <w:tcBorders>
              <w:top w:val="nil"/>
              <w:left w:val="nil"/>
              <w:bottom w:val="nil"/>
              <w:right w:val="nil"/>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截止时间：201</w:t>
            </w:r>
            <w:r>
              <w:rPr>
                <w:rFonts w:hint="eastAsia" w:ascii="Times New Roman" w:hAnsi="Times New Roman" w:eastAsia="仿宋" w:cs="Times New Roman"/>
                <w:color w:val="auto"/>
                <w:kern w:val="0"/>
                <w:sz w:val="24"/>
              </w:rPr>
              <w:t>8</w:t>
            </w:r>
            <w:r>
              <w:rPr>
                <w:rFonts w:ascii="Times New Roman" w:hAnsi="Times New Roman" w:eastAsia="仿宋" w:cs="Times New Roman"/>
                <w:color w:val="auto"/>
                <w:kern w:val="0"/>
                <w:sz w:val="24"/>
              </w:rPr>
              <w:t>年12月3</w:t>
            </w:r>
            <w:r>
              <w:rPr>
                <w:rFonts w:hint="eastAsia" w:ascii="Times New Roman" w:hAnsi="Times New Roman" w:eastAsia="仿宋" w:cs="Times New Roman"/>
                <w:color w:val="auto"/>
                <w:kern w:val="0"/>
                <w:sz w:val="24"/>
              </w:rPr>
              <w:t>1</w:t>
            </w:r>
            <w:r>
              <w:rPr>
                <w:rFonts w:ascii="Times New Roman" w:hAnsi="Times New Roman" w:eastAsia="仿宋" w:cs="Times New Roman"/>
                <w:color w:val="auto"/>
                <w:kern w:val="0"/>
                <w:sz w:val="24"/>
              </w:rPr>
              <w:t>日</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项目</w:t>
            </w:r>
          </w:p>
        </w:tc>
        <w:tc>
          <w:tcPr>
            <w:tcW w:w="1996"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数量</w:t>
            </w:r>
          </w:p>
        </w:tc>
        <w:tc>
          <w:tcPr>
            <w:tcW w:w="323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价值（金额单位：万元）</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资产总额</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88442.67</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1、房屋（平方米）</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683172.26</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68046.82</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其中：办公用房（平方米）</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232585.72</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21379.61</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2、车辆（台、辆）</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14</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89.90</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3、单价在20万元以上设备</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w:t>
            </w:r>
          </w:p>
        </w:tc>
      </w:tr>
      <w:tr>
        <w:tblPrEx>
          <w:tblLayout w:type="fixed"/>
          <w:tblCellMar>
            <w:top w:w="0" w:type="dxa"/>
            <w:left w:w="108" w:type="dxa"/>
            <w:bottom w:w="0" w:type="dxa"/>
            <w:right w:w="108" w:type="dxa"/>
          </w:tblCellMar>
        </w:tblPrEx>
        <w:trPr>
          <w:gridAfter w:val="1"/>
          <w:wAfter w:w="84" w:type="dxa"/>
          <w:trHeight w:val="645" w:hRule="atLeast"/>
        </w:trPr>
        <w:tc>
          <w:tcPr>
            <w:tcW w:w="3303"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4、其他固定资产</w:t>
            </w:r>
          </w:p>
        </w:tc>
        <w:tc>
          <w:tcPr>
            <w:tcW w:w="1996"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ascii="Times New Roman" w:hAnsi="Times New Roman" w:eastAsia="仿宋" w:cs="Times New Roman"/>
                <w:color w:val="auto"/>
                <w:kern w:val="0"/>
                <w:sz w:val="24"/>
              </w:rPr>
              <w:t>——</w:t>
            </w:r>
          </w:p>
        </w:tc>
        <w:tc>
          <w:tcPr>
            <w:tcW w:w="3230"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auto"/>
                <w:kern w:val="0"/>
                <w:sz w:val="24"/>
              </w:rPr>
            </w:pPr>
            <w:r>
              <w:rPr>
                <w:rFonts w:hint="eastAsia" w:ascii="Times New Roman" w:hAnsi="Times New Roman" w:eastAsia="仿宋" w:cs="Times New Roman"/>
                <w:color w:val="auto"/>
                <w:kern w:val="0"/>
                <w:sz w:val="24"/>
              </w:rPr>
              <w:t>20305.95</w:t>
            </w:r>
          </w:p>
          <w:p>
            <w:pPr>
              <w:widowControl/>
              <w:jc w:val="center"/>
              <w:rPr>
                <w:rFonts w:ascii="Times New Roman" w:hAnsi="Times New Roman" w:eastAsia="仿宋" w:cs="Times New Roman"/>
                <w:color w:val="auto"/>
                <w:kern w:val="0"/>
                <w:sz w:val="24"/>
              </w:rPr>
            </w:pPr>
          </w:p>
        </w:tc>
      </w:tr>
    </w:tbl>
    <w:p>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pPr>
        <w:spacing w:line="500" w:lineRule="exact"/>
        <w:ind w:firstLine="640" w:firstLineChars="200"/>
        <w:jc w:val="left"/>
        <w:outlineLvl w:val="0"/>
        <w:rPr>
          <w:rFonts w:ascii="仿宋" w:hAnsi="仿宋" w:eastAsia="仿宋"/>
          <w:color w:val="auto"/>
          <w:sz w:val="32"/>
          <w:szCs w:val="32"/>
        </w:rPr>
      </w:pPr>
      <w:r>
        <w:rPr>
          <w:rFonts w:hint="eastAsia" w:ascii="仿宋" w:hAnsi="仿宋" w:eastAsia="仿宋"/>
          <w:color w:val="auto"/>
          <w:sz w:val="32"/>
          <w:szCs w:val="32"/>
        </w:rPr>
        <w:t>1、财政拨款收入：指县级财政当年拨付的资金。</w:t>
      </w:r>
    </w:p>
    <w:p>
      <w:pPr>
        <w:spacing w:line="500" w:lineRule="exact"/>
        <w:ind w:firstLine="640" w:firstLineChars="200"/>
        <w:jc w:val="left"/>
        <w:outlineLvl w:val="0"/>
        <w:rPr>
          <w:rFonts w:ascii="仿宋" w:hAnsi="仿宋" w:eastAsia="仿宋"/>
          <w:color w:val="auto"/>
          <w:sz w:val="32"/>
          <w:szCs w:val="32"/>
        </w:rPr>
      </w:pPr>
      <w:r>
        <w:rPr>
          <w:rFonts w:hint="eastAsia" w:ascii="仿宋" w:hAnsi="仿宋" w:eastAsia="仿宋"/>
          <w:color w:val="auto"/>
          <w:sz w:val="32"/>
          <w:szCs w:val="32"/>
        </w:rPr>
        <w:t>2、其他收入：指除上述“财政拨款收入”、“事业收入”等以外的收入。</w:t>
      </w:r>
    </w:p>
    <w:p>
      <w:pPr>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3、基本支出：为保障机构正常运转，完成日常工作任务，而发生的人员支出和公用支出。</w:t>
      </w:r>
    </w:p>
    <w:p>
      <w:pPr>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4、项目支出：是指在基本支出之外，为完成特定行政任务和事业发展目标，而发生的支出。</w:t>
      </w:r>
    </w:p>
    <w:p>
      <w:pPr>
        <w:spacing w:line="500" w:lineRule="exact"/>
        <w:ind w:firstLine="640" w:firstLineChars="200"/>
        <w:jc w:val="left"/>
        <w:outlineLvl w:val="0"/>
        <w:rPr>
          <w:rFonts w:ascii="仿宋" w:hAnsi="仿宋" w:eastAsia="仿宋"/>
          <w:color w:val="auto"/>
          <w:sz w:val="32"/>
          <w:szCs w:val="32"/>
        </w:rPr>
      </w:pPr>
      <w:r>
        <w:rPr>
          <w:rFonts w:hint="eastAsia" w:ascii="仿宋" w:hAnsi="仿宋" w:eastAsia="仿宋"/>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autoSpaceDE w:val="0"/>
        <w:autoSpaceDN w:val="0"/>
        <w:adjustRightInd w:val="0"/>
        <w:ind w:firstLine="640" w:firstLineChars="200"/>
        <w:jc w:val="left"/>
        <w:rPr>
          <w:rFonts w:ascii="仿宋" w:hAnsi="仿宋" w:eastAsia="仿宋" w:cs="Times New Roman"/>
          <w:color w:val="auto"/>
          <w:sz w:val="32"/>
          <w:szCs w:val="32"/>
        </w:rPr>
      </w:pPr>
      <w:r>
        <w:rPr>
          <w:rFonts w:hint="eastAsia" w:ascii="仿宋" w:hAnsi="仿宋" w:eastAsia="仿宋"/>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0"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我部门无其他需要说明的事项。</w:t>
      </w:r>
    </w:p>
    <w:sectPr>
      <w:pgSz w:w="11906" w:h="16838"/>
      <w:pgMar w:top="1440" w:right="1797" w:bottom="1440" w:left="1797"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swiss"/>
    <w:pitch w:val="default"/>
    <w:sig w:usb0="00000000" w:usb1="00000000" w:usb2="00000000" w:usb3="00000000" w:csb0="00000000" w:csb1="00000000"/>
  </w:font>
  <w:font w:name="仿宋">
    <w:panose1 w:val="02010609060101010101"/>
    <w:charset w:val="86"/>
    <w:family w:val="decorative"/>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方正楷体_GBK">
    <w:altName w:val="宋体"/>
    <w:panose1 w:val="00000000000000000000"/>
    <w:charset w:val="86"/>
    <w:family w:val="swiss"/>
    <w:pitch w:val="default"/>
    <w:sig w:usb0="00000000" w:usb1="00000000" w:usb2="00000000" w:usb3="00000000" w:csb0="00000000" w:csb1="00000000"/>
  </w:font>
  <w:font w:name="方正书宋_GBK">
    <w:altName w:val="宋体"/>
    <w:panose1 w:val="00000000000000000000"/>
    <w:charset w:val="86"/>
    <w:family w:val="swiss"/>
    <w:pitch w:val="default"/>
    <w:sig w:usb0="00000000" w:usb1="00000000" w:usb2="00000000" w:usb3="00000000" w:csb0="00000000" w:csb1="00000000"/>
  </w:font>
  <w:font w:name="宋体-方正超大字符集">
    <w:altName w:val="宋体"/>
    <w:panose1 w:val="03000509000000000000"/>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5"/>
      </w:pPr>
      <w:r>
        <w:rPr>
          <w:rStyle w:val="11"/>
        </w:rPr>
        <w:sym w:font="Symbol" w:char="F020"/>
      </w:r>
      <w:r>
        <w:rPr>
          <w:rFonts w:hint="eastAsia" w:ascii="方正楷体_GBK" w:eastAsia="方正楷体_GBK"/>
          <w:sz w:val="24"/>
        </w:rPr>
        <w:t>备注：表中的年度预算数为项目支出，部门工作活动虽未安排项目支出，但由基本支出保障，由于基本支出无法拆分到相应的工作活动，因此部分工作活动没有列示年度预算数。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97887"/>
    <w:multiLevelType w:val="multilevel"/>
    <w:tmpl w:val="2DF97887"/>
    <w:lvl w:ilvl="0" w:tentative="0">
      <w:start w:val="1"/>
      <w:numFmt w:val="chineseCountingThousand"/>
      <w:lvlText w:val="(%1)"/>
      <w:lvlJc w:val="left"/>
      <w:pPr>
        <w:ind w:left="134" w:hanging="420"/>
      </w:pPr>
    </w:lvl>
    <w:lvl w:ilvl="1" w:tentative="0">
      <w:start w:val="1"/>
      <w:numFmt w:val="lowerLetter"/>
      <w:lvlText w:val="%2)"/>
      <w:lvlJc w:val="left"/>
      <w:pPr>
        <w:ind w:left="554" w:hanging="420"/>
      </w:pPr>
    </w:lvl>
    <w:lvl w:ilvl="2" w:tentative="0">
      <w:start w:val="1"/>
      <w:numFmt w:val="lowerRoman"/>
      <w:lvlText w:val="%3."/>
      <w:lvlJc w:val="right"/>
      <w:pPr>
        <w:ind w:left="974" w:hanging="420"/>
      </w:pPr>
    </w:lvl>
    <w:lvl w:ilvl="3" w:tentative="0">
      <w:start w:val="1"/>
      <w:numFmt w:val="decimal"/>
      <w:lvlText w:val="%4."/>
      <w:lvlJc w:val="left"/>
      <w:pPr>
        <w:ind w:left="1394" w:hanging="420"/>
      </w:pPr>
    </w:lvl>
    <w:lvl w:ilvl="4" w:tentative="0">
      <w:start w:val="1"/>
      <w:numFmt w:val="lowerLetter"/>
      <w:lvlText w:val="%5)"/>
      <w:lvlJc w:val="left"/>
      <w:pPr>
        <w:ind w:left="1814" w:hanging="420"/>
      </w:pPr>
    </w:lvl>
    <w:lvl w:ilvl="5" w:tentative="0">
      <w:start w:val="1"/>
      <w:numFmt w:val="lowerRoman"/>
      <w:lvlText w:val="%6."/>
      <w:lvlJc w:val="right"/>
      <w:pPr>
        <w:ind w:left="2234" w:hanging="420"/>
      </w:pPr>
    </w:lvl>
    <w:lvl w:ilvl="6" w:tentative="0">
      <w:start w:val="1"/>
      <w:numFmt w:val="decimal"/>
      <w:lvlText w:val="%7."/>
      <w:lvlJc w:val="left"/>
      <w:pPr>
        <w:ind w:left="2654" w:hanging="420"/>
      </w:pPr>
    </w:lvl>
    <w:lvl w:ilvl="7" w:tentative="0">
      <w:start w:val="1"/>
      <w:numFmt w:val="lowerLetter"/>
      <w:lvlText w:val="%8)"/>
      <w:lvlJc w:val="left"/>
      <w:pPr>
        <w:ind w:left="3074" w:hanging="420"/>
      </w:pPr>
    </w:lvl>
    <w:lvl w:ilvl="8" w:tentative="0">
      <w:start w:val="1"/>
      <w:numFmt w:val="lowerRoman"/>
      <w:lvlText w:val="%9."/>
      <w:lvlJc w:val="right"/>
      <w:pPr>
        <w:ind w:left="349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7733F"/>
    <w:rsid w:val="00040FBA"/>
    <w:rsid w:val="0004490B"/>
    <w:rsid w:val="000604DF"/>
    <w:rsid w:val="0006588F"/>
    <w:rsid w:val="000B6658"/>
    <w:rsid w:val="000C2AC0"/>
    <w:rsid w:val="000C4262"/>
    <w:rsid w:val="000E1BAD"/>
    <w:rsid w:val="0013228E"/>
    <w:rsid w:val="00194239"/>
    <w:rsid w:val="00196251"/>
    <w:rsid w:val="001D69FF"/>
    <w:rsid w:val="0027733F"/>
    <w:rsid w:val="002B36C6"/>
    <w:rsid w:val="002E39C6"/>
    <w:rsid w:val="002E4731"/>
    <w:rsid w:val="003277EC"/>
    <w:rsid w:val="00333C5A"/>
    <w:rsid w:val="003F00D4"/>
    <w:rsid w:val="003F76E6"/>
    <w:rsid w:val="003F7EA9"/>
    <w:rsid w:val="00443BD5"/>
    <w:rsid w:val="00447EC3"/>
    <w:rsid w:val="00456D84"/>
    <w:rsid w:val="00462279"/>
    <w:rsid w:val="004F599F"/>
    <w:rsid w:val="005023CF"/>
    <w:rsid w:val="005227A3"/>
    <w:rsid w:val="005253F3"/>
    <w:rsid w:val="00534D63"/>
    <w:rsid w:val="005947B2"/>
    <w:rsid w:val="005969D5"/>
    <w:rsid w:val="005F4F5B"/>
    <w:rsid w:val="00621DB1"/>
    <w:rsid w:val="00657CF5"/>
    <w:rsid w:val="006D4813"/>
    <w:rsid w:val="006D7083"/>
    <w:rsid w:val="00746270"/>
    <w:rsid w:val="007B0F2A"/>
    <w:rsid w:val="008003BA"/>
    <w:rsid w:val="00817B30"/>
    <w:rsid w:val="0085745B"/>
    <w:rsid w:val="008752DB"/>
    <w:rsid w:val="008C091D"/>
    <w:rsid w:val="00936B74"/>
    <w:rsid w:val="00AB713A"/>
    <w:rsid w:val="00B260F9"/>
    <w:rsid w:val="00B37371"/>
    <w:rsid w:val="00B8242B"/>
    <w:rsid w:val="00BC7CAC"/>
    <w:rsid w:val="00BE6F74"/>
    <w:rsid w:val="00CA7C61"/>
    <w:rsid w:val="00D17644"/>
    <w:rsid w:val="00D375CA"/>
    <w:rsid w:val="00D42F47"/>
    <w:rsid w:val="00DB43A8"/>
    <w:rsid w:val="00E23050"/>
    <w:rsid w:val="00E330F4"/>
    <w:rsid w:val="00E57005"/>
    <w:rsid w:val="00E76C35"/>
    <w:rsid w:val="00EE3157"/>
    <w:rsid w:val="00EF574A"/>
    <w:rsid w:val="00F171F2"/>
    <w:rsid w:val="00FC112A"/>
    <w:rsid w:val="07545496"/>
    <w:rsid w:val="16530ABA"/>
    <w:rsid w:val="28772B99"/>
    <w:rsid w:val="28CD7BA7"/>
    <w:rsid w:val="4255357E"/>
    <w:rsid w:val="47652830"/>
    <w:rsid w:val="4E9401A9"/>
    <w:rsid w:val="536318B6"/>
    <w:rsid w:val="5D5B7E15"/>
    <w:rsid w:val="63DF200F"/>
    <w:rsid w:val="7A3A4D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2"/>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13"/>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footnote text"/>
    <w:basedOn w:val="1"/>
    <w:link w:val="15"/>
    <w:semiHidden/>
    <w:qFormat/>
    <w:uiPriority w:val="0"/>
    <w:pPr>
      <w:snapToGrid w:val="0"/>
      <w:jc w:val="left"/>
    </w:pPr>
    <w:rPr>
      <w:rFonts w:ascii="Times New Roman" w:hAnsi="Times New Roman" w:cs="Times New Roman"/>
      <w:sz w:val="18"/>
      <w:szCs w:val="18"/>
    </w:rPr>
  </w:style>
  <w:style w:type="paragraph" w:styleId="6">
    <w:name w:val="toc 2"/>
    <w:basedOn w:val="1"/>
    <w:next w:val="1"/>
    <w:qFormat/>
    <w:uiPriority w:val="0"/>
    <w:pPr>
      <w:ind w:left="420" w:leftChars="200"/>
    </w:pPr>
    <w:rPr>
      <w:rFonts w:ascii="Times New Roman" w:hAnsi="Times New Roman" w:cs="Times New Roman"/>
      <w:szCs w:val="24"/>
    </w:rPr>
  </w:style>
  <w:style w:type="character" w:styleId="9">
    <w:name w:val="page number"/>
    <w:basedOn w:val="8"/>
    <w:qFormat/>
    <w:uiPriority w:val="0"/>
  </w:style>
  <w:style w:type="character" w:styleId="10">
    <w:name w:val="Hyperlink"/>
    <w:basedOn w:val="8"/>
    <w:qFormat/>
    <w:uiPriority w:val="0"/>
    <w:rPr>
      <w:color w:val="0000FF"/>
      <w:u w:val="single"/>
    </w:rPr>
  </w:style>
  <w:style w:type="character" w:styleId="11">
    <w:name w:val="footnote reference"/>
    <w:basedOn w:val="8"/>
    <w:semiHidden/>
    <w:qFormat/>
    <w:uiPriority w:val="0"/>
    <w:rPr>
      <w:vertAlign w:val="superscript"/>
    </w:rPr>
  </w:style>
  <w:style w:type="character" w:customStyle="1" w:styleId="12">
    <w:name w:val="页脚 Char"/>
    <w:link w:val="2"/>
    <w:semiHidden/>
    <w:qFormat/>
    <w:uiPriority w:val="0"/>
    <w:rPr>
      <w:rFonts w:ascii="Times New Roman" w:hAnsi="Times New Roman" w:eastAsia="宋体" w:cs="Times New Roman"/>
      <w:sz w:val="18"/>
      <w:szCs w:val="18"/>
    </w:rPr>
  </w:style>
  <w:style w:type="character" w:customStyle="1" w:styleId="13">
    <w:name w:val="页眉 Char"/>
    <w:link w:val="3"/>
    <w:semiHidden/>
    <w:qFormat/>
    <w:uiPriority w:val="0"/>
    <w:rPr>
      <w:rFonts w:ascii="Times New Roman" w:hAnsi="Times New Roman" w:eastAsia="宋体" w:cs="Times New Roman"/>
      <w:sz w:val="18"/>
      <w:szCs w:val="18"/>
    </w:rPr>
  </w:style>
  <w:style w:type="paragraph" w:customStyle="1" w:styleId="14">
    <w:name w:val="Char"/>
    <w:basedOn w:val="1"/>
    <w:qFormat/>
    <w:uiPriority w:val="0"/>
    <w:rPr>
      <w:rFonts w:ascii="Times New Roman" w:hAnsi="Times New Roman" w:cs="Times New Roman"/>
      <w:szCs w:val="24"/>
    </w:rPr>
  </w:style>
  <w:style w:type="character" w:customStyle="1" w:styleId="15">
    <w:name w:val="脚注文本 Char"/>
    <w:basedOn w:val="8"/>
    <w:link w:val="5"/>
    <w:semiHidden/>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4818</Words>
  <Characters>27465</Characters>
  <Lines>228</Lines>
  <Paragraphs>64</Paragraphs>
  <TotalTime>0</TotalTime>
  <ScaleCrop>false</ScaleCrop>
  <LinksUpToDate>false</LinksUpToDate>
  <CharactersWithSpaces>32219</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2018-08-10T10:24:00Z</dcterms:created>
  <dc:creator>guest</dc:creator>
  <cp:lastModifiedBy>6665</cp:lastModifiedBy>
  <cp:lastPrinted>2019-02-20T06:19:00Z</cp:lastPrinted>
  <dcterms:modified xsi:type="dcterms:W3CDTF">2025-02-07T09:59:40Z</dcterms:modified>
  <dc:title>Administrator</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