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3C1FE">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rPr>
        <w:t>曲阳县发展改革局</w:t>
      </w:r>
      <w:r>
        <w:rPr>
          <w:rFonts w:ascii="Times New Roman" w:hAnsi="Times New Roman" w:eastAsia="方正小标宋_GBK" w:cs="Times New Roman"/>
          <w:color w:val="auto"/>
          <w:sz w:val="44"/>
          <w:szCs w:val="44"/>
        </w:rPr>
        <w:t>2019</w:t>
      </w:r>
      <w:r>
        <w:rPr>
          <w:rFonts w:hint="eastAsia" w:ascii="Times New Roman" w:hAnsi="Times New Roman" w:eastAsia="方正小标宋_GBK" w:cs="Times New Roman"/>
          <w:color w:val="auto"/>
          <w:sz w:val="44"/>
          <w:szCs w:val="44"/>
        </w:rPr>
        <w:t>年部门预算信息公开</w:t>
      </w:r>
    </w:p>
    <w:p w14:paraId="727ADD01">
      <w:pPr>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w:t>
      </w:r>
      <w:r>
        <w:rPr>
          <w:rFonts w:hint="eastAsia" w:ascii="仿宋" w:hAnsi="仿宋" w:eastAsia="仿宋" w:cs="Times New Roman"/>
          <w:color w:val="auto"/>
          <w:sz w:val="32"/>
          <w:szCs w:val="32"/>
        </w:rPr>
        <w:t>预算法》、《地方预决算公开操作规程》和</w:t>
      </w:r>
      <w:r>
        <w:rPr>
          <w:rFonts w:ascii="仿宋" w:hAnsi="仿宋" w:eastAsia="仿宋" w:cs="Times New Roman"/>
          <w:color w:val="auto"/>
          <w:sz w:val="32"/>
          <w:szCs w:val="32"/>
        </w:rPr>
        <w:t>《河北省</w:t>
      </w:r>
      <w:r>
        <w:rPr>
          <w:rFonts w:hint="eastAsia" w:ascii="仿宋" w:hAnsi="仿宋" w:eastAsia="仿宋" w:cs="Times New Roman"/>
          <w:color w:val="auto"/>
          <w:sz w:val="32"/>
          <w:szCs w:val="32"/>
          <w:lang w:eastAsia="zh-CN"/>
        </w:rPr>
        <w:t>财政厅修订补充</w:t>
      </w:r>
      <w:r>
        <w:rPr>
          <w:rFonts w:hint="eastAsia" w:ascii="仿宋" w:hAnsi="仿宋" w:eastAsia="仿宋" w:cs="Times New Roman"/>
          <w:color w:val="auto"/>
          <w:sz w:val="32"/>
          <w:szCs w:val="32"/>
          <w:lang w:val="en-US" w:eastAsia="zh-CN"/>
        </w:rPr>
        <w:t>河北省预决算公开操作规程实施细则</w:t>
      </w:r>
      <w:r>
        <w:rPr>
          <w:rFonts w:ascii="仿宋" w:hAnsi="仿宋" w:eastAsia="仿宋" w:cs="Times New Roman"/>
          <w:color w:val="auto"/>
          <w:sz w:val="32"/>
          <w:szCs w:val="32"/>
        </w:rPr>
        <w:t>》</w:t>
      </w:r>
      <w:r>
        <w:rPr>
          <w:rFonts w:hint="eastAsia" w:ascii="仿宋" w:hAnsi="仿宋" w:eastAsia="仿宋" w:cs="Times New Roman"/>
          <w:color w:val="auto"/>
          <w:sz w:val="32"/>
          <w:szCs w:val="32"/>
          <w:lang w:eastAsia="zh-CN"/>
        </w:rPr>
        <w:t>（冀财预</w:t>
      </w:r>
      <w:r>
        <w:rPr>
          <w:rFonts w:hint="eastAsia" w:ascii="仿宋" w:hAnsi="仿宋" w:eastAsia="仿宋" w:cs="Times New Roman"/>
          <w:color w:val="auto"/>
          <w:sz w:val="32"/>
          <w:szCs w:val="32"/>
          <w:lang w:val="en-US" w:eastAsia="zh-CN"/>
        </w:rPr>
        <w:t>[2017]82号）</w:t>
      </w:r>
      <w:r>
        <w:rPr>
          <w:rFonts w:hint="eastAsia" w:ascii="仿宋" w:hAnsi="仿宋" w:eastAsia="仿宋" w:cs="Times New Roman"/>
          <w:color w:val="auto"/>
          <w:sz w:val="32"/>
          <w:szCs w:val="32"/>
        </w:rPr>
        <w:t>规定，现将曲阳县发展改革局</w:t>
      </w:r>
      <w:r>
        <w:rPr>
          <w:rFonts w:ascii="仿宋" w:hAnsi="仿宋" w:eastAsia="仿宋" w:cs="Times New Roman"/>
          <w:color w:val="auto"/>
          <w:sz w:val="32"/>
          <w:szCs w:val="32"/>
        </w:rPr>
        <w:t>2019</w:t>
      </w:r>
      <w:r>
        <w:rPr>
          <w:rFonts w:hint="eastAsia" w:ascii="仿宋" w:hAnsi="仿宋" w:eastAsia="仿宋" w:cs="Times New Roman"/>
          <w:color w:val="auto"/>
          <w:sz w:val="32"/>
          <w:szCs w:val="32"/>
        </w:rPr>
        <w:t>年部门预算公开如下：</w:t>
      </w:r>
    </w:p>
    <w:p w14:paraId="3E1D8EEB">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5836F3D0">
      <w:pPr>
        <w:pStyle w:val="14"/>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部门职责：</w:t>
      </w:r>
      <w:r>
        <w:rPr>
          <w:rFonts w:hint="eastAsia" w:ascii="仿宋" w:hAnsi="仿宋" w:eastAsia="仿宋" w:cs="仿宋_GB2312"/>
          <w:color w:val="auto"/>
          <w:sz w:val="32"/>
          <w:szCs w:val="32"/>
        </w:rPr>
        <w:t>根据《保定</w:t>
      </w:r>
      <w:r>
        <w:rPr>
          <w:rFonts w:hint="eastAsia" w:ascii="仿宋" w:hAnsi="仿宋" w:eastAsia="仿宋" w:cs="仿宋_GB2312"/>
          <w:color w:val="auto"/>
          <w:sz w:val="32"/>
          <w:szCs w:val="32"/>
          <w:lang w:eastAsia="zh-CN"/>
        </w:rPr>
        <w:t>市委</w:t>
      </w:r>
      <w:r>
        <w:rPr>
          <w:rFonts w:hint="eastAsia" w:ascii="仿宋" w:hAnsi="仿宋" w:eastAsia="仿宋" w:cs="仿宋_GB2312"/>
          <w:color w:val="auto"/>
          <w:sz w:val="32"/>
          <w:szCs w:val="32"/>
        </w:rPr>
        <w:t>、保定市人民政府关于印发曲阳县人民政府机构改革方案的通知》（保字</w:t>
      </w:r>
      <w:r>
        <w:rPr>
          <w:rFonts w:ascii="仿宋" w:hAnsi="仿宋" w:eastAsia="仿宋" w:cs="仿宋_GB2312"/>
          <w:color w:val="auto"/>
          <w:sz w:val="32"/>
          <w:szCs w:val="32"/>
        </w:rPr>
        <w:t>[2009]76</w:t>
      </w:r>
      <w:r>
        <w:rPr>
          <w:rFonts w:hint="eastAsia" w:ascii="仿宋" w:hAnsi="仿宋" w:eastAsia="仿宋" w:cs="仿宋_GB2312"/>
          <w:color w:val="auto"/>
          <w:sz w:val="32"/>
          <w:szCs w:val="32"/>
        </w:rPr>
        <w:t>号），现将曲阳县发展改革局部门概况说明如下：</w:t>
      </w:r>
    </w:p>
    <w:p w14:paraId="2CBEE6BD">
      <w:pPr>
        <w:ind w:firstLine="560"/>
        <w:rPr>
          <w:rFonts w:ascii="仿宋" w:hAnsi="仿宋" w:eastAsia="仿宋"/>
          <w:color w:val="auto"/>
          <w:sz w:val="32"/>
          <w:szCs w:val="32"/>
        </w:rPr>
      </w:pPr>
      <w:r>
        <w:rPr>
          <w:rFonts w:ascii="仿宋" w:hAnsi="仿宋" w:eastAsia="仿宋"/>
          <w:color w:val="auto"/>
          <w:sz w:val="32"/>
          <w:szCs w:val="32"/>
        </w:rPr>
        <w:t xml:space="preserve"> (</w:t>
      </w:r>
      <w:r>
        <w:rPr>
          <w:rFonts w:hint="eastAsia" w:ascii="仿宋" w:hAnsi="仿宋" w:eastAsia="仿宋"/>
          <w:color w:val="auto"/>
          <w:sz w:val="32"/>
          <w:szCs w:val="32"/>
        </w:rPr>
        <w:t>一</w:t>
      </w:r>
      <w:r>
        <w:rPr>
          <w:rFonts w:ascii="仿宋" w:hAnsi="仿宋" w:eastAsia="仿宋"/>
          <w:color w:val="auto"/>
          <w:sz w:val="32"/>
          <w:szCs w:val="32"/>
        </w:rPr>
        <w:t>)</w:t>
      </w:r>
      <w:r>
        <w:rPr>
          <w:rFonts w:hint="eastAsia" w:ascii="仿宋" w:hAnsi="仿宋" w:eastAsia="仿宋"/>
          <w:color w:val="auto"/>
          <w:sz w:val="32"/>
          <w:szCs w:val="32"/>
        </w:rPr>
        <w:t>贯彻执行国家和省市国民经济和社会发展方针、政策；拟订全县</w:t>
      </w:r>
      <w:bookmarkStart w:id="3" w:name="_GoBack"/>
      <w:bookmarkEnd w:id="3"/>
      <w:r>
        <w:rPr>
          <w:rFonts w:hint="eastAsia" w:ascii="仿宋" w:hAnsi="仿宋" w:eastAsia="仿宋"/>
          <w:color w:val="auto"/>
          <w:sz w:val="32"/>
          <w:szCs w:val="32"/>
        </w:rPr>
        <w:t>国民经济和社会发展战略、中长期规划和年度计划并组织实施</w:t>
      </w:r>
      <w:r>
        <w:rPr>
          <w:rFonts w:ascii="仿宋" w:hAnsi="仿宋" w:eastAsia="仿宋"/>
          <w:color w:val="auto"/>
          <w:sz w:val="32"/>
          <w:szCs w:val="32"/>
        </w:rPr>
        <w:t xml:space="preserve">; </w:t>
      </w:r>
      <w:r>
        <w:rPr>
          <w:rFonts w:hint="eastAsia" w:ascii="仿宋" w:hAnsi="仿宋" w:eastAsia="仿宋"/>
          <w:color w:val="auto"/>
          <w:sz w:val="32"/>
          <w:szCs w:val="32"/>
        </w:rPr>
        <w:t>研究分析全县及国内外经济形势，提出国民经济发展、价格总水平调控和优化经济结构的目标、政策</w:t>
      </w:r>
      <w:r>
        <w:rPr>
          <w:rFonts w:ascii="仿宋" w:hAnsi="仿宋" w:eastAsia="仿宋"/>
          <w:color w:val="auto"/>
          <w:sz w:val="32"/>
          <w:szCs w:val="32"/>
        </w:rPr>
        <w:t>,</w:t>
      </w:r>
      <w:r>
        <w:rPr>
          <w:rFonts w:hint="eastAsia" w:ascii="仿宋" w:hAnsi="仿宋" w:eastAsia="仿宋"/>
          <w:color w:val="auto"/>
          <w:sz w:val="32"/>
          <w:szCs w:val="32"/>
        </w:rPr>
        <w:t>提出综合运用各种经济手段和政策的建议；受县政府委托向县人大提交全县国民经济和社会发展计划的报告。</w:t>
      </w:r>
    </w:p>
    <w:p w14:paraId="4442965F">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二</w:t>
      </w:r>
      <w:r>
        <w:rPr>
          <w:rFonts w:ascii="仿宋" w:hAnsi="仿宋" w:eastAsia="仿宋"/>
          <w:color w:val="auto"/>
          <w:sz w:val="32"/>
          <w:szCs w:val="32"/>
        </w:rPr>
        <w:t>)</w:t>
      </w:r>
      <w:r>
        <w:rPr>
          <w:rFonts w:hint="eastAsia" w:ascii="仿宋" w:hAnsi="仿宋" w:eastAsia="仿宋"/>
          <w:color w:val="auto"/>
          <w:sz w:val="32"/>
          <w:szCs w:val="32"/>
        </w:rPr>
        <w:t>负责监测全县宏观经济和社会发展态势，承担预测预警和信息引导的责任；研究全县宏观经济运行总量平衡、经济安全和总体产业安全等重要问题并提出落实宏观调控的政策建议</w:t>
      </w:r>
      <w:r>
        <w:rPr>
          <w:rFonts w:ascii="仿宋" w:hAnsi="仿宋" w:eastAsia="仿宋"/>
          <w:color w:val="auto"/>
          <w:sz w:val="32"/>
          <w:szCs w:val="32"/>
        </w:rPr>
        <w:t>;</w:t>
      </w:r>
      <w:r>
        <w:rPr>
          <w:rFonts w:hint="eastAsia" w:ascii="仿宋" w:hAnsi="仿宋" w:eastAsia="仿宋"/>
          <w:color w:val="auto"/>
          <w:sz w:val="32"/>
          <w:szCs w:val="32"/>
        </w:rPr>
        <w:t>统筹协调经济和社会发展</w:t>
      </w:r>
      <w:r>
        <w:rPr>
          <w:rFonts w:ascii="仿宋" w:hAnsi="仿宋" w:eastAsia="仿宋"/>
          <w:color w:val="auto"/>
          <w:sz w:val="32"/>
          <w:szCs w:val="32"/>
        </w:rPr>
        <w:t>,</w:t>
      </w:r>
      <w:r>
        <w:rPr>
          <w:rFonts w:hint="eastAsia" w:ascii="仿宋" w:hAnsi="仿宋" w:eastAsia="仿宋"/>
          <w:color w:val="auto"/>
          <w:sz w:val="32"/>
          <w:szCs w:val="32"/>
        </w:rPr>
        <w:t>研究全县国民经济和社会发展的重大问题</w:t>
      </w:r>
      <w:r>
        <w:rPr>
          <w:rFonts w:ascii="仿宋" w:hAnsi="仿宋" w:eastAsia="仿宋"/>
          <w:color w:val="auto"/>
          <w:sz w:val="32"/>
          <w:szCs w:val="32"/>
        </w:rPr>
        <w:t>,</w:t>
      </w:r>
      <w:r>
        <w:rPr>
          <w:rFonts w:hint="eastAsia" w:ascii="仿宋" w:hAnsi="仿宋" w:eastAsia="仿宋"/>
          <w:color w:val="auto"/>
          <w:sz w:val="32"/>
          <w:szCs w:val="32"/>
        </w:rPr>
        <w:t>提出政策建议；起草全县国民经济和社会发展、经济体制改革的有关地方性规章草案，</w:t>
      </w:r>
    </w:p>
    <w:p w14:paraId="31C3EE1D">
      <w:pPr>
        <w:ind w:firstLine="560"/>
        <w:rPr>
          <w:rFonts w:ascii="仿宋" w:hAnsi="仿宋" w:eastAsia="仿宋"/>
          <w:color w:val="auto"/>
          <w:sz w:val="32"/>
          <w:szCs w:val="32"/>
        </w:rPr>
      </w:pPr>
      <w:r>
        <w:rPr>
          <w:rFonts w:hint="eastAsia" w:ascii="仿宋" w:hAnsi="仿宋" w:eastAsia="仿宋"/>
          <w:color w:val="auto"/>
          <w:sz w:val="32"/>
          <w:szCs w:val="32"/>
        </w:rPr>
        <w:t>对有关法律、法规、规章的执行情况进行监督检查。</w:t>
      </w:r>
    </w:p>
    <w:p w14:paraId="250181E5">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三</w:t>
      </w:r>
      <w:r>
        <w:rPr>
          <w:rFonts w:ascii="仿宋" w:hAnsi="仿宋" w:eastAsia="仿宋"/>
          <w:color w:val="auto"/>
          <w:sz w:val="32"/>
          <w:szCs w:val="32"/>
        </w:rPr>
        <w:t>)</w:t>
      </w:r>
      <w:r>
        <w:rPr>
          <w:rFonts w:hint="eastAsia" w:ascii="仿宋" w:hAnsi="仿宋" w:eastAsia="仿宋"/>
          <w:color w:val="auto"/>
          <w:sz w:val="32"/>
          <w:szCs w:val="32"/>
        </w:rPr>
        <w:t>负责汇总分析全县财政、金融等方面的情况</w:t>
      </w:r>
      <w:r>
        <w:rPr>
          <w:rFonts w:ascii="仿宋" w:hAnsi="仿宋" w:eastAsia="仿宋"/>
          <w:color w:val="auto"/>
          <w:sz w:val="32"/>
          <w:szCs w:val="32"/>
        </w:rPr>
        <w:t>;</w:t>
      </w:r>
      <w:r>
        <w:rPr>
          <w:rFonts w:hint="eastAsia" w:ascii="仿宋" w:hAnsi="仿宋" w:eastAsia="仿宋"/>
          <w:color w:val="auto"/>
          <w:sz w:val="32"/>
          <w:szCs w:val="32"/>
        </w:rPr>
        <w:t>参与研究财政政策、货币政策和土地政策；组织研究全县重大价格政策措施，监督国家、省、市价格政策的贯彻执行；综合分析财政、金融、土地、价格政策的执行效果</w:t>
      </w:r>
      <w:r>
        <w:rPr>
          <w:rFonts w:ascii="仿宋" w:hAnsi="仿宋" w:eastAsia="仿宋"/>
          <w:color w:val="auto"/>
          <w:sz w:val="32"/>
          <w:szCs w:val="32"/>
        </w:rPr>
        <w:t>,</w:t>
      </w:r>
      <w:r>
        <w:rPr>
          <w:rFonts w:hint="eastAsia" w:ascii="仿宋" w:hAnsi="仿宋" w:eastAsia="仿宋"/>
          <w:color w:val="auto"/>
          <w:sz w:val="32"/>
          <w:szCs w:val="32"/>
        </w:rPr>
        <w:t>研究提出运用经济杠杆促进经济发展的政策建议；负责全县全口径外债的总量控制、结构优化和监测工作。</w:t>
      </w:r>
    </w:p>
    <w:p w14:paraId="37AA6E56">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四</w:t>
      </w:r>
      <w:r>
        <w:rPr>
          <w:rFonts w:ascii="仿宋" w:hAnsi="仿宋" w:eastAsia="仿宋"/>
          <w:color w:val="auto"/>
          <w:sz w:val="32"/>
          <w:szCs w:val="32"/>
        </w:rPr>
        <w:t>)</w:t>
      </w:r>
      <w:r>
        <w:rPr>
          <w:rFonts w:hint="eastAsia" w:ascii="仿宋" w:hAnsi="仿宋" w:eastAsia="仿宋"/>
          <w:color w:val="auto"/>
          <w:sz w:val="32"/>
          <w:szCs w:val="32"/>
        </w:rPr>
        <w:t>承担指导推进和综合协调全县经济体制改革的责任；研究全县经济体制改革和对外开放的重大问题</w:t>
      </w:r>
      <w:r>
        <w:rPr>
          <w:rFonts w:ascii="仿宋" w:hAnsi="仿宋" w:eastAsia="仿宋"/>
          <w:color w:val="auto"/>
          <w:sz w:val="32"/>
          <w:szCs w:val="32"/>
        </w:rPr>
        <w:t>,</w:t>
      </w:r>
      <w:r>
        <w:rPr>
          <w:rFonts w:hint="eastAsia" w:ascii="仿宋" w:hAnsi="仿宋" w:eastAsia="仿宋"/>
          <w:color w:val="auto"/>
          <w:sz w:val="32"/>
          <w:szCs w:val="32"/>
        </w:rPr>
        <w:t>组织拟订全县综合性经济体制改革方案</w:t>
      </w:r>
      <w:r>
        <w:rPr>
          <w:rFonts w:ascii="仿宋" w:hAnsi="仿宋" w:eastAsia="仿宋"/>
          <w:color w:val="auto"/>
          <w:sz w:val="32"/>
          <w:szCs w:val="32"/>
        </w:rPr>
        <w:t>,</w:t>
      </w:r>
      <w:r>
        <w:rPr>
          <w:rFonts w:hint="eastAsia" w:ascii="仿宋" w:hAnsi="仿宋" w:eastAsia="仿宋"/>
          <w:color w:val="auto"/>
          <w:sz w:val="32"/>
          <w:szCs w:val="32"/>
        </w:rPr>
        <w:t>协调有关专项经济体制改革方案，会同有关部门搞好重要专项经济体制改革之间的衔接；组织实施经济体制改革试点和改革实验区的有关工作；拟订全县投融资、计划、价格等体制改革方案并组织实施；组织研究所有制结构调整的政策措施和国民经济市场化的重大问题</w:t>
      </w:r>
      <w:r>
        <w:rPr>
          <w:rFonts w:ascii="仿宋" w:hAnsi="仿宋" w:eastAsia="仿宋"/>
          <w:color w:val="auto"/>
          <w:sz w:val="32"/>
          <w:szCs w:val="32"/>
        </w:rPr>
        <w:t>;</w:t>
      </w:r>
      <w:r>
        <w:rPr>
          <w:rFonts w:hint="eastAsia" w:ascii="仿宋" w:hAnsi="仿宋" w:eastAsia="仿宋"/>
          <w:color w:val="auto"/>
          <w:sz w:val="32"/>
          <w:szCs w:val="32"/>
        </w:rPr>
        <w:t>提出推动全县非国有经济改革与发展的政策建议。</w:t>
      </w:r>
    </w:p>
    <w:p w14:paraId="62CEC669">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五</w:t>
      </w:r>
      <w:r>
        <w:rPr>
          <w:rFonts w:ascii="仿宋" w:hAnsi="仿宋" w:eastAsia="仿宋"/>
          <w:color w:val="auto"/>
          <w:sz w:val="32"/>
          <w:szCs w:val="32"/>
        </w:rPr>
        <w:t>)</w:t>
      </w:r>
      <w:r>
        <w:rPr>
          <w:rFonts w:hint="eastAsia" w:ascii="仿宋" w:hAnsi="仿宋" w:eastAsia="仿宋"/>
          <w:color w:val="auto"/>
          <w:sz w:val="32"/>
          <w:szCs w:val="32"/>
        </w:rPr>
        <w:t>承担规划全县重大建设项目和生产力布局的责任</w:t>
      </w:r>
      <w:r>
        <w:rPr>
          <w:rFonts w:ascii="仿宋" w:hAnsi="仿宋" w:eastAsia="仿宋"/>
          <w:color w:val="auto"/>
          <w:sz w:val="32"/>
          <w:szCs w:val="32"/>
        </w:rPr>
        <w:t>;</w:t>
      </w:r>
      <w:r>
        <w:rPr>
          <w:rFonts w:hint="eastAsia" w:ascii="仿宋" w:hAnsi="仿宋" w:eastAsia="仿宋"/>
          <w:color w:val="auto"/>
          <w:sz w:val="32"/>
          <w:szCs w:val="32"/>
        </w:rPr>
        <w:t>拟订全县全社会固定资产投资总规模和投资结构的调控目标、政策及措施</w:t>
      </w:r>
      <w:r>
        <w:rPr>
          <w:rFonts w:ascii="仿宋" w:hAnsi="仿宋" w:eastAsia="仿宋"/>
          <w:color w:val="auto"/>
          <w:sz w:val="32"/>
          <w:szCs w:val="32"/>
        </w:rPr>
        <w:t>,</w:t>
      </w:r>
      <w:r>
        <w:rPr>
          <w:rFonts w:hint="eastAsia" w:ascii="仿宋" w:hAnsi="仿宋" w:eastAsia="仿宋"/>
          <w:color w:val="auto"/>
          <w:sz w:val="32"/>
          <w:szCs w:val="32"/>
        </w:rPr>
        <w:t>衔接平衡需要安排省、市、县政府投资和涉及重大建设项目的专项规划；按规定权限</w:t>
      </w:r>
      <w:r>
        <w:rPr>
          <w:rFonts w:ascii="仿宋" w:hAnsi="仿宋" w:eastAsia="仿宋"/>
          <w:color w:val="auto"/>
          <w:sz w:val="32"/>
          <w:szCs w:val="32"/>
        </w:rPr>
        <w:t>,</w:t>
      </w:r>
      <w:r>
        <w:rPr>
          <w:rFonts w:hint="eastAsia" w:ascii="仿宋" w:hAnsi="仿宋" w:eastAsia="仿宋"/>
          <w:color w:val="auto"/>
          <w:sz w:val="32"/>
          <w:szCs w:val="32"/>
        </w:rPr>
        <w:t>负责固定资产投资项目、外资项目和境外投资项目的审批、核准、备案以及审核、转报工作；安排县财政拨款建设项目和县重大建设项目</w:t>
      </w:r>
      <w:r>
        <w:rPr>
          <w:rFonts w:ascii="仿宋" w:hAnsi="仿宋" w:eastAsia="仿宋"/>
          <w:color w:val="auto"/>
          <w:sz w:val="32"/>
          <w:szCs w:val="32"/>
        </w:rPr>
        <w:t>;</w:t>
      </w:r>
      <w:r>
        <w:rPr>
          <w:rFonts w:hint="eastAsia" w:ascii="仿宋" w:hAnsi="仿宋" w:eastAsia="仿宋"/>
          <w:color w:val="auto"/>
          <w:sz w:val="32"/>
          <w:szCs w:val="32"/>
        </w:rPr>
        <w:t>管理和安排县重点建设资金</w:t>
      </w:r>
      <w:r>
        <w:rPr>
          <w:rFonts w:ascii="仿宋" w:hAnsi="仿宋" w:eastAsia="仿宋"/>
          <w:color w:val="auto"/>
          <w:sz w:val="32"/>
          <w:szCs w:val="32"/>
        </w:rPr>
        <w:t>;</w:t>
      </w:r>
      <w:r>
        <w:rPr>
          <w:rFonts w:hint="eastAsia" w:ascii="仿宋" w:hAnsi="仿宋" w:eastAsia="仿宋"/>
          <w:color w:val="auto"/>
          <w:sz w:val="32"/>
          <w:szCs w:val="32"/>
        </w:rPr>
        <w:t>安排县级财政投资的基本建设资金和投资计划</w:t>
      </w:r>
      <w:r>
        <w:rPr>
          <w:rFonts w:ascii="仿宋" w:hAnsi="仿宋" w:eastAsia="仿宋"/>
          <w:color w:val="auto"/>
          <w:sz w:val="32"/>
          <w:szCs w:val="32"/>
        </w:rPr>
        <w:t>;</w:t>
      </w:r>
      <w:r>
        <w:rPr>
          <w:rFonts w:hint="eastAsia" w:ascii="仿宋" w:hAnsi="仿宋" w:eastAsia="仿宋"/>
          <w:color w:val="auto"/>
          <w:sz w:val="32"/>
          <w:szCs w:val="32"/>
        </w:rPr>
        <w:t>承担省市基本建设基金项目、省市重点项目建设调控资金项目和国家开发银行政策性贷款项目的相关管理工作；指导和监督国外贷款建设资金的使用</w:t>
      </w:r>
      <w:r>
        <w:rPr>
          <w:rFonts w:ascii="仿宋" w:hAnsi="仿宋" w:eastAsia="仿宋"/>
          <w:color w:val="auto"/>
          <w:sz w:val="32"/>
          <w:szCs w:val="32"/>
        </w:rPr>
        <w:t>,</w:t>
      </w:r>
      <w:r>
        <w:rPr>
          <w:rFonts w:hint="eastAsia" w:ascii="仿宋" w:hAnsi="仿宋" w:eastAsia="仿宋"/>
          <w:color w:val="auto"/>
          <w:sz w:val="32"/>
          <w:szCs w:val="32"/>
        </w:rPr>
        <w:t>指导和监督政策性贷款的使用方向</w:t>
      </w:r>
      <w:r>
        <w:rPr>
          <w:rFonts w:ascii="仿宋" w:hAnsi="仿宋" w:eastAsia="仿宋"/>
          <w:color w:val="auto"/>
          <w:sz w:val="32"/>
          <w:szCs w:val="32"/>
        </w:rPr>
        <w:t>;</w:t>
      </w:r>
      <w:r>
        <w:rPr>
          <w:rFonts w:hint="eastAsia" w:ascii="仿宋" w:hAnsi="仿宋" w:eastAsia="仿宋"/>
          <w:color w:val="auto"/>
          <w:sz w:val="32"/>
          <w:szCs w:val="32"/>
        </w:rPr>
        <w:t>引导民间投资的方向；研究提出全县利用外资和境外投资的战略、规划、总量平衡和结构优化的目标、政策</w:t>
      </w:r>
      <w:r>
        <w:rPr>
          <w:rFonts w:ascii="仿宋" w:hAnsi="仿宋" w:eastAsia="仿宋"/>
          <w:color w:val="auto"/>
          <w:sz w:val="32"/>
          <w:szCs w:val="32"/>
        </w:rPr>
        <w:t>;</w:t>
      </w:r>
      <w:r>
        <w:rPr>
          <w:rFonts w:hint="eastAsia" w:ascii="仿宋" w:hAnsi="仿宋" w:eastAsia="仿宋"/>
          <w:color w:val="auto"/>
          <w:sz w:val="32"/>
          <w:szCs w:val="32"/>
        </w:rPr>
        <w:t>组织开展重大建设项目稽察工作；按规定指导和协调全县招投标工作；对政府出资的重大建设项目的工程招投标进行监督检查；指导工程咨询业发展。</w:t>
      </w:r>
    </w:p>
    <w:p w14:paraId="57B77257">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六</w:t>
      </w:r>
      <w:r>
        <w:rPr>
          <w:rFonts w:ascii="仿宋" w:hAnsi="仿宋" w:eastAsia="仿宋"/>
          <w:color w:val="auto"/>
          <w:sz w:val="32"/>
          <w:szCs w:val="32"/>
        </w:rPr>
        <w:t>)</w:t>
      </w:r>
      <w:r>
        <w:rPr>
          <w:rFonts w:hint="eastAsia" w:ascii="仿宋" w:hAnsi="仿宋" w:eastAsia="仿宋"/>
          <w:color w:val="auto"/>
          <w:sz w:val="32"/>
          <w:szCs w:val="32"/>
        </w:rPr>
        <w:t>推进全县经济结构战略性调整；组织拟订全县综合性产业政策，负责协调第一、二、三产业发展的重大问题并衔接平衡相关发展规划和政策，做好与全县国民经济和社会发展规划、计划的衔接平衡；提出全县国民经济重要产业的发展战略和规划</w:t>
      </w:r>
      <w:r>
        <w:rPr>
          <w:rFonts w:ascii="仿宋" w:hAnsi="仿宋" w:eastAsia="仿宋"/>
          <w:color w:val="auto"/>
          <w:sz w:val="32"/>
          <w:szCs w:val="32"/>
        </w:rPr>
        <w:t>;</w:t>
      </w:r>
      <w:r>
        <w:rPr>
          <w:rFonts w:hint="eastAsia" w:ascii="仿宋" w:hAnsi="仿宋" w:eastAsia="仿宋"/>
          <w:color w:val="auto"/>
          <w:sz w:val="32"/>
          <w:szCs w:val="32"/>
        </w:rPr>
        <w:t>衔接平衡全县农村经济、工业、能源、交通、高技术产业、服务业等发展规划</w:t>
      </w:r>
      <w:r>
        <w:rPr>
          <w:rFonts w:ascii="仿宋" w:hAnsi="仿宋" w:eastAsia="仿宋"/>
          <w:color w:val="auto"/>
          <w:sz w:val="32"/>
          <w:szCs w:val="32"/>
        </w:rPr>
        <w:t>,</w:t>
      </w:r>
      <w:r>
        <w:rPr>
          <w:rFonts w:hint="eastAsia" w:ascii="仿宋" w:hAnsi="仿宋" w:eastAsia="仿宋"/>
          <w:color w:val="auto"/>
          <w:sz w:val="32"/>
          <w:szCs w:val="32"/>
        </w:rPr>
        <w:t>监督规划的实施</w:t>
      </w:r>
      <w:r>
        <w:rPr>
          <w:rFonts w:ascii="仿宋" w:hAnsi="仿宋" w:eastAsia="仿宋"/>
          <w:color w:val="auto"/>
          <w:sz w:val="32"/>
          <w:szCs w:val="32"/>
        </w:rPr>
        <w:t>,</w:t>
      </w:r>
      <w:r>
        <w:rPr>
          <w:rFonts w:hint="eastAsia" w:ascii="仿宋" w:hAnsi="仿宋" w:eastAsia="仿宋"/>
          <w:color w:val="auto"/>
          <w:sz w:val="32"/>
          <w:szCs w:val="32"/>
        </w:rPr>
        <w:t>协调发展中的重大问题；会同有关部门拟订全县能源发展战略、规划和产业政策并组织实施；协调能源发展和改革中的重大问题，提出发展新能源的政策措施；组织拟订全县高技术产业发展、产业技术进步的战略、规划和政策；协调解决重大技术装备推广应用等方面的重大问题；拟订并组织实施全县服务业发展战略、规划和政策，协调解决服务业发展中的重大问题；参与拟订现代物流业发展规划、政策。</w:t>
      </w:r>
    </w:p>
    <w:p w14:paraId="3A0CCA71">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七</w:t>
      </w:r>
      <w:r>
        <w:rPr>
          <w:rFonts w:ascii="仿宋" w:hAnsi="仿宋" w:eastAsia="仿宋"/>
          <w:color w:val="auto"/>
          <w:sz w:val="32"/>
          <w:szCs w:val="32"/>
        </w:rPr>
        <w:t>)</w:t>
      </w:r>
      <w:r>
        <w:rPr>
          <w:rFonts w:hint="eastAsia" w:ascii="仿宋" w:hAnsi="仿宋" w:eastAsia="仿宋"/>
          <w:color w:val="auto"/>
          <w:sz w:val="32"/>
          <w:szCs w:val="32"/>
        </w:rPr>
        <w:t>承担组织编制全县主体功能区规划并协调实施和进行监测评估的责任；组织拟订全县区域协调发展的战略、规划和政策，研究提出城镇化发展战略和政策；负责提出全县区域经济联合与经济协作的发展战略和政策建议，负责全县地区经济协作和境内招商引资工作的统筹协调；牵头组织对口支援工作</w:t>
      </w:r>
      <w:r>
        <w:rPr>
          <w:rFonts w:ascii="仿宋" w:hAnsi="仿宋" w:eastAsia="仿宋"/>
          <w:color w:val="auto"/>
          <w:sz w:val="32"/>
          <w:szCs w:val="32"/>
        </w:rPr>
        <w:t>;</w:t>
      </w:r>
      <w:r>
        <w:rPr>
          <w:rFonts w:hint="eastAsia" w:ascii="仿宋" w:hAnsi="仿宋" w:eastAsia="仿宋"/>
          <w:color w:val="auto"/>
          <w:sz w:val="32"/>
          <w:szCs w:val="32"/>
        </w:rPr>
        <w:t>负责组织拟订全县加快县域经济发展的战略、规划和政策措施，承担县域经济发展的指导协调工作。</w:t>
      </w:r>
    </w:p>
    <w:p w14:paraId="5CB8CF17">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八</w:t>
      </w:r>
      <w:r>
        <w:rPr>
          <w:rFonts w:ascii="仿宋" w:hAnsi="仿宋" w:eastAsia="仿宋"/>
          <w:color w:val="auto"/>
          <w:sz w:val="32"/>
          <w:szCs w:val="32"/>
        </w:rPr>
        <w:t>)</w:t>
      </w:r>
      <w:r>
        <w:rPr>
          <w:rFonts w:hint="eastAsia" w:ascii="仿宋" w:hAnsi="仿宋" w:eastAsia="仿宋"/>
          <w:color w:val="auto"/>
          <w:sz w:val="32"/>
          <w:szCs w:val="32"/>
        </w:rPr>
        <w:t>承担全县重要商品的总量平衡和宏观调控的责任</w:t>
      </w:r>
      <w:r>
        <w:rPr>
          <w:rFonts w:ascii="仿宋" w:hAnsi="仿宋" w:eastAsia="仿宋"/>
          <w:color w:val="auto"/>
          <w:sz w:val="32"/>
          <w:szCs w:val="32"/>
        </w:rPr>
        <w:t>;</w:t>
      </w:r>
      <w:r>
        <w:rPr>
          <w:rFonts w:hint="eastAsia" w:ascii="仿宋" w:hAnsi="仿宋" w:eastAsia="仿宋"/>
          <w:color w:val="auto"/>
          <w:sz w:val="32"/>
          <w:szCs w:val="32"/>
        </w:rPr>
        <w:t>研究分析国内外市场状况</w:t>
      </w:r>
      <w:r>
        <w:rPr>
          <w:rFonts w:ascii="仿宋" w:hAnsi="仿宋" w:eastAsia="仿宋"/>
          <w:color w:val="auto"/>
          <w:sz w:val="32"/>
          <w:szCs w:val="32"/>
        </w:rPr>
        <w:t>,</w:t>
      </w:r>
      <w:r>
        <w:rPr>
          <w:rFonts w:hint="eastAsia" w:ascii="仿宋" w:hAnsi="仿宋" w:eastAsia="仿宋"/>
          <w:color w:val="auto"/>
          <w:sz w:val="32"/>
          <w:szCs w:val="32"/>
        </w:rPr>
        <w:t>衔接平衡、汇总编制全县国内外贸易发展规划和年度计划；组织实施国家、省、市下达的粮食、棉花等重要农产品进出口计划；按照国家、省、市、县拟订的战略物资储备计划，负责组织战略物资的收储、动用、轮换和管理；编制粮食、棉花等重要物资和商品的县级储备计划</w:t>
      </w:r>
      <w:r>
        <w:rPr>
          <w:rFonts w:ascii="仿宋" w:hAnsi="仿宋" w:eastAsia="仿宋"/>
          <w:color w:val="auto"/>
          <w:sz w:val="32"/>
          <w:szCs w:val="32"/>
        </w:rPr>
        <w:t>;</w:t>
      </w:r>
      <w:r>
        <w:rPr>
          <w:rFonts w:hint="eastAsia" w:ascii="仿宋" w:hAnsi="仿宋" w:eastAsia="仿宋"/>
          <w:color w:val="auto"/>
          <w:sz w:val="32"/>
          <w:szCs w:val="32"/>
        </w:rPr>
        <w:t>综合平衡全县各类重要市场的发展规划和总体布局</w:t>
      </w:r>
      <w:r>
        <w:rPr>
          <w:rFonts w:ascii="仿宋" w:hAnsi="仿宋" w:eastAsia="仿宋"/>
          <w:color w:val="auto"/>
          <w:sz w:val="32"/>
          <w:szCs w:val="32"/>
        </w:rPr>
        <w:t>,</w:t>
      </w:r>
      <w:r>
        <w:rPr>
          <w:rFonts w:hint="eastAsia" w:ascii="仿宋" w:hAnsi="仿宋" w:eastAsia="仿宋"/>
          <w:color w:val="auto"/>
          <w:sz w:val="32"/>
          <w:szCs w:val="32"/>
        </w:rPr>
        <w:t>引导和调控市场。</w:t>
      </w:r>
    </w:p>
    <w:p w14:paraId="334F66E7">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九</w:t>
      </w:r>
      <w:r>
        <w:rPr>
          <w:rFonts w:ascii="仿宋" w:hAnsi="仿宋" w:eastAsia="仿宋"/>
          <w:color w:val="auto"/>
          <w:sz w:val="32"/>
          <w:szCs w:val="32"/>
        </w:rPr>
        <w:t>)</w:t>
      </w:r>
      <w:r>
        <w:rPr>
          <w:rFonts w:hint="eastAsia" w:ascii="仿宋" w:hAnsi="仿宋" w:eastAsia="仿宋"/>
          <w:color w:val="auto"/>
          <w:sz w:val="32"/>
          <w:szCs w:val="32"/>
        </w:rPr>
        <w:t>负责全县社会发展与国民经济发展的政策衔接，组织拟订社会发展战略、总体规划和年度计划，参与拟订人口和计划生育、科学技术、教育、文化、卫生、民政等发展政策；研究提出促进就业、调整收入分配、完善社会保障与经济协调发展的政策建议；协调社会事业发展和改革的重大问题及政策；组织编制全县国民经济动员规划、计划，研究国民经济动员与国民经济、国防建设的关系，协调相关重大问题，组织实施国民经济动员的有关工作。</w:t>
      </w:r>
    </w:p>
    <w:p w14:paraId="7CF30855">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十</w:t>
      </w:r>
      <w:r>
        <w:rPr>
          <w:rFonts w:ascii="仿宋" w:hAnsi="仿宋" w:eastAsia="仿宋"/>
          <w:color w:val="auto"/>
          <w:sz w:val="32"/>
          <w:szCs w:val="32"/>
        </w:rPr>
        <w:t>)</w:t>
      </w:r>
      <w:r>
        <w:rPr>
          <w:rFonts w:hint="eastAsia" w:ascii="仿宋" w:hAnsi="仿宋" w:eastAsia="仿宋"/>
          <w:color w:val="auto"/>
          <w:sz w:val="32"/>
          <w:szCs w:val="32"/>
        </w:rPr>
        <w:t>推进可持续发展战略，提出全县经济与环境、资源协调发展的政策建议</w:t>
      </w:r>
      <w:r>
        <w:rPr>
          <w:rFonts w:ascii="仿宋" w:hAnsi="仿宋" w:eastAsia="仿宋"/>
          <w:color w:val="auto"/>
          <w:sz w:val="32"/>
          <w:szCs w:val="32"/>
        </w:rPr>
        <w:t>;</w:t>
      </w:r>
      <w:r>
        <w:rPr>
          <w:rFonts w:hint="eastAsia" w:ascii="仿宋" w:hAnsi="仿宋" w:eastAsia="仿宋"/>
          <w:color w:val="auto"/>
          <w:sz w:val="32"/>
          <w:szCs w:val="32"/>
        </w:rPr>
        <w:t>参与编制生态建设、环境保护规划；组织拟订全县应对气候变化战略、规划和政策。　</w:t>
      </w:r>
    </w:p>
    <w:p w14:paraId="6C0DB102">
      <w:pPr>
        <w:ind w:firstLine="560"/>
        <w:rPr>
          <w:rFonts w:ascii="仿宋" w:hAnsi="仿宋" w:eastAsia="仿宋"/>
          <w:color w:val="auto"/>
          <w:sz w:val="32"/>
          <w:szCs w:val="32"/>
        </w:rPr>
      </w:pPr>
      <w:r>
        <w:rPr>
          <w:rFonts w:ascii="仿宋" w:hAnsi="仿宋" w:eastAsia="仿宋"/>
          <w:color w:val="auto"/>
          <w:sz w:val="32"/>
          <w:szCs w:val="32"/>
        </w:rPr>
        <w:t>(</w:t>
      </w:r>
      <w:r>
        <w:rPr>
          <w:rFonts w:hint="eastAsia" w:ascii="仿宋" w:hAnsi="仿宋" w:eastAsia="仿宋"/>
          <w:color w:val="auto"/>
          <w:sz w:val="32"/>
          <w:szCs w:val="32"/>
        </w:rPr>
        <w:t>十一</w:t>
      </w:r>
      <w:r>
        <w:rPr>
          <w:rFonts w:ascii="仿宋" w:hAnsi="仿宋" w:eastAsia="仿宋"/>
          <w:color w:val="auto"/>
          <w:sz w:val="32"/>
          <w:szCs w:val="32"/>
        </w:rPr>
        <w:t>)</w:t>
      </w:r>
      <w:r>
        <w:rPr>
          <w:rFonts w:hint="eastAsia" w:ascii="仿宋" w:hAnsi="仿宋" w:eastAsia="仿宋"/>
          <w:color w:val="auto"/>
          <w:sz w:val="32"/>
          <w:szCs w:val="32"/>
        </w:rPr>
        <w:t>承办县委、县政府交办的其他事项。</w:t>
      </w:r>
    </w:p>
    <w:p w14:paraId="745ED918">
      <w:pPr>
        <w:pStyle w:val="13"/>
        <w:spacing w:line="520" w:lineRule="exact"/>
        <w:ind w:firstLine="736" w:firstLineChars="230"/>
        <w:rPr>
          <w:rFonts w:ascii="黑体" w:hAnsi="黑体" w:eastAsia="黑体"/>
          <w:color w:val="auto"/>
          <w:sz w:val="32"/>
          <w:szCs w:val="32"/>
        </w:rPr>
      </w:pPr>
      <w:r>
        <w:rPr>
          <w:rFonts w:hint="eastAsia" w:ascii="黑体" w:hAnsi="黑体" w:eastAsia="黑体" w:cs="仿宋_GB2312"/>
          <w:color w:val="auto"/>
          <w:sz w:val="32"/>
          <w:szCs w:val="32"/>
        </w:rPr>
        <w:t>二、</w:t>
      </w:r>
      <w:r>
        <w:rPr>
          <w:rFonts w:hint="eastAsia" w:ascii="黑体" w:hAnsi="黑体" w:eastAsia="黑体"/>
          <w:color w:val="auto"/>
          <w:sz w:val="32"/>
          <w:szCs w:val="32"/>
        </w:rPr>
        <w:t>机构设置</w:t>
      </w:r>
    </w:p>
    <w:tbl>
      <w:tblPr>
        <w:tblStyle w:val="7"/>
        <w:tblW w:w="9796" w:type="dxa"/>
        <w:tblInd w:w="93" w:type="dxa"/>
        <w:tblLayout w:type="fixed"/>
        <w:tblCellMar>
          <w:top w:w="0" w:type="dxa"/>
          <w:left w:w="108" w:type="dxa"/>
          <w:bottom w:w="0" w:type="dxa"/>
          <w:right w:w="108" w:type="dxa"/>
        </w:tblCellMar>
      </w:tblPr>
      <w:tblGrid>
        <w:gridCol w:w="1080"/>
        <w:gridCol w:w="2320"/>
        <w:gridCol w:w="2120"/>
        <w:gridCol w:w="1900"/>
        <w:gridCol w:w="2376"/>
      </w:tblGrid>
      <w:tr w14:paraId="3D7E2726">
        <w:tblPrEx>
          <w:tblCellMar>
            <w:top w:w="0" w:type="dxa"/>
            <w:left w:w="108" w:type="dxa"/>
            <w:bottom w:w="0" w:type="dxa"/>
            <w:right w:w="108" w:type="dxa"/>
          </w:tblCellMar>
        </w:tblPrEx>
        <w:trPr>
          <w:trHeight w:val="810" w:hRule="atLeast"/>
        </w:trPr>
        <w:tc>
          <w:tcPr>
            <w:tcW w:w="9796" w:type="dxa"/>
            <w:gridSpan w:val="5"/>
            <w:tcBorders>
              <w:top w:val="nil"/>
              <w:left w:val="nil"/>
              <w:bottom w:val="single" w:color="auto" w:sz="4" w:space="0"/>
              <w:right w:val="nil"/>
            </w:tcBorders>
            <w:vAlign w:val="center"/>
          </w:tcPr>
          <w:p w14:paraId="765DCB2F">
            <w:pPr>
              <w:widowControl/>
              <w:jc w:val="center"/>
              <w:rPr>
                <w:rFonts w:ascii="宋体" w:cs="宋体"/>
                <w:color w:val="auto"/>
                <w:kern w:val="0"/>
                <w:sz w:val="28"/>
                <w:szCs w:val="28"/>
              </w:rPr>
            </w:pPr>
            <w:r>
              <w:rPr>
                <w:rFonts w:hint="eastAsia" w:ascii="宋体" w:hAnsi="宋体" w:cs="宋体"/>
                <w:color w:val="auto"/>
                <w:kern w:val="0"/>
                <w:sz w:val="28"/>
                <w:szCs w:val="28"/>
              </w:rPr>
              <w:t>部门机构设置情况</w:t>
            </w:r>
          </w:p>
        </w:tc>
      </w:tr>
      <w:tr w14:paraId="51981113">
        <w:tblPrEx>
          <w:tblCellMar>
            <w:top w:w="0" w:type="dxa"/>
            <w:left w:w="108" w:type="dxa"/>
            <w:bottom w:w="0" w:type="dxa"/>
            <w:right w:w="108" w:type="dxa"/>
          </w:tblCellMar>
        </w:tblPrEx>
        <w:trPr>
          <w:trHeight w:val="720" w:hRule="atLeast"/>
        </w:trPr>
        <w:tc>
          <w:tcPr>
            <w:tcW w:w="1080" w:type="dxa"/>
            <w:vMerge w:val="restart"/>
            <w:tcBorders>
              <w:top w:val="nil"/>
              <w:left w:val="single" w:color="auto" w:sz="4" w:space="0"/>
              <w:bottom w:val="single" w:color="000000" w:sz="4" w:space="0"/>
              <w:right w:val="single" w:color="auto" w:sz="4" w:space="0"/>
            </w:tcBorders>
            <w:vAlign w:val="center"/>
          </w:tcPr>
          <w:p w14:paraId="7AF7204B">
            <w:pPr>
              <w:widowControl/>
              <w:jc w:val="center"/>
              <w:rPr>
                <w:rFonts w:ascii="宋体" w:cs="宋体"/>
                <w:color w:val="auto"/>
                <w:kern w:val="0"/>
                <w:sz w:val="24"/>
                <w:szCs w:val="24"/>
              </w:rPr>
            </w:pPr>
            <w:r>
              <w:rPr>
                <w:rFonts w:hint="eastAsia" w:ascii="宋体" w:hAnsi="宋体" w:cs="宋体"/>
                <w:color w:val="auto"/>
                <w:kern w:val="0"/>
                <w:sz w:val="24"/>
                <w:szCs w:val="24"/>
              </w:rPr>
              <w:t>序号</w:t>
            </w:r>
          </w:p>
        </w:tc>
        <w:tc>
          <w:tcPr>
            <w:tcW w:w="2320" w:type="dxa"/>
            <w:vMerge w:val="restart"/>
            <w:tcBorders>
              <w:top w:val="nil"/>
              <w:left w:val="single" w:color="auto" w:sz="4" w:space="0"/>
              <w:bottom w:val="single" w:color="000000" w:sz="4" w:space="0"/>
              <w:right w:val="single" w:color="auto" w:sz="4" w:space="0"/>
            </w:tcBorders>
            <w:vAlign w:val="center"/>
          </w:tcPr>
          <w:p w14:paraId="18E5A473">
            <w:pPr>
              <w:widowControl/>
              <w:jc w:val="center"/>
              <w:rPr>
                <w:rFonts w:ascii="宋体" w:cs="宋体"/>
                <w:color w:val="auto"/>
                <w:kern w:val="0"/>
                <w:sz w:val="24"/>
                <w:szCs w:val="24"/>
              </w:rPr>
            </w:pPr>
            <w:r>
              <w:rPr>
                <w:rFonts w:hint="eastAsia" w:ascii="宋体" w:hAnsi="宋体" w:cs="宋体"/>
                <w:color w:val="auto"/>
                <w:kern w:val="0"/>
                <w:sz w:val="24"/>
                <w:szCs w:val="24"/>
              </w:rPr>
              <w:t>科室名称</w:t>
            </w:r>
          </w:p>
        </w:tc>
        <w:tc>
          <w:tcPr>
            <w:tcW w:w="2120" w:type="dxa"/>
            <w:vMerge w:val="restart"/>
            <w:tcBorders>
              <w:top w:val="nil"/>
              <w:left w:val="single" w:color="auto" w:sz="4" w:space="0"/>
              <w:bottom w:val="single" w:color="000000" w:sz="4" w:space="0"/>
              <w:right w:val="single" w:color="auto" w:sz="4" w:space="0"/>
            </w:tcBorders>
            <w:vAlign w:val="center"/>
          </w:tcPr>
          <w:p w14:paraId="4ED814F6">
            <w:pPr>
              <w:widowControl/>
              <w:jc w:val="center"/>
              <w:rPr>
                <w:rFonts w:ascii="宋体" w:cs="宋体"/>
                <w:color w:val="auto"/>
                <w:kern w:val="0"/>
                <w:sz w:val="24"/>
                <w:szCs w:val="24"/>
              </w:rPr>
            </w:pPr>
            <w:r>
              <w:rPr>
                <w:rFonts w:hint="eastAsia" w:ascii="宋体" w:hAnsi="宋体" w:cs="宋体"/>
                <w:color w:val="auto"/>
                <w:kern w:val="0"/>
                <w:sz w:val="24"/>
                <w:szCs w:val="24"/>
              </w:rPr>
              <w:t>科室性质</w:t>
            </w:r>
          </w:p>
        </w:tc>
        <w:tc>
          <w:tcPr>
            <w:tcW w:w="1900" w:type="dxa"/>
            <w:vMerge w:val="restart"/>
            <w:tcBorders>
              <w:top w:val="nil"/>
              <w:left w:val="single" w:color="auto" w:sz="4" w:space="0"/>
              <w:bottom w:val="single" w:color="000000" w:sz="4" w:space="0"/>
              <w:right w:val="single" w:color="auto" w:sz="4" w:space="0"/>
            </w:tcBorders>
            <w:vAlign w:val="center"/>
          </w:tcPr>
          <w:p w14:paraId="63BD5899">
            <w:pPr>
              <w:widowControl/>
              <w:jc w:val="center"/>
              <w:rPr>
                <w:rFonts w:ascii="宋体" w:cs="宋体"/>
                <w:color w:val="auto"/>
                <w:kern w:val="0"/>
                <w:sz w:val="24"/>
                <w:szCs w:val="24"/>
              </w:rPr>
            </w:pPr>
            <w:r>
              <w:rPr>
                <w:rFonts w:hint="eastAsia" w:ascii="宋体" w:hAnsi="宋体" w:cs="宋体"/>
                <w:color w:val="auto"/>
                <w:kern w:val="0"/>
                <w:sz w:val="24"/>
                <w:szCs w:val="24"/>
              </w:rPr>
              <w:t>规格</w:t>
            </w:r>
          </w:p>
        </w:tc>
        <w:tc>
          <w:tcPr>
            <w:tcW w:w="2376" w:type="dxa"/>
            <w:vMerge w:val="restart"/>
            <w:tcBorders>
              <w:top w:val="nil"/>
              <w:left w:val="single" w:color="auto" w:sz="4" w:space="0"/>
              <w:bottom w:val="single" w:color="000000" w:sz="4" w:space="0"/>
              <w:right w:val="single" w:color="auto" w:sz="4" w:space="0"/>
            </w:tcBorders>
            <w:vAlign w:val="center"/>
          </w:tcPr>
          <w:p w14:paraId="219EB996">
            <w:pPr>
              <w:widowControl/>
              <w:jc w:val="center"/>
              <w:rPr>
                <w:rFonts w:ascii="宋体" w:cs="宋体"/>
                <w:color w:val="auto"/>
                <w:kern w:val="0"/>
                <w:sz w:val="24"/>
                <w:szCs w:val="24"/>
              </w:rPr>
            </w:pPr>
            <w:r>
              <w:rPr>
                <w:rFonts w:hint="eastAsia" w:ascii="宋体" w:hAnsi="宋体" w:cs="宋体"/>
                <w:color w:val="auto"/>
                <w:kern w:val="0"/>
                <w:sz w:val="24"/>
                <w:szCs w:val="24"/>
              </w:rPr>
              <w:t>经费保障形式</w:t>
            </w:r>
          </w:p>
        </w:tc>
      </w:tr>
      <w:tr w14:paraId="0159795A">
        <w:tblPrEx>
          <w:tblCellMar>
            <w:top w:w="0" w:type="dxa"/>
            <w:left w:w="108" w:type="dxa"/>
            <w:bottom w:w="0" w:type="dxa"/>
            <w:right w:w="108" w:type="dxa"/>
          </w:tblCellMar>
        </w:tblPrEx>
        <w:trPr>
          <w:trHeight w:val="312" w:hRule="atLeast"/>
        </w:trPr>
        <w:tc>
          <w:tcPr>
            <w:tcW w:w="1080" w:type="dxa"/>
            <w:vMerge w:val="continue"/>
            <w:tcBorders>
              <w:top w:val="nil"/>
              <w:left w:val="single" w:color="auto" w:sz="4" w:space="0"/>
              <w:bottom w:val="single" w:color="000000" w:sz="4" w:space="0"/>
              <w:right w:val="single" w:color="auto" w:sz="4" w:space="0"/>
            </w:tcBorders>
            <w:vAlign w:val="center"/>
          </w:tcPr>
          <w:p w14:paraId="195DE012">
            <w:pPr>
              <w:widowControl/>
              <w:jc w:val="left"/>
              <w:rPr>
                <w:rFonts w:ascii="宋体" w:cs="宋体"/>
                <w:color w:val="auto"/>
                <w:kern w:val="0"/>
                <w:sz w:val="24"/>
                <w:szCs w:val="24"/>
              </w:rPr>
            </w:pPr>
          </w:p>
        </w:tc>
        <w:tc>
          <w:tcPr>
            <w:tcW w:w="2320" w:type="dxa"/>
            <w:vMerge w:val="continue"/>
            <w:tcBorders>
              <w:top w:val="nil"/>
              <w:left w:val="single" w:color="auto" w:sz="4" w:space="0"/>
              <w:bottom w:val="single" w:color="000000" w:sz="4" w:space="0"/>
              <w:right w:val="single" w:color="auto" w:sz="4" w:space="0"/>
            </w:tcBorders>
            <w:vAlign w:val="center"/>
          </w:tcPr>
          <w:p w14:paraId="339A1DF8">
            <w:pPr>
              <w:widowControl/>
              <w:jc w:val="left"/>
              <w:rPr>
                <w:rFonts w:ascii="宋体" w:cs="宋体"/>
                <w:color w:val="auto"/>
                <w:kern w:val="0"/>
                <w:sz w:val="24"/>
                <w:szCs w:val="24"/>
              </w:rPr>
            </w:pPr>
          </w:p>
        </w:tc>
        <w:tc>
          <w:tcPr>
            <w:tcW w:w="2120" w:type="dxa"/>
            <w:vMerge w:val="continue"/>
            <w:tcBorders>
              <w:top w:val="nil"/>
              <w:left w:val="single" w:color="auto" w:sz="4" w:space="0"/>
              <w:bottom w:val="single" w:color="000000" w:sz="4" w:space="0"/>
              <w:right w:val="single" w:color="auto" w:sz="4" w:space="0"/>
            </w:tcBorders>
            <w:vAlign w:val="center"/>
          </w:tcPr>
          <w:p w14:paraId="52BE642A">
            <w:pPr>
              <w:widowControl/>
              <w:jc w:val="left"/>
              <w:rPr>
                <w:rFonts w:ascii="宋体" w:cs="宋体"/>
                <w:color w:val="auto"/>
                <w:kern w:val="0"/>
                <w:sz w:val="24"/>
                <w:szCs w:val="24"/>
              </w:rPr>
            </w:pPr>
          </w:p>
        </w:tc>
        <w:tc>
          <w:tcPr>
            <w:tcW w:w="1900" w:type="dxa"/>
            <w:vMerge w:val="continue"/>
            <w:tcBorders>
              <w:top w:val="nil"/>
              <w:left w:val="single" w:color="auto" w:sz="4" w:space="0"/>
              <w:bottom w:val="single" w:color="000000" w:sz="4" w:space="0"/>
              <w:right w:val="single" w:color="auto" w:sz="4" w:space="0"/>
            </w:tcBorders>
            <w:vAlign w:val="center"/>
          </w:tcPr>
          <w:p w14:paraId="088073FB">
            <w:pPr>
              <w:widowControl/>
              <w:jc w:val="left"/>
              <w:rPr>
                <w:rFonts w:ascii="宋体" w:cs="宋体"/>
                <w:color w:val="auto"/>
                <w:kern w:val="0"/>
                <w:sz w:val="24"/>
                <w:szCs w:val="24"/>
              </w:rPr>
            </w:pPr>
          </w:p>
        </w:tc>
        <w:tc>
          <w:tcPr>
            <w:tcW w:w="2376" w:type="dxa"/>
            <w:vMerge w:val="continue"/>
            <w:tcBorders>
              <w:top w:val="nil"/>
              <w:left w:val="single" w:color="auto" w:sz="4" w:space="0"/>
              <w:bottom w:val="single" w:color="000000" w:sz="4" w:space="0"/>
              <w:right w:val="single" w:color="auto" w:sz="4" w:space="0"/>
            </w:tcBorders>
            <w:vAlign w:val="center"/>
          </w:tcPr>
          <w:p w14:paraId="185F9961">
            <w:pPr>
              <w:widowControl/>
              <w:jc w:val="left"/>
              <w:rPr>
                <w:rFonts w:ascii="宋体" w:cs="宋体"/>
                <w:color w:val="auto"/>
                <w:kern w:val="0"/>
                <w:sz w:val="24"/>
                <w:szCs w:val="24"/>
              </w:rPr>
            </w:pPr>
          </w:p>
        </w:tc>
      </w:tr>
      <w:tr w14:paraId="4AB3A6AB">
        <w:tblPrEx>
          <w:tblCellMar>
            <w:top w:w="0" w:type="dxa"/>
            <w:left w:w="108" w:type="dxa"/>
            <w:bottom w:w="0" w:type="dxa"/>
            <w:right w:w="108" w:type="dxa"/>
          </w:tblCellMar>
        </w:tblPrEx>
        <w:trPr>
          <w:trHeight w:val="720" w:hRule="atLeast"/>
        </w:trPr>
        <w:tc>
          <w:tcPr>
            <w:tcW w:w="1080" w:type="dxa"/>
            <w:tcBorders>
              <w:top w:val="nil"/>
              <w:left w:val="single" w:color="auto" w:sz="4" w:space="0"/>
              <w:bottom w:val="single" w:color="auto" w:sz="4" w:space="0"/>
              <w:right w:val="single" w:color="auto" w:sz="4" w:space="0"/>
            </w:tcBorders>
            <w:vAlign w:val="center"/>
          </w:tcPr>
          <w:p w14:paraId="2C2310B0">
            <w:pPr>
              <w:widowControl/>
              <w:jc w:val="center"/>
              <w:rPr>
                <w:rFonts w:ascii="宋体" w:cs="宋体"/>
                <w:color w:val="auto"/>
                <w:kern w:val="0"/>
                <w:sz w:val="24"/>
                <w:szCs w:val="24"/>
              </w:rPr>
            </w:pPr>
            <w:r>
              <w:rPr>
                <w:rFonts w:ascii="宋体" w:hAnsi="宋体" w:cs="宋体"/>
                <w:color w:val="auto"/>
                <w:kern w:val="0"/>
                <w:sz w:val="24"/>
                <w:szCs w:val="24"/>
              </w:rPr>
              <w:t>1</w:t>
            </w:r>
          </w:p>
        </w:tc>
        <w:tc>
          <w:tcPr>
            <w:tcW w:w="2320" w:type="dxa"/>
            <w:tcBorders>
              <w:top w:val="nil"/>
              <w:left w:val="nil"/>
              <w:bottom w:val="single" w:color="auto" w:sz="4" w:space="0"/>
              <w:right w:val="single" w:color="auto" w:sz="4" w:space="0"/>
            </w:tcBorders>
            <w:vAlign w:val="center"/>
          </w:tcPr>
          <w:p w14:paraId="69420D9C">
            <w:pPr>
              <w:widowControl/>
              <w:jc w:val="center"/>
              <w:rPr>
                <w:rFonts w:ascii="宋体" w:cs="宋体"/>
                <w:color w:val="auto"/>
                <w:kern w:val="0"/>
                <w:sz w:val="24"/>
                <w:szCs w:val="24"/>
              </w:rPr>
            </w:pPr>
            <w:r>
              <w:rPr>
                <w:rFonts w:hint="eastAsia" w:ascii="宋体" w:hAnsi="宋体" w:cs="宋体"/>
                <w:color w:val="auto"/>
                <w:kern w:val="0"/>
                <w:sz w:val="24"/>
                <w:szCs w:val="24"/>
              </w:rPr>
              <w:t>曲阳县发展改革局办公室</w:t>
            </w:r>
          </w:p>
        </w:tc>
        <w:tc>
          <w:tcPr>
            <w:tcW w:w="2120" w:type="dxa"/>
            <w:tcBorders>
              <w:top w:val="nil"/>
              <w:left w:val="nil"/>
              <w:bottom w:val="single" w:color="auto" w:sz="4" w:space="0"/>
              <w:right w:val="single" w:color="auto" w:sz="4" w:space="0"/>
            </w:tcBorders>
            <w:vAlign w:val="center"/>
          </w:tcPr>
          <w:p w14:paraId="2A85DC57">
            <w:pPr>
              <w:widowControl/>
              <w:jc w:val="center"/>
              <w:rPr>
                <w:rFonts w:ascii="宋体" w:cs="宋体"/>
                <w:color w:val="auto"/>
                <w:kern w:val="0"/>
                <w:sz w:val="24"/>
                <w:szCs w:val="24"/>
              </w:rPr>
            </w:pPr>
            <w:r>
              <w:rPr>
                <w:rFonts w:hint="eastAsia" w:ascii="宋体" w:hAnsi="宋体" w:cs="宋体"/>
                <w:color w:val="auto"/>
                <w:kern w:val="0"/>
                <w:sz w:val="24"/>
                <w:szCs w:val="24"/>
              </w:rPr>
              <w:t>行政</w:t>
            </w:r>
          </w:p>
        </w:tc>
        <w:tc>
          <w:tcPr>
            <w:tcW w:w="1900" w:type="dxa"/>
            <w:tcBorders>
              <w:top w:val="nil"/>
              <w:left w:val="nil"/>
              <w:bottom w:val="single" w:color="auto" w:sz="4" w:space="0"/>
              <w:right w:val="single" w:color="auto" w:sz="4" w:space="0"/>
            </w:tcBorders>
            <w:vAlign w:val="center"/>
          </w:tcPr>
          <w:p w14:paraId="0CDE1242">
            <w:pPr>
              <w:widowControl/>
              <w:jc w:val="center"/>
              <w:rPr>
                <w:rFonts w:ascii="宋体" w:cs="宋体"/>
                <w:color w:val="auto"/>
                <w:kern w:val="0"/>
                <w:sz w:val="24"/>
                <w:szCs w:val="24"/>
              </w:rPr>
            </w:pPr>
            <w:r>
              <w:rPr>
                <w:rFonts w:hint="eastAsia" w:ascii="宋体" w:hAnsi="宋体" w:cs="宋体"/>
                <w:color w:val="auto"/>
                <w:kern w:val="0"/>
                <w:sz w:val="24"/>
                <w:szCs w:val="24"/>
              </w:rPr>
              <w:t>正科级</w:t>
            </w:r>
          </w:p>
        </w:tc>
        <w:tc>
          <w:tcPr>
            <w:tcW w:w="2376" w:type="dxa"/>
            <w:tcBorders>
              <w:top w:val="nil"/>
              <w:left w:val="nil"/>
              <w:bottom w:val="single" w:color="auto" w:sz="4" w:space="0"/>
              <w:right w:val="single" w:color="auto" w:sz="4" w:space="0"/>
            </w:tcBorders>
            <w:vAlign w:val="center"/>
          </w:tcPr>
          <w:p w14:paraId="36756F94">
            <w:pPr>
              <w:widowControl/>
              <w:jc w:val="center"/>
              <w:rPr>
                <w:rFonts w:ascii="宋体" w:cs="宋体"/>
                <w:color w:val="auto"/>
                <w:kern w:val="0"/>
                <w:sz w:val="24"/>
                <w:szCs w:val="24"/>
              </w:rPr>
            </w:pPr>
            <w:r>
              <w:rPr>
                <w:rFonts w:hint="eastAsia" w:ascii="宋体" w:hAnsi="宋体" w:cs="宋体"/>
                <w:color w:val="auto"/>
                <w:kern w:val="0"/>
                <w:sz w:val="24"/>
                <w:szCs w:val="24"/>
              </w:rPr>
              <w:t>财政拨款</w:t>
            </w:r>
          </w:p>
        </w:tc>
      </w:tr>
      <w:tr w14:paraId="50C7623C">
        <w:tblPrEx>
          <w:tblCellMar>
            <w:top w:w="0" w:type="dxa"/>
            <w:left w:w="108" w:type="dxa"/>
            <w:bottom w:w="0" w:type="dxa"/>
            <w:right w:w="108" w:type="dxa"/>
          </w:tblCellMar>
        </w:tblPrEx>
        <w:trPr>
          <w:trHeight w:val="720" w:hRule="atLeast"/>
        </w:trPr>
        <w:tc>
          <w:tcPr>
            <w:tcW w:w="1080" w:type="dxa"/>
            <w:tcBorders>
              <w:top w:val="nil"/>
              <w:left w:val="single" w:color="auto" w:sz="4" w:space="0"/>
              <w:bottom w:val="single" w:color="auto" w:sz="4" w:space="0"/>
              <w:right w:val="single" w:color="auto" w:sz="4" w:space="0"/>
            </w:tcBorders>
            <w:vAlign w:val="center"/>
          </w:tcPr>
          <w:p w14:paraId="0F6F5968">
            <w:pPr>
              <w:widowControl/>
              <w:jc w:val="center"/>
              <w:rPr>
                <w:rFonts w:hint="eastAsia" w:ascii="宋体" w:eastAsia="宋体" w:cs="宋体"/>
                <w:color w:val="auto"/>
                <w:kern w:val="0"/>
                <w:sz w:val="24"/>
                <w:szCs w:val="24"/>
                <w:lang w:val="en-US" w:eastAsia="zh-CN"/>
              </w:rPr>
            </w:pPr>
            <w:r>
              <w:rPr>
                <w:rFonts w:hint="eastAsia" w:ascii="宋体" w:cs="宋体"/>
                <w:color w:val="auto"/>
                <w:kern w:val="0"/>
                <w:sz w:val="24"/>
                <w:szCs w:val="24"/>
                <w:lang w:val="en-US" w:eastAsia="zh-CN"/>
              </w:rPr>
              <w:t>2</w:t>
            </w:r>
          </w:p>
        </w:tc>
        <w:tc>
          <w:tcPr>
            <w:tcW w:w="2320" w:type="dxa"/>
            <w:tcBorders>
              <w:top w:val="nil"/>
              <w:left w:val="nil"/>
              <w:bottom w:val="single" w:color="auto" w:sz="4" w:space="0"/>
              <w:right w:val="single" w:color="auto" w:sz="4" w:space="0"/>
            </w:tcBorders>
            <w:vAlign w:val="center"/>
          </w:tcPr>
          <w:p w14:paraId="6B344B32">
            <w:pPr>
              <w:widowControl/>
              <w:jc w:val="center"/>
              <w:rPr>
                <w:rFonts w:ascii="宋体" w:cs="宋体"/>
                <w:color w:val="auto"/>
                <w:kern w:val="0"/>
                <w:sz w:val="24"/>
                <w:szCs w:val="24"/>
              </w:rPr>
            </w:pPr>
            <w:r>
              <w:rPr>
                <w:rFonts w:hint="eastAsia" w:ascii="宋体" w:hAnsi="宋体" w:cs="宋体"/>
                <w:color w:val="auto"/>
                <w:kern w:val="0"/>
                <w:sz w:val="24"/>
                <w:szCs w:val="24"/>
              </w:rPr>
              <w:t>曲阳县重点项目办公室</w:t>
            </w:r>
          </w:p>
        </w:tc>
        <w:tc>
          <w:tcPr>
            <w:tcW w:w="2120" w:type="dxa"/>
            <w:tcBorders>
              <w:top w:val="nil"/>
              <w:left w:val="nil"/>
              <w:bottom w:val="single" w:color="auto" w:sz="4" w:space="0"/>
              <w:right w:val="single" w:color="auto" w:sz="4" w:space="0"/>
            </w:tcBorders>
            <w:vAlign w:val="center"/>
          </w:tcPr>
          <w:p w14:paraId="7467E229">
            <w:pPr>
              <w:widowControl/>
              <w:jc w:val="center"/>
              <w:rPr>
                <w:rFonts w:ascii="宋体" w:cs="宋体"/>
                <w:color w:val="auto"/>
                <w:kern w:val="0"/>
                <w:sz w:val="24"/>
                <w:szCs w:val="24"/>
              </w:rPr>
            </w:pPr>
            <w:r>
              <w:rPr>
                <w:rFonts w:hint="eastAsia" w:ascii="宋体" w:hAnsi="宋体" w:cs="宋体"/>
                <w:color w:val="auto"/>
                <w:kern w:val="0"/>
                <w:sz w:val="24"/>
                <w:szCs w:val="24"/>
              </w:rPr>
              <w:t>事业</w:t>
            </w:r>
          </w:p>
        </w:tc>
        <w:tc>
          <w:tcPr>
            <w:tcW w:w="1900" w:type="dxa"/>
            <w:tcBorders>
              <w:top w:val="nil"/>
              <w:left w:val="nil"/>
              <w:bottom w:val="single" w:color="auto" w:sz="4" w:space="0"/>
              <w:right w:val="single" w:color="auto" w:sz="4" w:space="0"/>
            </w:tcBorders>
            <w:vAlign w:val="center"/>
          </w:tcPr>
          <w:p w14:paraId="7511AAC4">
            <w:pPr>
              <w:widowControl/>
              <w:jc w:val="center"/>
              <w:rPr>
                <w:rFonts w:ascii="宋体" w:cs="宋体"/>
                <w:color w:val="auto"/>
                <w:kern w:val="0"/>
                <w:sz w:val="24"/>
                <w:szCs w:val="24"/>
              </w:rPr>
            </w:pPr>
            <w:r>
              <w:rPr>
                <w:rFonts w:hint="eastAsia" w:ascii="宋体" w:hAnsi="宋体" w:cs="宋体"/>
                <w:color w:val="auto"/>
                <w:kern w:val="0"/>
                <w:sz w:val="24"/>
                <w:szCs w:val="24"/>
              </w:rPr>
              <w:t>股级</w:t>
            </w:r>
          </w:p>
        </w:tc>
        <w:tc>
          <w:tcPr>
            <w:tcW w:w="2376" w:type="dxa"/>
            <w:tcBorders>
              <w:top w:val="nil"/>
              <w:left w:val="nil"/>
              <w:bottom w:val="single" w:color="auto" w:sz="4" w:space="0"/>
              <w:right w:val="single" w:color="auto" w:sz="4" w:space="0"/>
            </w:tcBorders>
            <w:vAlign w:val="center"/>
          </w:tcPr>
          <w:p w14:paraId="25B90D42">
            <w:pPr>
              <w:widowControl/>
              <w:jc w:val="center"/>
              <w:rPr>
                <w:rFonts w:ascii="宋体" w:cs="宋体"/>
                <w:color w:val="auto"/>
                <w:kern w:val="0"/>
                <w:sz w:val="24"/>
                <w:szCs w:val="24"/>
              </w:rPr>
            </w:pPr>
            <w:r>
              <w:rPr>
                <w:rFonts w:hint="eastAsia" w:ascii="宋体" w:hAnsi="宋体" w:cs="宋体"/>
                <w:color w:val="auto"/>
                <w:kern w:val="0"/>
                <w:sz w:val="24"/>
                <w:szCs w:val="24"/>
              </w:rPr>
              <w:t>财政性资金基本保证</w:t>
            </w:r>
          </w:p>
        </w:tc>
      </w:tr>
    </w:tbl>
    <w:p w14:paraId="4A48551A">
      <w:pPr>
        <w:pStyle w:val="13"/>
        <w:spacing w:line="520" w:lineRule="exact"/>
        <w:ind w:left="720" w:firstLine="31680"/>
        <w:rPr>
          <w:rFonts w:ascii="黑体" w:hAnsi="黑体" w:eastAsia="黑体"/>
          <w:color w:val="auto"/>
          <w:sz w:val="32"/>
          <w:szCs w:val="32"/>
        </w:rPr>
      </w:pPr>
    </w:p>
    <w:p w14:paraId="21B9F4DD">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75B7DD29">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按照预算管理有关规定，目前我部门预算的编制实行综合预算制度，即全部收入和支出都反映在预算中。</w:t>
      </w:r>
    </w:p>
    <w:p w14:paraId="30B5A6DE">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Times New Roman"/>
          <w:color w:val="auto"/>
          <w:sz w:val="32"/>
          <w:szCs w:val="32"/>
        </w:rPr>
        <w:t>、收入说明</w:t>
      </w:r>
    </w:p>
    <w:p w14:paraId="25ACCD7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w:t>
      </w:r>
      <w:r>
        <w:rPr>
          <w:rFonts w:ascii="Times New Roman" w:hAnsi="Times New Roman" w:eastAsia="仿宋" w:cs="Times New Roman"/>
          <w:color w:val="auto"/>
          <w:sz w:val="32"/>
          <w:szCs w:val="32"/>
        </w:rPr>
        <w:t>2019</w:t>
      </w:r>
      <w:r>
        <w:rPr>
          <w:rFonts w:hint="eastAsia" w:ascii="Times New Roman" w:hAnsi="Times New Roman" w:eastAsia="仿宋" w:cs="Times New Roman"/>
          <w:color w:val="auto"/>
          <w:sz w:val="32"/>
          <w:szCs w:val="32"/>
        </w:rPr>
        <w:t>年一般公共预算收入</w:t>
      </w:r>
      <w:r>
        <w:rPr>
          <w:rFonts w:ascii="Times New Roman" w:hAnsi="Times New Roman" w:eastAsia="仿宋" w:cs="Times New Roman"/>
          <w:color w:val="auto"/>
          <w:sz w:val="32"/>
          <w:szCs w:val="32"/>
        </w:rPr>
        <w:t>2990.71</w:t>
      </w:r>
      <w:r>
        <w:rPr>
          <w:rFonts w:hint="eastAsia" w:ascii="Times New Roman" w:hAnsi="Times New Roman" w:eastAsia="仿宋" w:cs="Times New Roman"/>
          <w:color w:val="auto"/>
          <w:sz w:val="32"/>
          <w:szCs w:val="32"/>
        </w:rPr>
        <w:t>万元，其中：一般公共预算收入</w:t>
      </w:r>
      <w:r>
        <w:rPr>
          <w:rFonts w:ascii="Times New Roman" w:hAnsi="Times New Roman" w:eastAsia="仿宋" w:cs="Times New Roman"/>
          <w:color w:val="auto"/>
          <w:sz w:val="32"/>
          <w:szCs w:val="32"/>
        </w:rPr>
        <w:t>2990.71</w:t>
      </w:r>
      <w:r>
        <w:rPr>
          <w:rFonts w:hint="eastAsia" w:ascii="Times New Roman" w:hAnsi="Times New Roman" w:eastAsia="仿宋" w:cs="Times New Roman"/>
          <w:color w:val="auto"/>
          <w:sz w:val="32"/>
          <w:szCs w:val="32"/>
        </w:rPr>
        <w:t>万元，基金预算收入</w:t>
      </w:r>
      <w:r>
        <w:rPr>
          <w:rFonts w:ascii="Times New Roman" w:hAnsi="Times New Roman" w:eastAsia="仿宋" w:cs="Times New Roman"/>
          <w:color w:val="auto"/>
          <w:sz w:val="32"/>
          <w:szCs w:val="32"/>
        </w:rPr>
        <w:t>0</w:t>
      </w:r>
      <w:r>
        <w:rPr>
          <w:rFonts w:hint="eastAsia" w:ascii="Times New Roman" w:hAnsi="Times New Roman" w:eastAsia="仿宋" w:cs="Times New Roman"/>
          <w:color w:val="auto"/>
          <w:sz w:val="32"/>
          <w:szCs w:val="32"/>
        </w:rPr>
        <w:t>万元，财政专户核拨收入</w:t>
      </w:r>
      <w:r>
        <w:rPr>
          <w:rFonts w:ascii="Times New Roman" w:hAnsi="Times New Roman" w:eastAsia="仿宋" w:cs="Times New Roman"/>
          <w:color w:val="auto"/>
          <w:sz w:val="32"/>
          <w:szCs w:val="32"/>
        </w:rPr>
        <w:t>0</w:t>
      </w:r>
      <w:r>
        <w:rPr>
          <w:rFonts w:hint="eastAsia" w:ascii="Times New Roman" w:hAnsi="Times New Roman" w:eastAsia="仿宋" w:cs="Times New Roman"/>
          <w:color w:val="auto"/>
          <w:sz w:val="32"/>
          <w:szCs w:val="32"/>
        </w:rPr>
        <w:t>万元，其他来源收入</w:t>
      </w:r>
      <w:r>
        <w:rPr>
          <w:rFonts w:ascii="Times New Roman" w:hAnsi="Times New Roman" w:eastAsia="仿宋" w:cs="Times New Roman"/>
          <w:color w:val="auto"/>
          <w:sz w:val="32"/>
          <w:szCs w:val="32"/>
        </w:rPr>
        <w:t>0</w:t>
      </w:r>
      <w:r>
        <w:rPr>
          <w:rFonts w:hint="eastAsia" w:ascii="Times New Roman" w:hAnsi="Times New Roman" w:eastAsia="仿宋" w:cs="Times New Roman"/>
          <w:color w:val="auto"/>
          <w:sz w:val="32"/>
          <w:szCs w:val="32"/>
        </w:rPr>
        <w:t>万元。</w:t>
      </w:r>
    </w:p>
    <w:p w14:paraId="1228BD35">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Times New Roman"/>
          <w:color w:val="auto"/>
          <w:sz w:val="32"/>
          <w:szCs w:val="32"/>
        </w:rPr>
        <w:t>、支出说明</w:t>
      </w:r>
    </w:p>
    <w:p w14:paraId="12930623">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收支预算总表支出栏、基本支出表、项目支出表按经济分类和支出功能分类科目编制。</w:t>
      </w:r>
      <w:r>
        <w:rPr>
          <w:rFonts w:ascii="Times New Roman" w:hAnsi="Times New Roman" w:eastAsia="仿宋" w:cs="Times New Roman"/>
          <w:color w:val="auto"/>
          <w:sz w:val="32"/>
          <w:szCs w:val="32"/>
        </w:rPr>
        <w:t>2019</w:t>
      </w:r>
      <w:r>
        <w:rPr>
          <w:rFonts w:hint="eastAsia" w:ascii="Times New Roman" w:hAnsi="Times New Roman" w:eastAsia="仿宋" w:cs="Times New Roman"/>
          <w:color w:val="auto"/>
          <w:sz w:val="32"/>
          <w:szCs w:val="32"/>
        </w:rPr>
        <w:t>年部门支出预算为</w:t>
      </w:r>
      <w:r>
        <w:rPr>
          <w:rFonts w:ascii="Times New Roman" w:hAnsi="Times New Roman" w:eastAsia="仿宋" w:cs="Times New Roman"/>
          <w:color w:val="auto"/>
          <w:sz w:val="32"/>
          <w:szCs w:val="32"/>
        </w:rPr>
        <w:t>2990.71</w:t>
      </w:r>
      <w:r>
        <w:rPr>
          <w:rFonts w:hint="eastAsia" w:ascii="Times New Roman" w:hAnsi="Times New Roman" w:eastAsia="仿宋" w:cs="Times New Roman"/>
          <w:color w:val="auto"/>
          <w:sz w:val="32"/>
          <w:szCs w:val="32"/>
        </w:rPr>
        <w:t>万元，其中基本支出</w:t>
      </w:r>
      <w:r>
        <w:rPr>
          <w:rFonts w:ascii="Times New Roman" w:hAnsi="Times New Roman" w:eastAsia="仿宋" w:cs="Times New Roman"/>
          <w:color w:val="auto"/>
          <w:sz w:val="32"/>
          <w:szCs w:val="32"/>
        </w:rPr>
        <w:t>152.69</w:t>
      </w:r>
      <w:r>
        <w:rPr>
          <w:rFonts w:hint="eastAsia" w:ascii="Times New Roman" w:hAnsi="Times New Roman" w:eastAsia="仿宋" w:cs="Times New Roman"/>
          <w:color w:val="auto"/>
          <w:sz w:val="32"/>
          <w:szCs w:val="32"/>
        </w:rPr>
        <w:t>万元，包括人员经费</w:t>
      </w:r>
      <w:r>
        <w:rPr>
          <w:rFonts w:ascii="Times New Roman" w:hAnsi="Times New Roman" w:eastAsia="仿宋" w:cs="Times New Roman"/>
          <w:color w:val="auto"/>
          <w:sz w:val="32"/>
          <w:szCs w:val="32"/>
        </w:rPr>
        <w:t>135.77</w:t>
      </w:r>
      <w:r>
        <w:rPr>
          <w:rFonts w:hint="eastAsia" w:ascii="Times New Roman" w:hAnsi="Times New Roman" w:eastAsia="仿宋" w:cs="Times New Roman"/>
          <w:color w:val="auto"/>
          <w:sz w:val="32"/>
          <w:szCs w:val="32"/>
        </w:rPr>
        <w:t>万元和日常公用经费</w:t>
      </w:r>
      <w:r>
        <w:rPr>
          <w:rFonts w:ascii="仿宋" w:hAnsi="仿宋" w:eastAsia="仿宋"/>
          <w:color w:val="auto"/>
          <w:sz w:val="32"/>
          <w:szCs w:val="32"/>
        </w:rPr>
        <w:t>16.92</w:t>
      </w:r>
      <w:r>
        <w:rPr>
          <w:rFonts w:hint="eastAsia" w:ascii="Times New Roman" w:hAnsi="Times New Roman" w:eastAsia="仿宋" w:cs="Times New Roman"/>
          <w:color w:val="auto"/>
          <w:sz w:val="32"/>
          <w:szCs w:val="32"/>
        </w:rPr>
        <w:t>万元；项目支出</w:t>
      </w:r>
      <w:r>
        <w:rPr>
          <w:rFonts w:ascii="Times New Roman" w:hAnsi="Times New Roman" w:eastAsia="仿宋" w:cs="Times New Roman"/>
          <w:color w:val="auto"/>
          <w:sz w:val="32"/>
          <w:szCs w:val="32"/>
        </w:rPr>
        <w:t>2838.02</w:t>
      </w:r>
      <w:r>
        <w:rPr>
          <w:rFonts w:hint="eastAsia" w:ascii="Times New Roman" w:hAnsi="Times New Roman" w:eastAsia="仿宋" w:cs="Times New Roman"/>
          <w:color w:val="auto"/>
          <w:sz w:val="32"/>
          <w:szCs w:val="32"/>
        </w:rPr>
        <w:t>万元。</w:t>
      </w:r>
    </w:p>
    <w:p w14:paraId="08D64511">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Times New Roman"/>
          <w:color w:val="auto"/>
          <w:sz w:val="32"/>
          <w:szCs w:val="32"/>
        </w:rPr>
        <w:t>、比上年增减情况</w:t>
      </w:r>
    </w:p>
    <w:p w14:paraId="0C4B3E31">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Times New Roman"/>
          <w:color w:val="auto"/>
          <w:sz w:val="32"/>
          <w:szCs w:val="32"/>
        </w:rPr>
        <w:t>年，部门预算收支安排</w:t>
      </w:r>
      <w:r>
        <w:rPr>
          <w:rFonts w:ascii="Times New Roman" w:hAnsi="Times New Roman" w:eastAsia="仿宋" w:cs="Times New Roman"/>
          <w:color w:val="auto"/>
          <w:sz w:val="32"/>
          <w:szCs w:val="32"/>
        </w:rPr>
        <w:t>2990.71</w:t>
      </w:r>
      <w:r>
        <w:rPr>
          <w:rFonts w:hint="eastAsia" w:ascii="Times New Roman" w:hAnsi="Times New Roman" w:eastAsia="仿宋" w:cs="Times New Roman"/>
          <w:color w:val="auto"/>
          <w:sz w:val="32"/>
          <w:szCs w:val="32"/>
        </w:rPr>
        <w:t>万元，较</w:t>
      </w:r>
      <w:r>
        <w:rPr>
          <w:rFonts w:ascii="Times New Roman" w:hAnsi="Times New Roman" w:eastAsia="仿宋" w:cs="Times New Roman"/>
          <w:color w:val="auto"/>
          <w:sz w:val="32"/>
          <w:szCs w:val="32"/>
        </w:rPr>
        <w:t>2018</w:t>
      </w:r>
      <w:r>
        <w:rPr>
          <w:rFonts w:hint="eastAsia" w:ascii="Times New Roman" w:hAnsi="Times New Roman" w:eastAsia="仿宋" w:cs="Times New Roman"/>
          <w:color w:val="auto"/>
          <w:sz w:val="32"/>
          <w:szCs w:val="32"/>
        </w:rPr>
        <w:t>年增长</w:t>
      </w:r>
      <w:r>
        <w:rPr>
          <w:rFonts w:ascii="Times New Roman" w:hAnsi="Times New Roman" w:eastAsia="仿宋" w:cs="Times New Roman"/>
          <w:color w:val="auto"/>
          <w:sz w:val="32"/>
          <w:szCs w:val="32"/>
        </w:rPr>
        <w:t>2741.96</w:t>
      </w:r>
      <w:r>
        <w:rPr>
          <w:rFonts w:hint="eastAsia" w:ascii="Times New Roman" w:hAnsi="Times New Roman" w:eastAsia="仿宋" w:cs="Times New Roman"/>
          <w:color w:val="auto"/>
          <w:sz w:val="32"/>
          <w:szCs w:val="32"/>
        </w:rPr>
        <w:t>万元，其中：基本支出增长</w:t>
      </w:r>
      <w:r>
        <w:rPr>
          <w:rFonts w:ascii="Times New Roman" w:hAnsi="Times New Roman" w:eastAsia="仿宋" w:cs="Times New Roman"/>
          <w:color w:val="auto"/>
          <w:sz w:val="32"/>
          <w:szCs w:val="32"/>
        </w:rPr>
        <w:t>15.94</w:t>
      </w:r>
      <w:r>
        <w:rPr>
          <w:rFonts w:hint="eastAsia" w:ascii="Times New Roman" w:hAnsi="Times New Roman" w:eastAsia="仿宋" w:cs="Times New Roman"/>
          <w:color w:val="auto"/>
          <w:sz w:val="32"/>
          <w:szCs w:val="32"/>
        </w:rPr>
        <w:t>万元，主要是增加人员经费；项目支出增长</w:t>
      </w:r>
      <w:r>
        <w:rPr>
          <w:rFonts w:ascii="Times New Roman" w:hAnsi="Times New Roman" w:eastAsia="仿宋" w:cs="Times New Roman"/>
          <w:color w:val="auto"/>
          <w:sz w:val="32"/>
          <w:szCs w:val="32"/>
        </w:rPr>
        <w:t>2726.02</w:t>
      </w:r>
      <w:r>
        <w:rPr>
          <w:rFonts w:hint="eastAsia" w:ascii="Times New Roman" w:hAnsi="Times New Roman" w:eastAsia="仿宋" w:cs="Times New Roman"/>
          <w:color w:val="auto"/>
          <w:sz w:val="32"/>
          <w:szCs w:val="32"/>
        </w:rPr>
        <w:t>万元，主要是由于项目增加。</w:t>
      </w:r>
    </w:p>
    <w:p w14:paraId="7280FCF3">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6B7327F8">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Times New Roman"/>
          <w:color w:val="auto"/>
          <w:sz w:val="32"/>
          <w:szCs w:val="32"/>
        </w:rPr>
        <w:t>年，我部门机关运行经费共计安排</w:t>
      </w:r>
      <w:r>
        <w:rPr>
          <w:rFonts w:ascii="Times New Roman" w:hAnsi="Times New Roman" w:eastAsia="仿宋" w:cs="Times New Roman"/>
          <w:color w:val="auto"/>
          <w:sz w:val="32"/>
          <w:szCs w:val="32"/>
        </w:rPr>
        <w:t>232.09</w:t>
      </w:r>
      <w:r>
        <w:rPr>
          <w:rFonts w:hint="eastAsia" w:ascii="Times New Roman" w:hAnsi="Times New Roman" w:eastAsia="仿宋" w:cs="Times New Roman"/>
          <w:color w:val="auto"/>
          <w:sz w:val="32"/>
          <w:szCs w:val="32"/>
        </w:rPr>
        <w:t>元，主要用于保证机关正常运转的办公及印刷费、邮电费、差旅费、福利费、一般设备购置费、办公用房水电费、办公用房取暖费、日常维修费、办公楼物业管理费、公务车运行维护费等支出。</w:t>
      </w:r>
    </w:p>
    <w:p w14:paraId="35ADACE3">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四、财政拨款“三公”经费预算情况及增减变化原因</w:t>
      </w:r>
    </w:p>
    <w:p w14:paraId="0B396DC8">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Times New Roman"/>
          <w:color w:val="auto"/>
          <w:sz w:val="32"/>
          <w:szCs w:val="32"/>
        </w:rPr>
        <w:t>年，发改局财政拨款“三公”经费预算安排</w:t>
      </w:r>
      <w:r>
        <w:rPr>
          <w:rFonts w:ascii="Times New Roman" w:hAnsi="Times New Roman" w:eastAsia="仿宋" w:cs="Times New Roman"/>
          <w:color w:val="auto"/>
          <w:sz w:val="32"/>
          <w:szCs w:val="32"/>
        </w:rPr>
        <w:t>1.2</w:t>
      </w:r>
      <w:r>
        <w:rPr>
          <w:rFonts w:hint="eastAsia" w:ascii="Times New Roman" w:hAnsi="Times New Roman" w:eastAsia="仿宋" w:cs="Times New Roman"/>
          <w:color w:val="auto"/>
          <w:sz w:val="32"/>
          <w:szCs w:val="32"/>
        </w:rPr>
        <w:t>万元，其中：公务用车运行维护费</w:t>
      </w:r>
      <w:r>
        <w:rPr>
          <w:rFonts w:ascii="Times New Roman" w:hAnsi="Times New Roman" w:eastAsia="仿宋" w:cs="Times New Roman"/>
          <w:color w:val="auto"/>
          <w:sz w:val="32"/>
          <w:szCs w:val="32"/>
        </w:rPr>
        <w:t>1.2</w:t>
      </w:r>
      <w:r>
        <w:rPr>
          <w:rFonts w:hint="eastAsia" w:ascii="Times New Roman" w:hAnsi="Times New Roman" w:eastAsia="仿宋" w:cs="Times New Roman"/>
          <w:color w:val="auto"/>
          <w:sz w:val="32"/>
          <w:szCs w:val="32"/>
        </w:rPr>
        <w:t>万元，</w:t>
      </w:r>
      <w:r>
        <w:rPr>
          <w:rFonts w:ascii="Times New Roman" w:hAnsi="Times New Roman" w:eastAsia="仿宋" w:cs="Times New Roman"/>
          <w:color w:val="auto"/>
          <w:sz w:val="32"/>
          <w:szCs w:val="32"/>
        </w:rPr>
        <w:t xml:space="preserve"> </w:t>
      </w:r>
      <w:r>
        <w:rPr>
          <w:rFonts w:hint="eastAsia" w:ascii="Times New Roman" w:hAnsi="Times New Roman" w:eastAsia="仿宋" w:cs="Times New Roman"/>
          <w:color w:val="auto"/>
          <w:sz w:val="32"/>
          <w:szCs w:val="32"/>
        </w:rPr>
        <w:t>“三公”经费与上年持平，无增减变化。</w:t>
      </w:r>
    </w:p>
    <w:p w14:paraId="0936D9B8">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406AEF4E">
      <w:pPr>
        <w:spacing w:line="500" w:lineRule="exact"/>
        <w:ind w:firstLine="560"/>
        <w:rPr>
          <w:rFonts w:ascii="Times New Roman" w:hAnsi="Times New Roman" w:eastAsia="仿宋" w:cs="Times New Roman"/>
          <w:b/>
          <w:color w:val="auto"/>
          <w:sz w:val="32"/>
          <w:szCs w:val="32"/>
        </w:rPr>
      </w:pPr>
      <w:bookmarkStart w:id="0" w:name="_Toc471398463"/>
      <w:r>
        <w:rPr>
          <w:rFonts w:hint="eastAsia" w:ascii="Times New Roman" w:hAnsi="Times New Roman" w:eastAsia="仿宋" w:cs="Times New Roman"/>
          <w:b/>
          <w:color w:val="auto"/>
          <w:sz w:val="32"/>
          <w:szCs w:val="32"/>
        </w:rPr>
        <w:t>总体绩效目标：</w:t>
      </w:r>
    </w:p>
    <w:p w14:paraId="291E07F6">
      <w:pPr>
        <w:spacing w:line="500" w:lineRule="exact"/>
        <w:ind w:firstLine="560"/>
        <w:rPr>
          <w:rFonts w:ascii="方正仿宋_GBK" w:eastAsia="方正仿宋_GBK"/>
          <w:color w:val="auto"/>
          <w:sz w:val="28"/>
        </w:rPr>
      </w:pPr>
      <w:r>
        <w:rPr>
          <w:rFonts w:hint="eastAsia" w:ascii="方正仿宋_GBK" w:eastAsia="方正仿宋_GBK"/>
          <w:color w:val="auto"/>
          <w:sz w:val="28"/>
        </w:rPr>
        <w:t>曲阳县发展改革局</w:t>
      </w:r>
      <w:r>
        <w:rPr>
          <w:rFonts w:ascii="方正仿宋_GBK" w:eastAsia="方正仿宋_GBK"/>
          <w:color w:val="auto"/>
          <w:sz w:val="28"/>
        </w:rPr>
        <w:t>2019</w:t>
      </w:r>
      <w:r>
        <w:rPr>
          <w:rFonts w:hint="eastAsia" w:ascii="方正仿宋_GBK" w:eastAsia="方正仿宋_GBK"/>
          <w:color w:val="auto"/>
          <w:sz w:val="28"/>
        </w:rPr>
        <w:t>年将继续围绕</w:t>
      </w:r>
      <w:r>
        <w:rPr>
          <w:rFonts w:ascii="方正仿宋_GBK" w:eastAsia="方正仿宋_GBK"/>
          <w:color w:val="auto"/>
          <w:sz w:val="28"/>
        </w:rPr>
        <w:t>“</w:t>
      </w:r>
      <w:r>
        <w:rPr>
          <w:rFonts w:hint="eastAsia" w:ascii="方正仿宋_GBK" w:eastAsia="方正仿宋_GBK"/>
          <w:color w:val="auto"/>
          <w:sz w:val="28"/>
        </w:rPr>
        <w:t>服务决策，服务投资，服务民生</w:t>
      </w:r>
      <w:r>
        <w:rPr>
          <w:rFonts w:ascii="方正仿宋_GBK" w:eastAsia="方正仿宋_GBK"/>
          <w:color w:val="auto"/>
          <w:sz w:val="28"/>
        </w:rPr>
        <w:t>”</w:t>
      </w:r>
      <w:r>
        <w:rPr>
          <w:rFonts w:hint="eastAsia" w:ascii="方正仿宋_GBK" w:eastAsia="方正仿宋_GBK"/>
          <w:color w:val="auto"/>
          <w:sz w:val="28"/>
        </w:rPr>
        <w:t>，不断加强自身建设，当好</w:t>
      </w:r>
      <w:r>
        <w:rPr>
          <w:rFonts w:ascii="方正仿宋_GBK" w:eastAsia="方正仿宋_GBK"/>
          <w:color w:val="auto"/>
          <w:sz w:val="28"/>
        </w:rPr>
        <w:t>“</w:t>
      </w:r>
      <w:r>
        <w:rPr>
          <w:rFonts w:hint="eastAsia" w:ascii="方正仿宋_GBK" w:eastAsia="方正仿宋_GBK"/>
          <w:color w:val="auto"/>
          <w:sz w:val="28"/>
        </w:rPr>
        <w:t>参谋部、项目部、协调部</w:t>
      </w:r>
      <w:r>
        <w:rPr>
          <w:rFonts w:ascii="方正仿宋_GBK" w:eastAsia="方正仿宋_GBK"/>
          <w:color w:val="auto"/>
          <w:sz w:val="28"/>
        </w:rPr>
        <w:t>”</w:t>
      </w:r>
      <w:r>
        <w:rPr>
          <w:rFonts w:hint="eastAsia" w:ascii="方正仿宋_GBK" w:eastAsia="方正仿宋_GBK"/>
          <w:color w:val="auto"/>
          <w:sz w:val="28"/>
        </w:rPr>
        <w:t>。重点做好以下各项工作。</w:t>
      </w:r>
    </w:p>
    <w:p w14:paraId="0DDAD762">
      <w:pPr>
        <w:spacing w:line="500" w:lineRule="exact"/>
        <w:ind w:firstLine="560"/>
        <w:rPr>
          <w:rFonts w:ascii="方正仿宋_GBK" w:eastAsia="方正仿宋_GBK"/>
          <w:color w:val="auto"/>
          <w:sz w:val="28"/>
        </w:rPr>
      </w:pPr>
      <w:r>
        <w:rPr>
          <w:rFonts w:hint="eastAsia" w:ascii="方正仿宋_GBK" w:eastAsia="方正仿宋_GBK"/>
          <w:color w:val="auto"/>
          <w:sz w:val="28"/>
        </w:rPr>
        <w:t>（一）会同县统计局建立经济指标联席会议制度，定期会商，强化分析，加强预警，针对全县经济发展情况及时提出意见建议，当好县委县政府的参谋助手。确保我局承担的</w:t>
      </w:r>
      <w:r>
        <w:rPr>
          <w:rFonts w:ascii="方正仿宋_GBK" w:eastAsia="方正仿宋_GBK"/>
          <w:color w:val="auto"/>
          <w:sz w:val="28"/>
        </w:rPr>
        <w:t>GDP</w:t>
      </w:r>
      <w:r>
        <w:rPr>
          <w:rFonts w:hint="eastAsia" w:ascii="方正仿宋_GBK" w:eastAsia="方正仿宋_GBK"/>
          <w:color w:val="auto"/>
          <w:sz w:val="28"/>
        </w:rPr>
        <w:t>、固定投资、新增服务业等指标圆满完成，确保全县经济良好运行。</w:t>
      </w:r>
    </w:p>
    <w:p w14:paraId="12828C84">
      <w:pPr>
        <w:spacing w:line="500" w:lineRule="exact"/>
        <w:ind w:firstLine="560"/>
        <w:rPr>
          <w:rFonts w:ascii="方正仿宋_GBK" w:eastAsia="方正仿宋_GBK"/>
          <w:color w:val="auto"/>
          <w:sz w:val="28"/>
        </w:rPr>
      </w:pPr>
      <w:r>
        <w:rPr>
          <w:rFonts w:hint="eastAsia" w:ascii="方正仿宋_GBK" w:eastAsia="方正仿宋_GBK"/>
          <w:color w:val="auto"/>
          <w:sz w:val="28"/>
        </w:rPr>
        <w:t>（二）充分发挥曲阳资源、区位优势，继续强化协同发展，主动对接服务雄安新区。紧紧围绕</w:t>
      </w:r>
      <w:r>
        <w:rPr>
          <w:rFonts w:ascii="方正仿宋_GBK" w:eastAsia="方正仿宋_GBK"/>
          <w:color w:val="auto"/>
          <w:sz w:val="28"/>
        </w:rPr>
        <w:t>“</w:t>
      </w:r>
      <w:r>
        <w:rPr>
          <w:rFonts w:hint="eastAsia" w:ascii="方正仿宋_GBK" w:eastAsia="方正仿宋_GBK"/>
          <w:color w:val="auto"/>
          <w:sz w:val="28"/>
        </w:rPr>
        <w:t>两都两地</w:t>
      </w:r>
      <w:r>
        <w:rPr>
          <w:rFonts w:ascii="方正仿宋_GBK" w:eastAsia="方正仿宋_GBK"/>
          <w:color w:val="auto"/>
          <w:sz w:val="28"/>
        </w:rPr>
        <w:t>”</w:t>
      </w:r>
      <w:r>
        <w:rPr>
          <w:rFonts w:hint="eastAsia" w:ascii="方正仿宋_GBK" w:eastAsia="方正仿宋_GBK"/>
          <w:color w:val="auto"/>
          <w:sz w:val="28"/>
        </w:rPr>
        <w:t>发展思路，立足本职，充分发挥优势积极主动，围绕</w:t>
      </w:r>
      <w:r>
        <w:rPr>
          <w:rFonts w:ascii="方正仿宋_GBK" w:eastAsia="方正仿宋_GBK"/>
          <w:color w:val="auto"/>
          <w:sz w:val="28"/>
        </w:rPr>
        <w:t>“</w:t>
      </w:r>
      <w:r>
        <w:rPr>
          <w:rFonts w:hint="eastAsia" w:ascii="方正仿宋_GBK" w:eastAsia="方正仿宋_GBK"/>
          <w:color w:val="auto"/>
          <w:sz w:val="28"/>
        </w:rPr>
        <w:t>三镇</w:t>
      </w:r>
      <w:r>
        <w:rPr>
          <w:rFonts w:ascii="方正仿宋_GBK" w:eastAsia="方正仿宋_GBK"/>
          <w:color w:val="auto"/>
          <w:sz w:val="28"/>
        </w:rPr>
        <w:t>”</w:t>
      </w:r>
      <w:r>
        <w:rPr>
          <w:rFonts w:hint="eastAsia" w:ascii="方正仿宋_GBK" w:eastAsia="方正仿宋_GBK"/>
          <w:color w:val="auto"/>
          <w:sz w:val="28"/>
        </w:rPr>
        <w:t>、</w:t>
      </w:r>
      <w:r>
        <w:rPr>
          <w:rFonts w:ascii="方正仿宋_GBK" w:eastAsia="方正仿宋_GBK"/>
          <w:color w:val="auto"/>
          <w:sz w:val="28"/>
        </w:rPr>
        <w:t>“</w:t>
      </w:r>
      <w:r>
        <w:rPr>
          <w:rFonts w:hint="eastAsia" w:ascii="方正仿宋_GBK" w:eastAsia="方正仿宋_GBK"/>
          <w:color w:val="auto"/>
          <w:sz w:val="28"/>
        </w:rPr>
        <w:t>一城</w:t>
      </w:r>
      <w:r>
        <w:rPr>
          <w:rFonts w:ascii="方正仿宋_GBK" w:eastAsia="方正仿宋_GBK"/>
          <w:color w:val="auto"/>
          <w:sz w:val="28"/>
        </w:rPr>
        <w:t>”</w:t>
      </w:r>
      <w:r>
        <w:rPr>
          <w:rFonts w:hint="eastAsia" w:ascii="方正仿宋_GBK" w:eastAsia="方正仿宋_GBK"/>
          <w:color w:val="auto"/>
          <w:sz w:val="28"/>
        </w:rPr>
        <w:t>、</w:t>
      </w:r>
      <w:r>
        <w:rPr>
          <w:rFonts w:ascii="方正仿宋_GBK" w:eastAsia="方正仿宋_GBK"/>
          <w:color w:val="auto"/>
          <w:sz w:val="28"/>
        </w:rPr>
        <w:t>“</w:t>
      </w:r>
      <w:r>
        <w:rPr>
          <w:rFonts w:hint="eastAsia" w:ascii="方正仿宋_GBK" w:eastAsia="方正仿宋_GBK"/>
          <w:color w:val="auto"/>
          <w:sz w:val="28"/>
        </w:rPr>
        <w:t>一区</w:t>
      </w:r>
      <w:r>
        <w:rPr>
          <w:rFonts w:ascii="方正仿宋_GBK" w:eastAsia="方正仿宋_GBK"/>
          <w:color w:val="auto"/>
          <w:sz w:val="28"/>
        </w:rPr>
        <w:t>”</w:t>
      </w:r>
      <w:r>
        <w:rPr>
          <w:rFonts w:hint="eastAsia" w:ascii="方正仿宋_GBK" w:eastAsia="方正仿宋_GBK"/>
          <w:color w:val="auto"/>
          <w:sz w:val="28"/>
        </w:rPr>
        <w:t>、</w:t>
      </w:r>
      <w:r>
        <w:rPr>
          <w:rFonts w:ascii="方正仿宋_GBK" w:eastAsia="方正仿宋_GBK"/>
          <w:color w:val="auto"/>
          <w:sz w:val="28"/>
        </w:rPr>
        <w:t>“</w:t>
      </w:r>
      <w:r>
        <w:rPr>
          <w:rFonts w:hint="eastAsia" w:ascii="方正仿宋_GBK" w:eastAsia="方正仿宋_GBK"/>
          <w:color w:val="auto"/>
          <w:sz w:val="28"/>
        </w:rPr>
        <w:t>两园</w:t>
      </w:r>
      <w:r>
        <w:rPr>
          <w:rFonts w:ascii="方正仿宋_GBK" w:eastAsia="方正仿宋_GBK"/>
          <w:color w:val="auto"/>
          <w:sz w:val="28"/>
        </w:rPr>
        <w:t>”</w:t>
      </w:r>
      <w:r>
        <w:rPr>
          <w:rFonts w:hint="eastAsia" w:ascii="方正仿宋_GBK" w:eastAsia="方正仿宋_GBK"/>
          <w:color w:val="auto"/>
          <w:sz w:val="28"/>
        </w:rPr>
        <w:t>工作开展招商引资工作。特别是灵山镇定瓷特色小镇建设，</w:t>
      </w:r>
      <w:r>
        <w:rPr>
          <w:rFonts w:ascii="方正仿宋_GBK" w:eastAsia="方正仿宋_GBK"/>
          <w:color w:val="auto"/>
          <w:sz w:val="28"/>
        </w:rPr>
        <w:t>2018</w:t>
      </w:r>
      <w:r>
        <w:rPr>
          <w:rFonts w:hint="eastAsia" w:ascii="方正仿宋_GBK" w:eastAsia="方正仿宋_GBK"/>
          <w:color w:val="auto"/>
          <w:sz w:val="28"/>
        </w:rPr>
        <w:t>年</w:t>
      </w:r>
      <w:r>
        <w:rPr>
          <w:rFonts w:ascii="方正仿宋_GBK" w:eastAsia="方正仿宋_GBK"/>
          <w:color w:val="auto"/>
          <w:sz w:val="28"/>
        </w:rPr>
        <w:t>12</w:t>
      </w:r>
      <w:r>
        <w:rPr>
          <w:rFonts w:hint="eastAsia" w:ascii="方正仿宋_GBK" w:eastAsia="方正仿宋_GBK"/>
          <w:color w:val="auto"/>
          <w:sz w:val="28"/>
        </w:rPr>
        <w:t>月份才启动，我局积极主动联系沟通省市发改委，加快工作步伐，于</w:t>
      </w:r>
      <w:r>
        <w:rPr>
          <w:rFonts w:ascii="方正仿宋_GBK" w:eastAsia="方正仿宋_GBK"/>
          <w:color w:val="auto"/>
          <w:sz w:val="28"/>
        </w:rPr>
        <w:t>2019</w:t>
      </w:r>
      <w:r>
        <w:rPr>
          <w:rFonts w:hint="eastAsia" w:ascii="方正仿宋_GBK" w:eastAsia="方正仿宋_GBK"/>
          <w:color w:val="auto"/>
          <w:sz w:val="28"/>
        </w:rPr>
        <w:t>年</w:t>
      </w:r>
      <w:r>
        <w:rPr>
          <w:rFonts w:ascii="方正仿宋_GBK" w:eastAsia="方正仿宋_GBK"/>
          <w:color w:val="auto"/>
          <w:sz w:val="28"/>
        </w:rPr>
        <w:t>1</w:t>
      </w:r>
      <w:r>
        <w:rPr>
          <w:rFonts w:hint="eastAsia" w:ascii="方正仿宋_GBK" w:eastAsia="方正仿宋_GBK"/>
          <w:color w:val="auto"/>
          <w:sz w:val="28"/>
        </w:rPr>
        <w:t>月</w:t>
      </w:r>
      <w:r>
        <w:rPr>
          <w:rFonts w:ascii="方正仿宋_GBK" w:eastAsia="方正仿宋_GBK"/>
          <w:color w:val="auto"/>
          <w:sz w:val="28"/>
        </w:rPr>
        <w:t>2</w:t>
      </w:r>
      <w:r>
        <w:rPr>
          <w:rFonts w:hint="eastAsia" w:ascii="方正仿宋_GBK" w:eastAsia="方正仿宋_GBK"/>
          <w:color w:val="auto"/>
          <w:sz w:val="28"/>
        </w:rPr>
        <w:t>号组织羊平镇和灵山镇，顺利通过了市专家组对羊平雕刻小镇的年度考核工作，成功通过了灵山定瓷特色小镇的评估工作，待市政府研究通过后上报省发改委，我们将继续努力争取通过国家和省级对灵山定瓷特色小镇的评定。年内举办</w:t>
      </w:r>
      <w:r>
        <w:rPr>
          <w:rFonts w:ascii="方正仿宋_GBK" w:eastAsia="方正仿宋_GBK"/>
          <w:color w:val="auto"/>
          <w:sz w:val="28"/>
        </w:rPr>
        <w:t>1-2</w:t>
      </w:r>
      <w:r>
        <w:rPr>
          <w:rFonts w:hint="eastAsia" w:ascii="方正仿宋_GBK" w:eastAsia="方正仿宋_GBK"/>
          <w:color w:val="auto"/>
          <w:sz w:val="28"/>
        </w:rPr>
        <w:t>次高质量高品质的招商会。引进一批高科技、高质量、高效益、绿色环保的立县工业和旅游项目。目前天津立中合金集团有限公司铝合金氧化渣资源化工加工利用示范工厂项目和北京清华大学黑鳞单晶重点科研成转化项目经过多次洽谈，近期将签约落地。</w:t>
      </w:r>
    </w:p>
    <w:p w14:paraId="4FE794BC">
      <w:pPr>
        <w:spacing w:line="500" w:lineRule="exact"/>
        <w:ind w:firstLine="560"/>
        <w:rPr>
          <w:rFonts w:ascii="方正仿宋_GBK" w:eastAsia="方正仿宋_GBK"/>
          <w:color w:val="auto"/>
          <w:sz w:val="28"/>
        </w:rPr>
      </w:pPr>
      <w:r>
        <w:rPr>
          <w:rFonts w:hint="eastAsia" w:ascii="方正仿宋_GBK" w:eastAsia="方正仿宋_GBK"/>
          <w:color w:val="auto"/>
          <w:sz w:val="28"/>
        </w:rPr>
        <w:t>（三）进一步抓好重点项目建设。保定市对我县重点项目标准要求是；在建项目不得少于</w:t>
      </w:r>
      <w:r>
        <w:rPr>
          <w:rFonts w:ascii="方正仿宋_GBK" w:eastAsia="方正仿宋_GBK"/>
          <w:color w:val="auto"/>
          <w:sz w:val="28"/>
        </w:rPr>
        <w:t>10</w:t>
      </w:r>
      <w:r>
        <w:rPr>
          <w:rFonts w:hint="eastAsia" w:ascii="方正仿宋_GBK" w:eastAsia="方正仿宋_GBK"/>
          <w:color w:val="auto"/>
          <w:sz w:val="28"/>
        </w:rPr>
        <w:t>项，其中，新开工项目不得少于</w:t>
      </w:r>
      <w:r>
        <w:rPr>
          <w:rFonts w:ascii="方正仿宋_GBK" w:eastAsia="方正仿宋_GBK"/>
          <w:color w:val="auto"/>
          <w:sz w:val="28"/>
        </w:rPr>
        <w:t>4</w:t>
      </w:r>
      <w:r>
        <w:rPr>
          <w:rFonts w:hint="eastAsia" w:ascii="方正仿宋_GBK" w:eastAsia="方正仿宋_GBK"/>
          <w:color w:val="auto"/>
          <w:sz w:val="28"/>
        </w:rPr>
        <w:t>项，当年竣工项目不得少于</w:t>
      </w:r>
      <w:r>
        <w:rPr>
          <w:rFonts w:ascii="方正仿宋_GBK" w:eastAsia="方正仿宋_GBK"/>
          <w:color w:val="auto"/>
          <w:sz w:val="28"/>
        </w:rPr>
        <w:t>2</w:t>
      </w:r>
      <w:r>
        <w:rPr>
          <w:rFonts w:hint="eastAsia" w:ascii="方正仿宋_GBK" w:eastAsia="方正仿宋_GBK"/>
          <w:color w:val="auto"/>
          <w:sz w:val="28"/>
        </w:rPr>
        <w:t>项，全年完成投资不低于</w:t>
      </w:r>
      <w:r>
        <w:rPr>
          <w:rFonts w:ascii="方正仿宋_GBK" w:eastAsia="方正仿宋_GBK"/>
          <w:color w:val="auto"/>
          <w:sz w:val="28"/>
        </w:rPr>
        <w:t>15</w:t>
      </w:r>
      <w:r>
        <w:rPr>
          <w:rFonts w:hint="eastAsia" w:ascii="方正仿宋_GBK" w:eastAsia="方正仿宋_GBK"/>
          <w:color w:val="auto"/>
          <w:sz w:val="28"/>
        </w:rPr>
        <w:t>亿元。目前，我们已初步筛选上报市以上重点项目</w:t>
      </w:r>
      <w:r>
        <w:rPr>
          <w:rFonts w:ascii="方正仿宋_GBK" w:eastAsia="方正仿宋_GBK"/>
          <w:color w:val="auto"/>
          <w:sz w:val="28"/>
        </w:rPr>
        <w:t>18</w:t>
      </w:r>
      <w:r>
        <w:rPr>
          <w:rFonts w:hint="eastAsia" w:ascii="方正仿宋_GBK" w:eastAsia="方正仿宋_GBK"/>
          <w:color w:val="auto"/>
          <w:sz w:val="28"/>
        </w:rPr>
        <w:t>项，其中续建项目</w:t>
      </w:r>
      <w:r>
        <w:rPr>
          <w:rFonts w:ascii="方正仿宋_GBK" w:eastAsia="方正仿宋_GBK"/>
          <w:color w:val="auto"/>
          <w:sz w:val="28"/>
        </w:rPr>
        <w:t>2</w:t>
      </w:r>
      <w:r>
        <w:rPr>
          <w:rFonts w:hint="eastAsia" w:ascii="方正仿宋_GBK" w:eastAsia="方正仿宋_GBK"/>
          <w:color w:val="auto"/>
          <w:sz w:val="28"/>
        </w:rPr>
        <w:t>项，新开工项目</w:t>
      </w:r>
      <w:r>
        <w:rPr>
          <w:rFonts w:ascii="方正仿宋_GBK" w:eastAsia="方正仿宋_GBK"/>
          <w:color w:val="auto"/>
          <w:sz w:val="28"/>
        </w:rPr>
        <w:t>12</w:t>
      </w:r>
      <w:r>
        <w:rPr>
          <w:rFonts w:hint="eastAsia" w:ascii="方正仿宋_GBK" w:eastAsia="方正仿宋_GBK"/>
          <w:color w:val="auto"/>
          <w:sz w:val="28"/>
        </w:rPr>
        <w:t>项，前期项目</w:t>
      </w:r>
      <w:r>
        <w:rPr>
          <w:rFonts w:ascii="方正仿宋_GBK" w:eastAsia="方正仿宋_GBK"/>
          <w:color w:val="auto"/>
          <w:sz w:val="28"/>
        </w:rPr>
        <w:t>4</w:t>
      </w:r>
      <w:r>
        <w:rPr>
          <w:rFonts w:hint="eastAsia" w:ascii="方正仿宋_GBK" w:eastAsia="方正仿宋_GBK"/>
          <w:color w:val="auto"/>
          <w:sz w:val="28"/>
        </w:rPr>
        <w:t>项，总投资</w:t>
      </w:r>
      <w:r>
        <w:rPr>
          <w:rFonts w:ascii="方正仿宋_GBK" w:eastAsia="方正仿宋_GBK"/>
          <w:color w:val="auto"/>
          <w:sz w:val="28"/>
        </w:rPr>
        <w:t>105</w:t>
      </w:r>
      <w:r>
        <w:rPr>
          <w:rFonts w:hint="eastAsia" w:ascii="方正仿宋_GBK" w:eastAsia="方正仿宋_GBK"/>
          <w:color w:val="auto"/>
          <w:sz w:val="28"/>
        </w:rPr>
        <w:t>亿元，当年计划投资</w:t>
      </w:r>
      <w:r>
        <w:rPr>
          <w:rFonts w:ascii="方正仿宋_GBK" w:eastAsia="方正仿宋_GBK"/>
          <w:color w:val="auto"/>
          <w:sz w:val="28"/>
        </w:rPr>
        <w:t>18.5</w:t>
      </w:r>
      <w:r>
        <w:rPr>
          <w:rFonts w:hint="eastAsia" w:ascii="方正仿宋_GBK" w:eastAsia="方正仿宋_GBK"/>
          <w:color w:val="auto"/>
          <w:sz w:val="28"/>
        </w:rPr>
        <w:t>亿元。</w:t>
      </w:r>
    </w:p>
    <w:p w14:paraId="60E18907">
      <w:pPr>
        <w:spacing w:line="500" w:lineRule="exact"/>
        <w:ind w:firstLine="560"/>
        <w:rPr>
          <w:rFonts w:ascii="方正仿宋_GBK" w:eastAsia="方正仿宋_GBK"/>
          <w:color w:val="auto"/>
          <w:sz w:val="28"/>
        </w:rPr>
      </w:pPr>
      <w:r>
        <w:rPr>
          <w:rFonts w:hint="eastAsia" w:ascii="方正仿宋_GBK" w:eastAsia="方正仿宋_GBK"/>
          <w:color w:val="auto"/>
          <w:sz w:val="28"/>
        </w:rPr>
        <w:t>（四）跑部进厅、积极争取上级资金扶持，重点争取教育、卫生、文化旅游、农业等方面国家扶持资金。</w:t>
      </w:r>
    </w:p>
    <w:p w14:paraId="23056B84">
      <w:pPr>
        <w:spacing w:line="500" w:lineRule="exact"/>
        <w:ind w:firstLine="560"/>
        <w:rPr>
          <w:rFonts w:ascii="方正仿宋_GBK" w:eastAsia="方正仿宋_GBK"/>
          <w:color w:val="auto"/>
          <w:sz w:val="28"/>
        </w:rPr>
      </w:pPr>
      <w:r>
        <w:rPr>
          <w:rFonts w:hint="eastAsia" w:ascii="方正仿宋_GBK" w:eastAsia="方正仿宋_GBK"/>
          <w:color w:val="auto"/>
          <w:sz w:val="28"/>
        </w:rPr>
        <w:t>（五）继续扩大光伏产业扶贫规模。完成</w:t>
      </w:r>
      <w:r>
        <w:rPr>
          <w:rFonts w:ascii="方正仿宋_GBK" w:eastAsia="方正仿宋_GBK"/>
          <w:color w:val="auto"/>
          <w:sz w:val="28"/>
        </w:rPr>
        <w:t>71</w:t>
      </w:r>
      <w:r>
        <w:rPr>
          <w:rFonts w:hint="eastAsia" w:ascii="方正仿宋_GBK" w:eastAsia="方正仿宋_GBK"/>
          <w:color w:val="auto"/>
          <w:sz w:val="28"/>
        </w:rPr>
        <w:t>个村级光伏扶贫电站和英利</w:t>
      </w:r>
      <w:r>
        <w:rPr>
          <w:rFonts w:ascii="方正仿宋_GBK" w:eastAsia="方正仿宋_GBK"/>
          <w:color w:val="auto"/>
          <w:sz w:val="28"/>
        </w:rPr>
        <w:t>20</w:t>
      </w:r>
      <w:r>
        <w:rPr>
          <w:rFonts w:hint="eastAsia" w:ascii="方正仿宋_GBK" w:eastAsia="方正仿宋_GBK"/>
          <w:color w:val="auto"/>
          <w:sz w:val="28"/>
        </w:rPr>
        <w:t>兆瓦光伏扶贫电站建设，新增光伏扶贫人口</w:t>
      </w:r>
      <w:r>
        <w:rPr>
          <w:rFonts w:ascii="方正仿宋_GBK" w:eastAsia="方正仿宋_GBK"/>
          <w:color w:val="auto"/>
          <w:sz w:val="28"/>
        </w:rPr>
        <w:t>3720</w:t>
      </w:r>
      <w:r>
        <w:rPr>
          <w:rFonts w:hint="eastAsia" w:ascii="方正仿宋_GBK" w:eastAsia="方正仿宋_GBK"/>
          <w:color w:val="auto"/>
          <w:sz w:val="28"/>
        </w:rPr>
        <w:t>人。</w:t>
      </w:r>
    </w:p>
    <w:p w14:paraId="2863EEDC">
      <w:pPr>
        <w:spacing w:line="500" w:lineRule="exact"/>
        <w:ind w:firstLine="560"/>
        <w:rPr>
          <w:rFonts w:ascii="方正仿宋_GBK" w:eastAsia="方正仿宋_GBK"/>
          <w:color w:val="auto"/>
          <w:sz w:val="28"/>
        </w:rPr>
      </w:pPr>
      <w:r>
        <w:rPr>
          <w:rFonts w:hint="eastAsia" w:ascii="方正仿宋_GBK" w:eastAsia="方正仿宋_GBK"/>
          <w:color w:val="auto"/>
          <w:sz w:val="28"/>
        </w:rPr>
        <w:t>（六）完成易地扶贫搬迁任务。牵头协调土地、规划、平台公司灵山镇政府加快工程建设，力争上半年实现分散安置</w:t>
      </w:r>
      <w:r>
        <w:rPr>
          <w:rFonts w:ascii="方正仿宋_GBK" w:eastAsia="方正仿宋_GBK"/>
          <w:color w:val="auto"/>
          <w:sz w:val="28"/>
        </w:rPr>
        <w:t>21</w:t>
      </w:r>
      <w:r>
        <w:rPr>
          <w:rFonts w:hint="eastAsia" w:ascii="方正仿宋_GBK" w:eastAsia="方正仿宋_GBK"/>
          <w:color w:val="auto"/>
          <w:sz w:val="28"/>
        </w:rPr>
        <w:t>户</w:t>
      </w:r>
      <w:r>
        <w:rPr>
          <w:rFonts w:ascii="方正仿宋_GBK" w:eastAsia="方正仿宋_GBK"/>
          <w:color w:val="auto"/>
          <w:sz w:val="28"/>
        </w:rPr>
        <w:t>53</w:t>
      </w:r>
      <w:r>
        <w:rPr>
          <w:rFonts w:hint="eastAsia" w:ascii="方正仿宋_GBK" w:eastAsia="方正仿宋_GBK"/>
          <w:color w:val="auto"/>
          <w:sz w:val="28"/>
        </w:rPr>
        <w:t>人完成搬迁入住工作。</w:t>
      </w:r>
    </w:p>
    <w:p w14:paraId="4B767598">
      <w:pPr>
        <w:spacing w:line="500" w:lineRule="exact"/>
        <w:ind w:firstLine="560"/>
        <w:rPr>
          <w:rFonts w:ascii="方正仿宋_GBK" w:eastAsia="方正仿宋_GBK"/>
          <w:color w:val="auto"/>
          <w:sz w:val="28"/>
        </w:rPr>
      </w:pPr>
      <w:r>
        <w:rPr>
          <w:rFonts w:hint="eastAsia" w:ascii="方正仿宋_GBK" w:eastAsia="方正仿宋_GBK"/>
          <w:color w:val="auto"/>
          <w:sz w:val="28"/>
        </w:rPr>
        <w:t>（七）深化行政审批改革，认真做好项目审批工作。按照县政府关于行政审批制度改革的要求，对应划转到审批局的行政许可事项应转尽转。严格执行项目审批限时办结制；不断优化项目审批服务，积极落实</w:t>
      </w:r>
      <w:r>
        <w:rPr>
          <w:rFonts w:ascii="方正仿宋_GBK" w:eastAsia="方正仿宋_GBK"/>
          <w:color w:val="auto"/>
          <w:sz w:val="28"/>
        </w:rPr>
        <w:t>“</w:t>
      </w:r>
      <w:r>
        <w:rPr>
          <w:rFonts w:hint="eastAsia" w:ascii="方正仿宋_GBK" w:eastAsia="方正仿宋_GBK"/>
          <w:color w:val="auto"/>
          <w:sz w:val="28"/>
        </w:rPr>
        <w:t>放管服</w:t>
      </w:r>
      <w:r>
        <w:rPr>
          <w:rFonts w:ascii="方正仿宋_GBK" w:eastAsia="方正仿宋_GBK"/>
          <w:color w:val="auto"/>
          <w:sz w:val="28"/>
        </w:rPr>
        <w:t>”</w:t>
      </w:r>
      <w:r>
        <w:rPr>
          <w:rFonts w:hint="eastAsia" w:ascii="方正仿宋_GBK" w:eastAsia="方正仿宋_GBK"/>
          <w:color w:val="auto"/>
          <w:sz w:val="28"/>
        </w:rPr>
        <w:t>改革，全方位搞好跟踪服务；加强固定资产投资项目监管，对涉煤项目、</w:t>
      </w:r>
      <w:r>
        <w:rPr>
          <w:rFonts w:ascii="方正仿宋_GBK" w:eastAsia="方正仿宋_GBK"/>
          <w:color w:val="auto"/>
          <w:sz w:val="28"/>
        </w:rPr>
        <w:t xml:space="preserve"> “</w:t>
      </w:r>
      <w:r>
        <w:rPr>
          <w:rFonts w:hint="eastAsia" w:ascii="方正仿宋_GBK" w:eastAsia="方正仿宋_GBK"/>
          <w:color w:val="auto"/>
          <w:sz w:val="28"/>
        </w:rPr>
        <w:t>两高一资</w:t>
      </w:r>
      <w:r>
        <w:rPr>
          <w:rFonts w:ascii="方正仿宋_GBK" w:eastAsia="方正仿宋_GBK"/>
          <w:color w:val="auto"/>
          <w:sz w:val="28"/>
        </w:rPr>
        <w:t>”</w:t>
      </w:r>
      <w:r>
        <w:rPr>
          <w:rFonts w:hint="eastAsia" w:ascii="方正仿宋_GBK" w:eastAsia="方正仿宋_GBK"/>
          <w:color w:val="auto"/>
          <w:sz w:val="28"/>
        </w:rPr>
        <w:t>项目和产能严重过剩的钢铁、平板玻璃、水泥等国家严格控制新上项目，加快全县产业结构调整和转型升级。</w:t>
      </w:r>
    </w:p>
    <w:p w14:paraId="7A55119B">
      <w:pPr>
        <w:ind w:firstLine="562" w:firstLineChars="200"/>
        <w:jc w:val="left"/>
        <w:rPr>
          <w:rFonts w:ascii="方正楷体_GBK" w:eastAsia="方正楷体_GBK"/>
          <w:b/>
          <w:color w:val="auto"/>
          <w:sz w:val="28"/>
        </w:rPr>
      </w:pPr>
      <w:r>
        <w:rPr>
          <w:rFonts w:hint="eastAsia" w:ascii="方正楷体_GBK" w:eastAsia="方正楷体_GBK"/>
          <w:b/>
          <w:color w:val="auto"/>
          <w:sz w:val="28"/>
        </w:rPr>
        <w:t>职责分类绩效目标：</w:t>
      </w:r>
    </w:p>
    <w:p w14:paraId="51AFE3A3">
      <w:pPr>
        <w:spacing w:line="500" w:lineRule="exact"/>
        <w:ind w:firstLine="560"/>
        <w:rPr>
          <w:rFonts w:ascii="方正仿宋_GBK" w:eastAsia="方正仿宋_GBK"/>
          <w:color w:val="auto"/>
          <w:sz w:val="28"/>
        </w:rPr>
      </w:pPr>
      <w:r>
        <w:rPr>
          <w:rFonts w:ascii="方正仿宋_GBK" w:eastAsia="方正仿宋_GBK"/>
          <w:color w:val="auto"/>
          <w:sz w:val="28"/>
        </w:rPr>
        <w:t>2019</w:t>
      </w:r>
      <w:r>
        <w:rPr>
          <w:rFonts w:hint="eastAsia" w:ascii="方正仿宋_GBK" w:eastAsia="方正仿宋_GBK"/>
          <w:color w:val="auto"/>
          <w:sz w:val="28"/>
        </w:rPr>
        <w:t>年度发改局将继续发挥组织、协调功能，做好县委、县政府的参谋，为全县经济建设作出新的贡献。</w:t>
      </w:r>
    </w:p>
    <w:p w14:paraId="3F5DC7C9">
      <w:pPr>
        <w:spacing w:line="500" w:lineRule="exact"/>
        <w:ind w:firstLine="980" w:firstLineChars="350"/>
        <w:rPr>
          <w:rFonts w:ascii="方正仿宋_GBK" w:eastAsia="方正仿宋_GBK"/>
          <w:color w:val="auto"/>
          <w:sz w:val="28"/>
        </w:rPr>
      </w:pPr>
      <w:r>
        <w:rPr>
          <w:rFonts w:hint="eastAsia" w:ascii="方正仿宋_GBK" w:eastAsia="方正仿宋_GBK"/>
          <w:color w:val="auto"/>
          <w:sz w:val="28"/>
        </w:rPr>
        <w:t>一、推进全县改革开放和经济技术合作。</w:t>
      </w:r>
    </w:p>
    <w:p w14:paraId="3E1F18E0">
      <w:pPr>
        <w:spacing w:line="500" w:lineRule="exact"/>
        <w:ind w:firstLine="980" w:firstLineChars="350"/>
        <w:rPr>
          <w:rFonts w:ascii="方正仿宋_GBK" w:eastAsia="方正仿宋_GBK"/>
          <w:color w:val="auto"/>
          <w:sz w:val="28"/>
        </w:rPr>
      </w:pPr>
      <w:r>
        <w:rPr>
          <w:rFonts w:ascii="方正仿宋_GBK" w:eastAsia="方正仿宋_GBK"/>
          <w:color w:val="auto"/>
          <w:sz w:val="28"/>
        </w:rPr>
        <w:t>2019</w:t>
      </w:r>
      <w:r>
        <w:rPr>
          <w:rFonts w:hint="eastAsia" w:ascii="方正仿宋_GBK" w:eastAsia="方正仿宋_GBK"/>
          <w:color w:val="auto"/>
          <w:sz w:val="28"/>
        </w:rPr>
        <w:t>年为宣传、推介曲阳，我县将继续参加</w:t>
      </w:r>
      <w:r>
        <w:rPr>
          <w:rFonts w:ascii="方正仿宋_GBK" w:eastAsia="方正仿宋_GBK"/>
          <w:color w:val="auto"/>
          <w:sz w:val="28"/>
        </w:rPr>
        <w:t>5</w:t>
      </w:r>
      <w:r>
        <w:rPr>
          <w:rFonts w:hint="eastAsia" w:ascii="方正仿宋_GBK" w:eastAsia="方正仿宋_GBK"/>
          <w:color w:val="auto"/>
          <w:sz w:val="28"/>
        </w:rPr>
        <w:t>月份的廊坊经贸洽谈会，推进全县利用外资和境外投资工作。本次洽谈会将组织开展全县对外经贸洽谈和招商活动，组织项目谋划发布、洽谈等活动，同时开展全县经济技术交流合作，组织谋划县际合作项目的考察、论证、对接、落实和实施，组织与交流合作方和县内各方面沟通对接。稳步提高全县利用外资、境外投资规模和水平。使产出指标和效果指标都上升一个层次。本次洽谈会计划引进县外资金数量增长率为</w:t>
      </w:r>
      <w:r>
        <w:rPr>
          <w:rFonts w:ascii="方正仿宋_GBK" w:eastAsia="方正仿宋_GBK"/>
          <w:color w:val="auto"/>
          <w:sz w:val="28"/>
        </w:rPr>
        <w:t>10%</w:t>
      </w:r>
      <w:r>
        <w:rPr>
          <w:rFonts w:hint="eastAsia" w:ascii="方正仿宋_GBK" w:eastAsia="方正仿宋_GBK"/>
          <w:color w:val="auto"/>
          <w:sz w:val="28"/>
        </w:rPr>
        <w:t>。</w:t>
      </w:r>
    </w:p>
    <w:p w14:paraId="3F7166DA">
      <w:pPr>
        <w:spacing w:line="500" w:lineRule="exact"/>
        <w:ind w:firstLine="560"/>
        <w:rPr>
          <w:rFonts w:ascii="方正仿宋_GBK" w:eastAsia="方正仿宋_GBK"/>
          <w:color w:val="auto"/>
          <w:sz w:val="28"/>
        </w:rPr>
      </w:pPr>
      <w:r>
        <w:rPr>
          <w:rFonts w:ascii="方正仿宋_GBK" w:eastAsia="方正仿宋_GBK"/>
          <w:color w:val="auto"/>
          <w:sz w:val="28"/>
        </w:rPr>
        <w:t xml:space="preserve">    </w:t>
      </w:r>
      <w:r>
        <w:rPr>
          <w:rFonts w:hint="eastAsia" w:ascii="方正仿宋_GBK" w:eastAsia="方正仿宋_GBK"/>
          <w:color w:val="auto"/>
          <w:sz w:val="28"/>
        </w:rPr>
        <w:t>二、经济和社会运行监测、调节与协调。</w:t>
      </w:r>
    </w:p>
    <w:p w14:paraId="2D8A3DB8">
      <w:pPr>
        <w:spacing w:line="500" w:lineRule="exact"/>
        <w:ind w:firstLine="560"/>
        <w:rPr>
          <w:rFonts w:ascii="方正仿宋_GBK" w:eastAsia="方正仿宋_GBK"/>
          <w:color w:val="auto"/>
          <w:sz w:val="28"/>
        </w:rPr>
      </w:pPr>
      <w:r>
        <w:rPr>
          <w:rFonts w:ascii="方正仿宋_GBK" w:eastAsia="方正仿宋_GBK"/>
          <w:color w:val="auto"/>
          <w:sz w:val="28"/>
        </w:rPr>
        <w:t xml:space="preserve">    </w:t>
      </w:r>
      <w:r>
        <w:rPr>
          <w:rFonts w:hint="eastAsia" w:ascii="方正仿宋_GBK" w:eastAsia="方正仿宋_GBK"/>
          <w:color w:val="auto"/>
          <w:sz w:val="28"/>
        </w:rPr>
        <w:t>重点项目办公室、招商引资办公室、扶贫办公室、新能源办公室、双创双促办公室等都设在我局，我局承担全县项目前期手续督查督办工作，为做好各个企业和政府各部门的协调工作我局申请了跑办项目专项经费，为项目落地曲阳做好铺垫工作，让项目进的来留得下。积极做好经济运行监测分析，协调经济社会运行平稳有序和健康发展，提升全县经济、装备动员能力。产出指标和效果指标是让企业对我县的投资环境更满意。本年计划招商引资增长率达到</w:t>
      </w:r>
      <w:r>
        <w:rPr>
          <w:rFonts w:ascii="方正仿宋_GBK" w:eastAsia="方正仿宋_GBK"/>
          <w:color w:val="auto"/>
          <w:sz w:val="28"/>
        </w:rPr>
        <w:t>7%</w:t>
      </w:r>
      <w:r>
        <w:rPr>
          <w:rFonts w:hint="eastAsia" w:ascii="方正仿宋_GBK" w:eastAsia="方正仿宋_GBK"/>
          <w:color w:val="auto"/>
          <w:sz w:val="28"/>
        </w:rPr>
        <w:t>。</w:t>
      </w:r>
    </w:p>
    <w:p w14:paraId="0B4408DF">
      <w:pPr>
        <w:spacing w:line="500" w:lineRule="exact"/>
        <w:ind w:firstLine="560"/>
        <w:rPr>
          <w:rFonts w:ascii="方正仿宋_GBK" w:eastAsia="方正仿宋_GBK"/>
          <w:color w:val="auto"/>
          <w:sz w:val="28"/>
        </w:rPr>
      </w:pPr>
      <w:r>
        <w:rPr>
          <w:rFonts w:ascii="方正仿宋_GBK" w:eastAsia="方正仿宋_GBK"/>
          <w:color w:val="auto"/>
          <w:sz w:val="28"/>
        </w:rPr>
        <w:t xml:space="preserve">    </w:t>
      </w:r>
      <w:r>
        <w:rPr>
          <w:rFonts w:hint="eastAsia" w:ascii="方正仿宋_GBK" w:eastAsia="方正仿宋_GBK"/>
          <w:color w:val="auto"/>
          <w:sz w:val="28"/>
        </w:rPr>
        <w:t>三、固定资产投资调控与管理。</w:t>
      </w:r>
    </w:p>
    <w:p w14:paraId="34F967E3">
      <w:pPr>
        <w:spacing w:line="500" w:lineRule="exact"/>
        <w:ind w:firstLine="560"/>
        <w:rPr>
          <w:rFonts w:ascii="方正仿宋_GBK" w:eastAsia="方正仿宋_GBK"/>
          <w:color w:val="auto"/>
          <w:sz w:val="28"/>
        </w:rPr>
      </w:pPr>
      <w:r>
        <w:rPr>
          <w:rFonts w:hint="eastAsia" w:ascii="方正仿宋_GBK" w:eastAsia="方正仿宋_GBK"/>
          <w:color w:val="auto"/>
          <w:sz w:val="28"/>
        </w:rPr>
        <w:t>根据</w:t>
      </w:r>
      <w:r>
        <w:rPr>
          <w:rFonts w:ascii="方正仿宋_GBK" w:eastAsia="方正仿宋_GBK"/>
          <w:color w:val="auto"/>
          <w:sz w:val="28"/>
        </w:rPr>
        <w:t>“</w:t>
      </w:r>
      <w:r>
        <w:rPr>
          <w:rFonts w:hint="eastAsia" w:ascii="方正仿宋_GBK" w:eastAsia="方正仿宋_GBK"/>
          <w:color w:val="auto"/>
          <w:sz w:val="28"/>
        </w:rPr>
        <w:t>保定市维护稳定工作领导小组办公室关于对</w:t>
      </w:r>
      <w:r>
        <w:rPr>
          <w:rFonts w:ascii="方正仿宋_GBK" w:eastAsia="方正仿宋_GBK"/>
          <w:color w:val="auto"/>
          <w:sz w:val="28"/>
        </w:rPr>
        <w:t>2019</w:t>
      </w:r>
      <w:r>
        <w:rPr>
          <w:rFonts w:hint="eastAsia" w:ascii="方正仿宋_GBK" w:eastAsia="方正仿宋_GBK"/>
          <w:color w:val="auto"/>
          <w:sz w:val="28"/>
        </w:rPr>
        <w:t>年省市重点建设项目组织社会稳定风险评估工作的通知</w:t>
      </w:r>
      <w:r>
        <w:rPr>
          <w:rFonts w:ascii="方正仿宋_GBK" w:eastAsia="方正仿宋_GBK"/>
          <w:color w:val="auto"/>
          <w:sz w:val="28"/>
        </w:rPr>
        <w:t>”</w:t>
      </w:r>
      <w:r>
        <w:rPr>
          <w:rFonts w:hint="eastAsia" w:ascii="方正仿宋_GBK" w:eastAsia="方正仿宋_GBK"/>
          <w:color w:val="auto"/>
          <w:sz w:val="28"/>
        </w:rPr>
        <w:t>，我局将继续对</w:t>
      </w:r>
      <w:r>
        <w:rPr>
          <w:rFonts w:ascii="方正仿宋_GBK" w:eastAsia="方正仿宋_GBK"/>
          <w:color w:val="auto"/>
          <w:sz w:val="28"/>
        </w:rPr>
        <w:t>2018</w:t>
      </w:r>
      <w:r>
        <w:rPr>
          <w:rFonts w:hint="eastAsia" w:ascii="方正仿宋_GBK" w:eastAsia="方正仿宋_GBK"/>
          <w:color w:val="auto"/>
          <w:sz w:val="28"/>
        </w:rPr>
        <w:t>年在建重大项目进行社会稳定风险评估检查，（河北高氏雕刻有限公司旅发大会会展中心暨清华美院高氏雕刻教学实践基地项目、曲阳县海汇商贸有限公司中国供销太行山国际农副产品批发电商物流园项目等重大项目）组织开展对工作活动范围内的项目单位在前期手续、投资计划和资金下达、建设实施、建设管理、进度控制、资金和财务管理、竣工验收等方面实施情况的监督检查。产出指标隐患排除率达到</w:t>
      </w:r>
      <w:r>
        <w:rPr>
          <w:rFonts w:ascii="方正仿宋_GBK" w:eastAsia="方正仿宋_GBK"/>
          <w:color w:val="auto"/>
          <w:sz w:val="28"/>
        </w:rPr>
        <w:t>70%</w:t>
      </w:r>
      <w:r>
        <w:rPr>
          <w:rFonts w:hint="eastAsia" w:ascii="方正仿宋_GBK" w:eastAsia="方正仿宋_GBK"/>
          <w:color w:val="auto"/>
          <w:sz w:val="28"/>
        </w:rPr>
        <w:t>以上，效果指标事故有效处理率达到</w:t>
      </w:r>
      <w:r>
        <w:rPr>
          <w:rFonts w:ascii="方正仿宋_GBK" w:eastAsia="方正仿宋_GBK"/>
          <w:color w:val="auto"/>
          <w:sz w:val="28"/>
        </w:rPr>
        <w:t>70%</w:t>
      </w:r>
      <w:r>
        <w:rPr>
          <w:rFonts w:hint="eastAsia" w:ascii="方正仿宋_GBK" w:eastAsia="方正仿宋_GBK"/>
          <w:color w:val="auto"/>
          <w:sz w:val="28"/>
        </w:rPr>
        <w:t>以上。</w:t>
      </w:r>
    </w:p>
    <w:p w14:paraId="09420D71">
      <w:pPr>
        <w:spacing w:line="500" w:lineRule="exact"/>
        <w:ind w:firstLine="560"/>
        <w:rPr>
          <w:rFonts w:ascii="方正仿宋_GBK" w:eastAsia="方正仿宋_GBK"/>
          <w:color w:val="auto"/>
          <w:sz w:val="28"/>
        </w:rPr>
      </w:pPr>
      <w:r>
        <w:rPr>
          <w:rFonts w:ascii="方正仿宋_GBK" w:eastAsia="方正仿宋_GBK"/>
          <w:color w:val="auto"/>
          <w:sz w:val="28"/>
        </w:rPr>
        <w:t>(</w:t>
      </w:r>
      <w:r>
        <w:rPr>
          <w:rFonts w:hint="eastAsia" w:ascii="方正仿宋_GBK" w:eastAsia="方正仿宋_GBK"/>
          <w:color w:val="auto"/>
          <w:sz w:val="28"/>
        </w:rPr>
        <w:t>四</w:t>
      </w:r>
      <w:r>
        <w:rPr>
          <w:rFonts w:ascii="方正仿宋_GBK" w:eastAsia="方正仿宋_GBK"/>
          <w:color w:val="auto"/>
          <w:sz w:val="28"/>
        </w:rPr>
        <w:t>)</w:t>
      </w:r>
      <w:r>
        <w:rPr>
          <w:rFonts w:hint="eastAsia" w:ascii="方正仿宋_GBK" w:eastAsia="方正仿宋_GBK"/>
          <w:color w:val="auto"/>
          <w:sz w:val="28"/>
        </w:rPr>
        <w:t>发展和改革政务管理。</w:t>
      </w:r>
    </w:p>
    <w:p w14:paraId="73E27B8D">
      <w:pPr>
        <w:spacing w:line="500" w:lineRule="exact"/>
        <w:ind w:firstLine="560"/>
        <w:rPr>
          <w:rFonts w:ascii="方正仿宋_GBK" w:eastAsia="方正仿宋_GBK"/>
          <w:color w:val="auto"/>
          <w:sz w:val="28"/>
        </w:rPr>
      </w:pPr>
      <w:r>
        <w:rPr>
          <w:rFonts w:ascii="方正仿宋_GBK" w:eastAsia="方正仿宋_GBK"/>
          <w:color w:val="auto"/>
          <w:sz w:val="28"/>
        </w:rPr>
        <w:t xml:space="preserve">    </w:t>
      </w:r>
      <w:r>
        <w:rPr>
          <w:rFonts w:hint="eastAsia" w:ascii="方正仿宋_GBK" w:eastAsia="方正仿宋_GBK"/>
          <w:color w:val="auto"/>
          <w:sz w:val="28"/>
        </w:rPr>
        <w:t>根据文件要求，我县要对</w:t>
      </w:r>
      <w:r>
        <w:rPr>
          <w:rFonts w:ascii="方正仿宋_GBK" w:eastAsia="方正仿宋_GBK"/>
          <w:color w:val="auto"/>
          <w:sz w:val="28"/>
        </w:rPr>
        <w:t>2019</w:t>
      </w:r>
      <w:r>
        <w:rPr>
          <w:rFonts w:hint="eastAsia" w:ascii="方正仿宋_GBK" w:eastAsia="方正仿宋_GBK"/>
          <w:color w:val="auto"/>
          <w:sz w:val="28"/>
        </w:rPr>
        <w:t>年农村扶贫建设加大力度，为广大农民做实事做好事，使农民享受到切实的利益，我县预计划申请</w:t>
      </w:r>
      <w:r>
        <w:rPr>
          <w:rFonts w:ascii="方正仿宋_GBK" w:eastAsia="方正仿宋_GBK"/>
          <w:color w:val="auto"/>
          <w:sz w:val="28"/>
        </w:rPr>
        <w:t>63</w:t>
      </w:r>
      <w:r>
        <w:rPr>
          <w:rFonts w:hint="eastAsia" w:ascii="方正仿宋_GBK" w:eastAsia="方正仿宋_GBK"/>
          <w:color w:val="auto"/>
          <w:sz w:val="28"/>
        </w:rPr>
        <w:t>万元扶贫资金，该资金全部用于农村基础建设，提高农民生活出行条件。产出指标是扶贫项目数量要提高一个层次，支持企业把资金切实用于改善农村的生活条件，效果指标是让收益群众满意度大大提高。本年使受益群体满意度达到</w:t>
      </w:r>
      <w:r>
        <w:rPr>
          <w:rFonts w:ascii="方正仿宋_GBK" w:eastAsia="方正仿宋_GBK"/>
          <w:color w:val="auto"/>
          <w:sz w:val="28"/>
        </w:rPr>
        <w:t>80%</w:t>
      </w:r>
      <w:r>
        <w:rPr>
          <w:rFonts w:hint="eastAsia" w:ascii="方正仿宋_GBK" w:eastAsia="方正仿宋_GBK"/>
          <w:color w:val="auto"/>
          <w:sz w:val="28"/>
        </w:rPr>
        <w:t>。</w:t>
      </w:r>
    </w:p>
    <w:p w14:paraId="29329EED">
      <w:pPr>
        <w:autoSpaceDE w:val="0"/>
        <w:autoSpaceDN w:val="0"/>
        <w:adjustRightInd w:val="0"/>
        <w:ind w:left="198" w:firstLine="643" w:firstLineChars="200"/>
        <w:jc w:val="left"/>
        <w:rPr>
          <w:rFonts w:ascii="Times New Roman" w:hAnsi="Times New Roman" w:eastAsia="仿宋" w:cs="Times New Roman"/>
          <w:b/>
          <w:color w:val="auto"/>
          <w:sz w:val="32"/>
          <w:szCs w:val="32"/>
        </w:rPr>
      </w:pPr>
    </w:p>
    <w:p w14:paraId="1F47FD71">
      <w:pPr>
        <w:jc w:val="center"/>
        <w:outlineLvl w:val="0"/>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6BE48F5E">
      <w:pPr>
        <w:jc w:val="center"/>
        <w:outlineLvl w:val="0"/>
        <w:rPr>
          <w:rFonts w:ascii="方正小标宋_GBK" w:eastAsia="方正小标宋_GBK"/>
          <w:color w:val="auto"/>
          <w:sz w:val="32"/>
        </w:rPr>
      </w:pPr>
      <w:r>
        <w:rPr>
          <w:rFonts w:hint="eastAsia" w:ascii="方正小标宋_GBK" w:eastAsia="方正小标宋_GBK"/>
          <w:color w:val="auto"/>
          <w:sz w:val="32"/>
        </w:rPr>
        <w:t>部门职责</w:t>
      </w:r>
      <w:r>
        <w:rPr>
          <w:rFonts w:ascii="方正小标宋_GBK" w:eastAsia="方正小标宋_GBK"/>
          <w:color w:val="auto"/>
          <w:sz w:val="32"/>
        </w:rPr>
        <w:t>-</w:t>
      </w:r>
      <w:r>
        <w:rPr>
          <w:rFonts w:hint="eastAsia" w:ascii="方正小标宋_GBK" w:eastAsia="方正小标宋_GBK"/>
          <w:color w:val="auto"/>
          <w:sz w:val="32"/>
        </w:rPr>
        <w:t>工作活动绩效目标</w:t>
      </w:r>
    </w:p>
    <w:p w14:paraId="70C24696">
      <w:pPr>
        <w:outlineLvl w:val="0"/>
        <w:rPr>
          <w:rFonts w:ascii="方正小标宋_GBK" w:eastAsia="方正小标宋_GBK"/>
          <w:color w:val="auto"/>
          <w:sz w:val="32"/>
        </w:rPr>
      </w:pPr>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5F7EC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41CE2F3C">
            <w:pPr>
              <w:spacing w:line="300" w:lineRule="exact"/>
              <w:jc w:val="left"/>
              <w:rPr>
                <w:rFonts w:ascii="方正小标宋_GBK" w:eastAsia="方正小标宋_GBK"/>
                <w:color w:val="auto"/>
                <w:sz w:val="24"/>
              </w:rPr>
            </w:pPr>
            <w:r>
              <w:rPr>
                <w:rFonts w:ascii="方正小标宋_GBK" w:eastAsia="方正小标宋_GBK"/>
                <w:color w:val="auto"/>
                <w:sz w:val="24"/>
              </w:rPr>
              <w:t>303</w:t>
            </w:r>
            <w:r>
              <w:rPr>
                <w:rFonts w:hint="eastAsia" w:ascii="方正小标宋_GBK" w:eastAsia="方正小标宋_GBK"/>
                <w:color w:val="auto"/>
                <w:sz w:val="24"/>
              </w:rPr>
              <w:t>曲阳县发展改革局</w:t>
            </w:r>
          </w:p>
        </w:tc>
        <w:tc>
          <w:tcPr>
            <w:tcW w:w="2948" w:type="dxa"/>
            <w:gridSpan w:val="4"/>
            <w:tcBorders>
              <w:top w:val="single" w:color="FFFFFF" w:sz="6" w:space="0"/>
              <w:left w:val="single" w:color="FFFFFF" w:sz="6" w:space="0"/>
              <w:right w:val="single" w:color="FFFFFF" w:sz="6" w:space="0"/>
            </w:tcBorders>
            <w:vAlign w:val="center"/>
          </w:tcPr>
          <w:p w14:paraId="36EC3DB8">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1235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03BC3EDF">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vAlign w:val="center"/>
          </w:tcPr>
          <w:p w14:paraId="06CE8388">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vAlign w:val="center"/>
          </w:tcPr>
          <w:p w14:paraId="77D12520">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vAlign w:val="center"/>
          </w:tcPr>
          <w:p w14:paraId="1D541364">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vAlign w:val="center"/>
          </w:tcPr>
          <w:p w14:paraId="2B693F32">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vAlign w:val="center"/>
          </w:tcPr>
          <w:p w14:paraId="50575FA5">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4C76E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5E58759E">
            <w:pPr>
              <w:spacing w:line="300" w:lineRule="exact"/>
              <w:jc w:val="left"/>
              <w:outlineLvl w:val="0"/>
              <w:rPr>
                <w:color w:val="auto"/>
              </w:rPr>
            </w:pPr>
          </w:p>
        </w:tc>
        <w:tc>
          <w:tcPr>
            <w:tcW w:w="1276" w:type="dxa"/>
            <w:vMerge w:val="continue"/>
            <w:vAlign w:val="center"/>
          </w:tcPr>
          <w:p w14:paraId="72470714">
            <w:pPr>
              <w:spacing w:line="300" w:lineRule="exact"/>
              <w:jc w:val="left"/>
              <w:outlineLvl w:val="0"/>
              <w:rPr>
                <w:color w:val="auto"/>
              </w:rPr>
            </w:pPr>
          </w:p>
        </w:tc>
        <w:tc>
          <w:tcPr>
            <w:tcW w:w="2976" w:type="dxa"/>
            <w:vMerge w:val="continue"/>
            <w:vAlign w:val="center"/>
          </w:tcPr>
          <w:p w14:paraId="0B7E451E">
            <w:pPr>
              <w:spacing w:line="300" w:lineRule="exact"/>
              <w:jc w:val="left"/>
              <w:outlineLvl w:val="0"/>
              <w:rPr>
                <w:color w:val="auto"/>
              </w:rPr>
            </w:pPr>
          </w:p>
        </w:tc>
        <w:tc>
          <w:tcPr>
            <w:tcW w:w="2976" w:type="dxa"/>
            <w:vMerge w:val="continue"/>
            <w:vAlign w:val="center"/>
          </w:tcPr>
          <w:p w14:paraId="1A859A17">
            <w:pPr>
              <w:spacing w:line="300" w:lineRule="exact"/>
              <w:jc w:val="left"/>
              <w:outlineLvl w:val="0"/>
              <w:rPr>
                <w:color w:val="auto"/>
              </w:rPr>
            </w:pPr>
          </w:p>
        </w:tc>
        <w:tc>
          <w:tcPr>
            <w:tcW w:w="1417" w:type="dxa"/>
            <w:vMerge w:val="continue"/>
            <w:vAlign w:val="center"/>
          </w:tcPr>
          <w:p w14:paraId="111D7389">
            <w:pPr>
              <w:spacing w:line="300" w:lineRule="exact"/>
              <w:jc w:val="left"/>
              <w:outlineLvl w:val="0"/>
              <w:rPr>
                <w:color w:val="auto"/>
              </w:rPr>
            </w:pPr>
          </w:p>
        </w:tc>
        <w:tc>
          <w:tcPr>
            <w:tcW w:w="737" w:type="dxa"/>
            <w:vAlign w:val="center"/>
          </w:tcPr>
          <w:p w14:paraId="1C567559">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vAlign w:val="center"/>
          </w:tcPr>
          <w:p w14:paraId="2D7FD8DE">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vAlign w:val="center"/>
          </w:tcPr>
          <w:p w14:paraId="55C04854">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vAlign w:val="center"/>
          </w:tcPr>
          <w:p w14:paraId="74BACC18">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3276E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E1C32AA">
            <w:pPr>
              <w:spacing w:line="300" w:lineRule="exact"/>
              <w:jc w:val="left"/>
              <w:rPr>
                <w:rFonts w:ascii="方正书宋_GBK" w:eastAsia="方正书宋_GBK"/>
                <w:b/>
                <w:color w:val="auto"/>
              </w:rPr>
            </w:pPr>
            <w:r>
              <w:rPr>
                <w:rFonts w:hint="eastAsia" w:ascii="方正书宋_GBK" w:eastAsia="方正书宋_GBK"/>
                <w:b/>
                <w:color w:val="auto"/>
              </w:rPr>
              <w:t>一、组织编制经济社会发展规划和计划</w:t>
            </w:r>
          </w:p>
        </w:tc>
        <w:tc>
          <w:tcPr>
            <w:tcW w:w="1276" w:type="dxa"/>
            <w:vAlign w:val="center"/>
          </w:tcPr>
          <w:p w14:paraId="1B397148">
            <w:pPr>
              <w:spacing w:line="300" w:lineRule="exact"/>
              <w:jc w:val="left"/>
              <w:rPr>
                <w:rFonts w:ascii="方正书宋_GBK" w:eastAsia="方正书宋_GBK"/>
                <w:color w:val="auto"/>
              </w:rPr>
            </w:pPr>
            <w:r>
              <w:rPr>
                <w:rFonts w:ascii="方正书宋_GBK" w:eastAsia="方正书宋_GBK"/>
                <w:color w:val="auto"/>
              </w:rPr>
              <w:t>17.00</w:t>
            </w:r>
          </w:p>
        </w:tc>
        <w:tc>
          <w:tcPr>
            <w:tcW w:w="2976" w:type="dxa"/>
            <w:vAlign w:val="center"/>
          </w:tcPr>
          <w:p w14:paraId="10C9C78E">
            <w:pPr>
              <w:spacing w:line="300" w:lineRule="exact"/>
              <w:jc w:val="left"/>
              <w:rPr>
                <w:rFonts w:ascii="方正书宋_GBK" w:eastAsia="方正书宋_GBK"/>
                <w:color w:val="auto"/>
              </w:rPr>
            </w:pPr>
            <w:r>
              <w:rPr>
                <w:rFonts w:hint="eastAsia" w:ascii="方正书宋_GBK" w:eastAsia="方正书宋_GBK"/>
                <w:color w:val="auto"/>
              </w:rPr>
              <w:t>组织拟订全县经济社会发展战略（中长期）规划、年度计划及重点领域、县域经济的规划；参与国民经济和社会发展有关地方性法规、规章的起草和组织实施。</w:t>
            </w:r>
          </w:p>
        </w:tc>
        <w:tc>
          <w:tcPr>
            <w:tcW w:w="2976" w:type="dxa"/>
            <w:vAlign w:val="center"/>
          </w:tcPr>
          <w:p w14:paraId="16999516">
            <w:pPr>
              <w:spacing w:line="300" w:lineRule="exact"/>
              <w:jc w:val="left"/>
              <w:rPr>
                <w:rFonts w:ascii="方正书宋_GBK" w:eastAsia="方正书宋_GBK"/>
                <w:color w:val="auto"/>
              </w:rPr>
            </w:pPr>
            <w:r>
              <w:rPr>
                <w:rFonts w:hint="eastAsia" w:ascii="方正书宋_GBK" w:eastAsia="方正书宋_GBK"/>
                <w:color w:val="auto"/>
              </w:rPr>
              <w:t>增强规划和计划的前瞻性、科学性、可操作性；规划目标全面、先进、可行；组织落实措施得力，调度有序。</w:t>
            </w:r>
          </w:p>
        </w:tc>
        <w:tc>
          <w:tcPr>
            <w:tcW w:w="1417" w:type="dxa"/>
            <w:vAlign w:val="center"/>
          </w:tcPr>
          <w:p w14:paraId="05DE2A7D">
            <w:pPr>
              <w:spacing w:line="300" w:lineRule="exact"/>
              <w:jc w:val="left"/>
              <w:rPr>
                <w:rFonts w:ascii="方正书宋_GBK" w:eastAsia="方正书宋_GBK"/>
                <w:color w:val="auto"/>
              </w:rPr>
            </w:pPr>
          </w:p>
        </w:tc>
        <w:tc>
          <w:tcPr>
            <w:tcW w:w="737" w:type="dxa"/>
            <w:vAlign w:val="center"/>
          </w:tcPr>
          <w:p w14:paraId="53A14AA4">
            <w:pPr>
              <w:spacing w:line="300" w:lineRule="exact"/>
              <w:jc w:val="center"/>
              <w:rPr>
                <w:rFonts w:ascii="方正书宋_GBK" w:eastAsia="方正书宋_GBK"/>
                <w:color w:val="auto"/>
              </w:rPr>
            </w:pPr>
          </w:p>
        </w:tc>
        <w:tc>
          <w:tcPr>
            <w:tcW w:w="737" w:type="dxa"/>
            <w:vAlign w:val="center"/>
          </w:tcPr>
          <w:p w14:paraId="36B9C6E3">
            <w:pPr>
              <w:spacing w:line="300" w:lineRule="exact"/>
              <w:jc w:val="center"/>
              <w:rPr>
                <w:rFonts w:ascii="方正书宋_GBK" w:eastAsia="方正书宋_GBK"/>
                <w:color w:val="auto"/>
              </w:rPr>
            </w:pPr>
          </w:p>
        </w:tc>
        <w:tc>
          <w:tcPr>
            <w:tcW w:w="737" w:type="dxa"/>
            <w:vAlign w:val="center"/>
          </w:tcPr>
          <w:p w14:paraId="18483335">
            <w:pPr>
              <w:spacing w:line="300" w:lineRule="exact"/>
              <w:jc w:val="center"/>
              <w:rPr>
                <w:rFonts w:ascii="方正书宋_GBK" w:eastAsia="方正书宋_GBK"/>
                <w:color w:val="auto"/>
              </w:rPr>
            </w:pPr>
          </w:p>
        </w:tc>
        <w:tc>
          <w:tcPr>
            <w:tcW w:w="737" w:type="dxa"/>
            <w:vAlign w:val="center"/>
          </w:tcPr>
          <w:p w14:paraId="70C81B88">
            <w:pPr>
              <w:spacing w:line="300" w:lineRule="exact"/>
              <w:jc w:val="center"/>
              <w:rPr>
                <w:rFonts w:ascii="方正书宋_GBK" w:eastAsia="方正书宋_GBK"/>
                <w:color w:val="auto"/>
              </w:rPr>
            </w:pPr>
          </w:p>
        </w:tc>
      </w:tr>
      <w:tr w14:paraId="12D15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B0792C5">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、规划、计划及课题编制</w:t>
            </w:r>
          </w:p>
        </w:tc>
        <w:tc>
          <w:tcPr>
            <w:tcW w:w="1276" w:type="dxa"/>
            <w:vMerge w:val="restart"/>
            <w:vAlign w:val="center"/>
          </w:tcPr>
          <w:p w14:paraId="7F8518B8">
            <w:pPr>
              <w:spacing w:line="300" w:lineRule="exact"/>
              <w:jc w:val="left"/>
              <w:rPr>
                <w:rFonts w:ascii="方正书宋_GBK" w:eastAsia="方正书宋_GBK"/>
                <w:color w:val="auto"/>
              </w:rPr>
            </w:pPr>
            <w:r>
              <w:rPr>
                <w:rFonts w:ascii="方正书宋_GBK" w:eastAsia="方正书宋_GBK"/>
                <w:color w:val="auto"/>
              </w:rPr>
              <w:t>17.00</w:t>
            </w:r>
          </w:p>
        </w:tc>
        <w:tc>
          <w:tcPr>
            <w:tcW w:w="2976" w:type="dxa"/>
            <w:vMerge w:val="restart"/>
            <w:vAlign w:val="center"/>
          </w:tcPr>
          <w:p w14:paraId="2CFB7C70">
            <w:pPr>
              <w:spacing w:line="300" w:lineRule="exact"/>
              <w:jc w:val="left"/>
              <w:rPr>
                <w:rFonts w:ascii="方正书宋_GBK" w:eastAsia="方正书宋_GBK"/>
                <w:color w:val="auto"/>
              </w:rPr>
            </w:pPr>
            <w:r>
              <w:rPr>
                <w:rFonts w:hint="eastAsia" w:ascii="方正书宋_GBK" w:eastAsia="方正书宋_GBK"/>
                <w:color w:val="auto"/>
              </w:rPr>
              <w:t>拟定全县经济社会发展中长期规划，对规划执行情况监测预测、中期评估及动态调整，统筹协调县级专项规划和区域规划；研究分析全县经济和社会发展重大战略与布局，拟定全县年度经济社会发展计划，并受县政府委托向县人大作全县国民经济和社会发展计划报告。编制和拟订全县重点领域、重要产业和县域发展等战略规划和计划，研究提出落实措施等建议。</w:t>
            </w:r>
          </w:p>
        </w:tc>
        <w:tc>
          <w:tcPr>
            <w:tcW w:w="2976" w:type="dxa"/>
            <w:vMerge w:val="restart"/>
            <w:vAlign w:val="center"/>
          </w:tcPr>
          <w:p w14:paraId="7F6E8582">
            <w:pPr>
              <w:spacing w:line="300" w:lineRule="exact"/>
              <w:jc w:val="left"/>
              <w:rPr>
                <w:rFonts w:ascii="方正书宋_GBK" w:eastAsia="方正书宋_GBK"/>
                <w:color w:val="auto"/>
              </w:rPr>
            </w:pPr>
            <w:r>
              <w:rPr>
                <w:rFonts w:hint="eastAsia" w:ascii="方正书宋_GBK" w:eastAsia="方正书宋_GBK"/>
                <w:color w:val="auto"/>
              </w:rPr>
              <w:t>规划和计划前瞻性、科学性、可操作性较强；规划目标全面、先进、可行；组织实施有效，及时评估调度，动态调整切实可行。经济社会发展计划切实体现县委、县政府决策目标和部署。确保重点领域和区域经济社会规划与国民经济和社会发展规划、计划的衔接和协调。</w:t>
            </w:r>
          </w:p>
        </w:tc>
        <w:tc>
          <w:tcPr>
            <w:tcW w:w="1417" w:type="dxa"/>
            <w:vAlign w:val="center"/>
          </w:tcPr>
          <w:p w14:paraId="187D8520">
            <w:pPr>
              <w:spacing w:line="300" w:lineRule="exact"/>
              <w:jc w:val="left"/>
              <w:rPr>
                <w:rFonts w:ascii="方正书宋_GBK" w:eastAsia="方正书宋_GBK"/>
                <w:color w:val="auto"/>
              </w:rPr>
            </w:pPr>
            <w:r>
              <w:rPr>
                <w:rFonts w:hint="eastAsia" w:ascii="方正书宋_GBK" w:eastAsia="方正书宋_GBK"/>
                <w:color w:val="auto"/>
              </w:rPr>
              <w:t>县人大代表表决通过率</w:t>
            </w:r>
          </w:p>
        </w:tc>
        <w:tc>
          <w:tcPr>
            <w:tcW w:w="737" w:type="dxa"/>
            <w:vAlign w:val="center"/>
          </w:tcPr>
          <w:p w14:paraId="5275C2C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5466741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1AC0886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50%</w:t>
            </w:r>
          </w:p>
        </w:tc>
        <w:tc>
          <w:tcPr>
            <w:tcW w:w="737" w:type="dxa"/>
            <w:vAlign w:val="center"/>
          </w:tcPr>
          <w:p w14:paraId="12E31AE8">
            <w:pPr>
              <w:spacing w:line="300" w:lineRule="exact"/>
              <w:jc w:val="center"/>
              <w:rPr>
                <w:rFonts w:ascii="方正书宋_GBK" w:eastAsia="方正书宋_GBK"/>
                <w:color w:val="auto"/>
              </w:rPr>
            </w:pPr>
            <w:r>
              <w:rPr>
                <w:rFonts w:ascii="方正书宋_GBK" w:eastAsia="方正书宋_GBK"/>
                <w:color w:val="auto"/>
              </w:rPr>
              <w:t>&lt;50%</w:t>
            </w:r>
          </w:p>
        </w:tc>
      </w:tr>
      <w:tr w14:paraId="368C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B3F647B">
            <w:pPr>
              <w:spacing w:line="300" w:lineRule="exact"/>
              <w:jc w:val="left"/>
              <w:rPr>
                <w:rFonts w:ascii="方正书宋_GBK" w:eastAsia="方正书宋_GBK"/>
                <w:b/>
                <w:color w:val="auto"/>
              </w:rPr>
            </w:pPr>
          </w:p>
        </w:tc>
        <w:tc>
          <w:tcPr>
            <w:tcW w:w="1276" w:type="dxa"/>
            <w:vMerge w:val="continue"/>
            <w:vAlign w:val="center"/>
          </w:tcPr>
          <w:p w14:paraId="3C9CFE9E">
            <w:pPr>
              <w:spacing w:line="300" w:lineRule="exact"/>
              <w:jc w:val="left"/>
              <w:rPr>
                <w:rFonts w:ascii="方正书宋_GBK" w:eastAsia="方正书宋_GBK"/>
                <w:color w:val="auto"/>
              </w:rPr>
            </w:pPr>
          </w:p>
        </w:tc>
        <w:tc>
          <w:tcPr>
            <w:tcW w:w="2976" w:type="dxa"/>
            <w:vMerge w:val="continue"/>
            <w:vAlign w:val="center"/>
          </w:tcPr>
          <w:p w14:paraId="1EBD57E2">
            <w:pPr>
              <w:spacing w:line="300" w:lineRule="exact"/>
              <w:jc w:val="left"/>
              <w:rPr>
                <w:rFonts w:ascii="方正书宋_GBK" w:eastAsia="方正书宋_GBK"/>
                <w:color w:val="auto"/>
              </w:rPr>
            </w:pPr>
          </w:p>
        </w:tc>
        <w:tc>
          <w:tcPr>
            <w:tcW w:w="2976" w:type="dxa"/>
            <w:vMerge w:val="continue"/>
            <w:vAlign w:val="center"/>
          </w:tcPr>
          <w:p w14:paraId="08A721C9">
            <w:pPr>
              <w:spacing w:line="300" w:lineRule="exact"/>
              <w:jc w:val="left"/>
              <w:rPr>
                <w:rFonts w:ascii="方正书宋_GBK" w:eastAsia="方正书宋_GBK"/>
                <w:color w:val="auto"/>
              </w:rPr>
            </w:pPr>
          </w:p>
        </w:tc>
        <w:tc>
          <w:tcPr>
            <w:tcW w:w="1417" w:type="dxa"/>
            <w:vAlign w:val="center"/>
          </w:tcPr>
          <w:p w14:paraId="5E232186">
            <w:pPr>
              <w:spacing w:line="300" w:lineRule="exact"/>
              <w:jc w:val="left"/>
              <w:rPr>
                <w:rFonts w:ascii="方正书宋_GBK" w:eastAsia="方正书宋_GBK"/>
                <w:color w:val="auto"/>
              </w:rPr>
            </w:pPr>
            <w:r>
              <w:rPr>
                <w:rFonts w:hint="eastAsia" w:ascii="方正书宋_GBK" w:eastAsia="方正书宋_GBK"/>
                <w:color w:val="auto"/>
              </w:rPr>
              <w:t>重点领域与区域经济社会规划编制完成率</w:t>
            </w:r>
          </w:p>
        </w:tc>
        <w:tc>
          <w:tcPr>
            <w:tcW w:w="737" w:type="dxa"/>
            <w:vAlign w:val="center"/>
          </w:tcPr>
          <w:p w14:paraId="0A41EF9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1906142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55029BC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F6DC1E9">
            <w:pPr>
              <w:spacing w:line="300" w:lineRule="exact"/>
              <w:jc w:val="center"/>
              <w:rPr>
                <w:rFonts w:ascii="方正书宋_GBK" w:eastAsia="方正书宋_GBK"/>
                <w:color w:val="auto"/>
              </w:rPr>
            </w:pPr>
            <w:r>
              <w:rPr>
                <w:rFonts w:ascii="方正书宋_GBK" w:eastAsia="方正书宋_GBK"/>
                <w:color w:val="auto"/>
              </w:rPr>
              <w:t>&lt;90%</w:t>
            </w:r>
          </w:p>
        </w:tc>
      </w:tr>
      <w:tr w14:paraId="2D2FB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BAA5932">
            <w:pPr>
              <w:spacing w:line="300" w:lineRule="exact"/>
              <w:jc w:val="left"/>
              <w:rPr>
                <w:rFonts w:ascii="方正书宋_GBK" w:eastAsia="方正书宋_GBK"/>
                <w:b/>
                <w:color w:val="auto"/>
              </w:rPr>
            </w:pPr>
          </w:p>
        </w:tc>
        <w:tc>
          <w:tcPr>
            <w:tcW w:w="1276" w:type="dxa"/>
            <w:vMerge w:val="continue"/>
            <w:vAlign w:val="center"/>
          </w:tcPr>
          <w:p w14:paraId="5C077209">
            <w:pPr>
              <w:spacing w:line="300" w:lineRule="exact"/>
              <w:jc w:val="left"/>
              <w:rPr>
                <w:rFonts w:ascii="方正书宋_GBK" w:eastAsia="方正书宋_GBK"/>
                <w:color w:val="auto"/>
              </w:rPr>
            </w:pPr>
          </w:p>
        </w:tc>
        <w:tc>
          <w:tcPr>
            <w:tcW w:w="2976" w:type="dxa"/>
            <w:vMerge w:val="continue"/>
            <w:vAlign w:val="center"/>
          </w:tcPr>
          <w:p w14:paraId="3A98F07F">
            <w:pPr>
              <w:spacing w:line="300" w:lineRule="exact"/>
              <w:jc w:val="left"/>
              <w:rPr>
                <w:rFonts w:ascii="方正书宋_GBK" w:eastAsia="方正书宋_GBK"/>
                <w:color w:val="auto"/>
              </w:rPr>
            </w:pPr>
          </w:p>
        </w:tc>
        <w:tc>
          <w:tcPr>
            <w:tcW w:w="2976" w:type="dxa"/>
            <w:vMerge w:val="continue"/>
            <w:vAlign w:val="center"/>
          </w:tcPr>
          <w:p w14:paraId="768F26B4">
            <w:pPr>
              <w:spacing w:line="300" w:lineRule="exact"/>
              <w:jc w:val="left"/>
              <w:rPr>
                <w:rFonts w:ascii="方正书宋_GBK" w:eastAsia="方正书宋_GBK"/>
                <w:color w:val="auto"/>
              </w:rPr>
            </w:pPr>
          </w:p>
        </w:tc>
        <w:tc>
          <w:tcPr>
            <w:tcW w:w="1417" w:type="dxa"/>
            <w:vAlign w:val="center"/>
          </w:tcPr>
          <w:p w14:paraId="76AC6284">
            <w:pPr>
              <w:spacing w:line="300" w:lineRule="exact"/>
              <w:jc w:val="left"/>
              <w:rPr>
                <w:rFonts w:ascii="方正书宋_GBK" w:eastAsia="方正书宋_GBK"/>
                <w:color w:val="auto"/>
              </w:rPr>
            </w:pPr>
            <w:r>
              <w:rPr>
                <w:rFonts w:hint="eastAsia" w:ascii="方正书宋_GBK" w:eastAsia="方正书宋_GBK"/>
                <w:color w:val="auto"/>
              </w:rPr>
              <w:t>各类经济社会发展中长期规划编制完成率</w:t>
            </w:r>
          </w:p>
        </w:tc>
        <w:tc>
          <w:tcPr>
            <w:tcW w:w="737" w:type="dxa"/>
            <w:vAlign w:val="center"/>
          </w:tcPr>
          <w:p w14:paraId="78F5D53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20B7B94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82A3C1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AAFED26">
            <w:pPr>
              <w:spacing w:line="300" w:lineRule="exact"/>
              <w:jc w:val="center"/>
              <w:rPr>
                <w:rFonts w:ascii="方正书宋_GBK" w:eastAsia="方正书宋_GBK"/>
                <w:color w:val="auto"/>
              </w:rPr>
            </w:pPr>
            <w:r>
              <w:rPr>
                <w:rFonts w:ascii="方正书宋_GBK" w:eastAsia="方正书宋_GBK"/>
                <w:color w:val="auto"/>
              </w:rPr>
              <w:t>&lt;90%</w:t>
            </w:r>
          </w:p>
        </w:tc>
      </w:tr>
      <w:tr w14:paraId="4168C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7AE5F3F">
            <w:pPr>
              <w:spacing w:line="300" w:lineRule="exact"/>
              <w:jc w:val="left"/>
              <w:rPr>
                <w:rFonts w:ascii="方正书宋_GBK" w:eastAsia="方正书宋_GBK"/>
                <w:b/>
                <w:color w:val="auto"/>
              </w:rPr>
            </w:pPr>
            <w:r>
              <w:rPr>
                <w:rFonts w:hint="eastAsia" w:ascii="方正书宋_GBK" w:eastAsia="方正书宋_GBK"/>
                <w:b/>
                <w:color w:val="auto"/>
              </w:rPr>
              <w:t>二、推进全县改革开放和经济技术合作</w:t>
            </w:r>
          </w:p>
        </w:tc>
        <w:tc>
          <w:tcPr>
            <w:tcW w:w="1276" w:type="dxa"/>
            <w:vAlign w:val="center"/>
          </w:tcPr>
          <w:p w14:paraId="065082DC">
            <w:pPr>
              <w:spacing w:line="300" w:lineRule="exact"/>
              <w:jc w:val="left"/>
              <w:rPr>
                <w:rFonts w:ascii="方正书宋_GBK" w:eastAsia="方正书宋_GBK"/>
                <w:color w:val="auto"/>
              </w:rPr>
            </w:pPr>
            <w:r>
              <w:rPr>
                <w:rFonts w:ascii="方正书宋_GBK" w:eastAsia="方正书宋_GBK"/>
                <w:color w:val="auto"/>
              </w:rPr>
              <w:t>7.00</w:t>
            </w:r>
          </w:p>
        </w:tc>
        <w:tc>
          <w:tcPr>
            <w:tcW w:w="2976" w:type="dxa"/>
            <w:vAlign w:val="center"/>
          </w:tcPr>
          <w:p w14:paraId="67D8CE1D">
            <w:pPr>
              <w:spacing w:line="300" w:lineRule="exact"/>
              <w:jc w:val="left"/>
              <w:rPr>
                <w:rFonts w:ascii="方正书宋_GBK" w:eastAsia="方正书宋_GBK"/>
                <w:color w:val="auto"/>
              </w:rPr>
            </w:pPr>
            <w:r>
              <w:rPr>
                <w:rFonts w:hint="eastAsia" w:ascii="方正书宋_GBK" w:eastAsia="方正书宋_GBK"/>
                <w:color w:val="auto"/>
              </w:rPr>
              <w:t>推进经济体制改革，实施经济体制改革、对外开放有关地方性法规，以及对相关规章的起草和实施。</w:t>
            </w:r>
          </w:p>
        </w:tc>
        <w:tc>
          <w:tcPr>
            <w:tcW w:w="2976" w:type="dxa"/>
            <w:vAlign w:val="center"/>
          </w:tcPr>
          <w:p w14:paraId="78FB6498">
            <w:pPr>
              <w:spacing w:line="300" w:lineRule="exact"/>
              <w:jc w:val="left"/>
              <w:rPr>
                <w:rFonts w:ascii="方正书宋_GBK" w:eastAsia="方正书宋_GBK"/>
                <w:color w:val="auto"/>
              </w:rPr>
            </w:pPr>
            <w:r>
              <w:rPr>
                <w:rFonts w:hint="eastAsia" w:ascii="方正书宋_GBK" w:eastAsia="方正书宋_GBK"/>
                <w:color w:val="auto"/>
              </w:rPr>
              <w:t>推进经济体制改革，实施经济体制改革、对外开放有关地方性法规，以及对相关规章的起草和实施。</w:t>
            </w:r>
          </w:p>
        </w:tc>
        <w:tc>
          <w:tcPr>
            <w:tcW w:w="1417" w:type="dxa"/>
            <w:vAlign w:val="center"/>
          </w:tcPr>
          <w:p w14:paraId="50F358A2">
            <w:pPr>
              <w:spacing w:line="300" w:lineRule="exact"/>
              <w:jc w:val="left"/>
              <w:rPr>
                <w:rFonts w:ascii="方正书宋_GBK" w:eastAsia="方正书宋_GBK"/>
                <w:color w:val="auto"/>
              </w:rPr>
            </w:pPr>
          </w:p>
        </w:tc>
        <w:tc>
          <w:tcPr>
            <w:tcW w:w="737" w:type="dxa"/>
            <w:vAlign w:val="center"/>
          </w:tcPr>
          <w:p w14:paraId="7C6BC11E">
            <w:pPr>
              <w:spacing w:line="300" w:lineRule="exact"/>
              <w:jc w:val="center"/>
              <w:rPr>
                <w:rFonts w:ascii="方正书宋_GBK" w:eastAsia="方正书宋_GBK"/>
                <w:color w:val="auto"/>
              </w:rPr>
            </w:pPr>
          </w:p>
        </w:tc>
        <w:tc>
          <w:tcPr>
            <w:tcW w:w="737" w:type="dxa"/>
            <w:vAlign w:val="center"/>
          </w:tcPr>
          <w:p w14:paraId="47672BCB">
            <w:pPr>
              <w:spacing w:line="300" w:lineRule="exact"/>
              <w:jc w:val="center"/>
              <w:rPr>
                <w:rFonts w:ascii="方正书宋_GBK" w:eastAsia="方正书宋_GBK"/>
                <w:color w:val="auto"/>
              </w:rPr>
            </w:pPr>
          </w:p>
        </w:tc>
        <w:tc>
          <w:tcPr>
            <w:tcW w:w="737" w:type="dxa"/>
            <w:vAlign w:val="center"/>
          </w:tcPr>
          <w:p w14:paraId="21458760">
            <w:pPr>
              <w:spacing w:line="300" w:lineRule="exact"/>
              <w:jc w:val="center"/>
              <w:rPr>
                <w:rFonts w:ascii="方正书宋_GBK" w:eastAsia="方正书宋_GBK"/>
                <w:color w:val="auto"/>
              </w:rPr>
            </w:pPr>
          </w:p>
        </w:tc>
        <w:tc>
          <w:tcPr>
            <w:tcW w:w="737" w:type="dxa"/>
            <w:vAlign w:val="center"/>
          </w:tcPr>
          <w:p w14:paraId="09809247">
            <w:pPr>
              <w:spacing w:line="300" w:lineRule="exact"/>
              <w:jc w:val="center"/>
              <w:rPr>
                <w:rFonts w:ascii="方正书宋_GBK" w:eastAsia="方正书宋_GBK"/>
                <w:color w:val="auto"/>
              </w:rPr>
            </w:pPr>
          </w:p>
        </w:tc>
      </w:tr>
      <w:tr w14:paraId="78384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F06BA7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、推进体制改革、社会公共服务均等化</w:t>
            </w:r>
          </w:p>
        </w:tc>
        <w:tc>
          <w:tcPr>
            <w:tcW w:w="1276" w:type="dxa"/>
            <w:vMerge w:val="restart"/>
            <w:vAlign w:val="center"/>
          </w:tcPr>
          <w:p w14:paraId="5BA1311A">
            <w:pPr>
              <w:spacing w:line="300" w:lineRule="exact"/>
              <w:jc w:val="left"/>
              <w:rPr>
                <w:rFonts w:ascii="方正书宋_GBK" w:eastAsia="方正书宋_GBK"/>
                <w:color w:val="auto"/>
              </w:rPr>
            </w:pPr>
          </w:p>
        </w:tc>
        <w:tc>
          <w:tcPr>
            <w:tcW w:w="2976" w:type="dxa"/>
            <w:vMerge w:val="restart"/>
            <w:vAlign w:val="center"/>
          </w:tcPr>
          <w:p w14:paraId="2CA5E76E">
            <w:pPr>
              <w:spacing w:line="300" w:lineRule="exact"/>
              <w:jc w:val="left"/>
              <w:rPr>
                <w:rFonts w:ascii="方正书宋_GBK" w:eastAsia="方正书宋_GBK"/>
                <w:color w:val="auto"/>
              </w:rPr>
            </w:pPr>
            <w:r>
              <w:rPr>
                <w:rFonts w:hint="eastAsia" w:ascii="方正书宋_GBK" w:eastAsia="方正书宋_GBK"/>
                <w:color w:val="auto"/>
              </w:rPr>
              <w:t>实施综合性改革方案，组织实施重要改革事项，统筹推动全县综合配套改革试点和专项改革试点。统筹全县重大公共服务资源布局和相关项目的计划实施，促进公共服务资源有效整合和协调配置。推进全县信用体系建设。</w:t>
            </w:r>
          </w:p>
        </w:tc>
        <w:tc>
          <w:tcPr>
            <w:tcW w:w="2976" w:type="dxa"/>
            <w:vMerge w:val="restart"/>
            <w:vAlign w:val="center"/>
          </w:tcPr>
          <w:p w14:paraId="7AF7C7D8">
            <w:pPr>
              <w:spacing w:line="300" w:lineRule="exact"/>
              <w:jc w:val="left"/>
              <w:rPr>
                <w:rFonts w:ascii="方正书宋_GBK" w:eastAsia="方正书宋_GBK"/>
                <w:color w:val="auto"/>
              </w:rPr>
            </w:pPr>
            <w:r>
              <w:rPr>
                <w:rFonts w:hint="eastAsia" w:ascii="方正书宋_GBK" w:eastAsia="方正书宋_GBK"/>
                <w:color w:val="auto"/>
              </w:rPr>
              <w:t>力争重点领域和关键环节改革取得积极进展；促进全县城镇居民人均可支配收入增长和新增就业目标的实现。协调推进文化、教育、体育、卫生、养老、社会救助等基本公共服务体系建设，促进全县社会公共服务均等化。推进全县统一的信用信息数据库和共享、公示平台。</w:t>
            </w:r>
          </w:p>
        </w:tc>
        <w:tc>
          <w:tcPr>
            <w:tcW w:w="1417" w:type="dxa"/>
            <w:vAlign w:val="center"/>
          </w:tcPr>
          <w:p w14:paraId="0EC83195">
            <w:pPr>
              <w:spacing w:line="300" w:lineRule="exact"/>
              <w:jc w:val="left"/>
              <w:rPr>
                <w:rFonts w:ascii="方正书宋_GBK" w:eastAsia="方正书宋_GBK"/>
                <w:color w:val="auto"/>
              </w:rPr>
            </w:pPr>
            <w:r>
              <w:rPr>
                <w:rFonts w:hint="eastAsia" w:ascii="方正书宋_GBK" w:eastAsia="方正书宋_GBK"/>
                <w:color w:val="auto"/>
              </w:rPr>
              <w:t>全县城乡居民可支配收入增长率</w:t>
            </w:r>
          </w:p>
        </w:tc>
        <w:tc>
          <w:tcPr>
            <w:tcW w:w="737" w:type="dxa"/>
            <w:vAlign w:val="center"/>
          </w:tcPr>
          <w:p w14:paraId="304D6D69">
            <w:pPr>
              <w:spacing w:line="300" w:lineRule="exact"/>
              <w:jc w:val="center"/>
              <w:rPr>
                <w:rFonts w:ascii="方正书宋_GBK" w:eastAsia="方正书宋_GBK"/>
                <w:color w:val="auto"/>
              </w:rPr>
            </w:pPr>
          </w:p>
        </w:tc>
        <w:tc>
          <w:tcPr>
            <w:tcW w:w="737" w:type="dxa"/>
            <w:vAlign w:val="center"/>
          </w:tcPr>
          <w:p w14:paraId="5E75A1CF">
            <w:pPr>
              <w:spacing w:line="300" w:lineRule="exact"/>
              <w:jc w:val="center"/>
              <w:rPr>
                <w:rFonts w:ascii="方正书宋_GBK" w:eastAsia="方正书宋_GBK"/>
                <w:color w:val="auto"/>
              </w:rPr>
            </w:pPr>
          </w:p>
        </w:tc>
        <w:tc>
          <w:tcPr>
            <w:tcW w:w="737" w:type="dxa"/>
            <w:vAlign w:val="center"/>
          </w:tcPr>
          <w:p w14:paraId="13BB1EBB">
            <w:pPr>
              <w:spacing w:line="300" w:lineRule="exact"/>
              <w:jc w:val="center"/>
              <w:rPr>
                <w:rFonts w:ascii="方正书宋_GBK" w:eastAsia="方正书宋_GBK"/>
                <w:color w:val="auto"/>
              </w:rPr>
            </w:pPr>
          </w:p>
        </w:tc>
        <w:tc>
          <w:tcPr>
            <w:tcW w:w="737" w:type="dxa"/>
            <w:vAlign w:val="center"/>
          </w:tcPr>
          <w:p w14:paraId="61A23EDA">
            <w:pPr>
              <w:spacing w:line="300" w:lineRule="exact"/>
              <w:jc w:val="center"/>
              <w:rPr>
                <w:rFonts w:ascii="方正书宋_GBK" w:eastAsia="方正书宋_GBK"/>
                <w:color w:val="auto"/>
              </w:rPr>
            </w:pPr>
          </w:p>
        </w:tc>
      </w:tr>
      <w:tr w14:paraId="38659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CBDB5E0">
            <w:pPr>
              <w:spacing w:line="300" w:lineRule="exact"/>
              <w:jc w:val="left"/>
              <w:rPr>
                <w:rFonts w:ascii="方正书宋_GBK" w:eastAsia="方正书宋_GBK"/>
                <w:b/>
                <w:color w:val="auto"/>
              </w:rPr>
            </w:pPr>
          </w:p>
        </w:tc>
        <w:tc>
          <w:tcPr>
            <w:tcW w:w="1276" w:type="dxa"/>
            <w:vMerge w:val="continue"/>
            <w:vAlign w:val="center"/>
          </w:tcPr>
          <w:p w14:paraId="6155FA74">
            <w:pPr>
              <w:spacing w:line="300" w:lineRule="exact"/>
              <w:jc w:val="left"/>
              <w:rPr>
                <w:rFonts w:ascii="方正书宋_GBK" w:eastAsia="方正书宋_GBK"/>
                <w:color w:val="auto"/>
              </w:rPr>
            </w:pPr>
          </w:p>
        </w:tc>
        <w:tc>
          <w:tcPr>
            <w:tcW w:w="2976" w:type="dxa"/>
            <w:vMerge w:val="continue"/>
            <w:vAlign w:val="center"/>
          </w:tcPr>
          <w:p w14:paraId="09356161">
            <w:pPr>
              <w:spacing w:line="300" w:lineRule="exact"/>
              <w:jc w:val="left"/>
              <w:rPr>
                <w:rFonts w:ascii="方正书宋_GBK" w:eastAsia="方正书宋_GBK"/>
                <w:color w:val="auto"/>
              </w:rPr>
            </w:pPr>
          </w:p>
        </w:tc>
        <w:tc>
          <w:tcPr>
            <w:tcW w:w="2976" w:type="dxa"/>
            <w:vMerge w:val="continue"/>
            <w:vAlign w:val="center"/>
          </w:tcPr>
          <w:p w14:paraId="1C5C9D06">
            <w:pPr>
              <w:spacing w:line="300" w:lineRule="exact"/>
              <w:jc w:val="left"/>
              <w:rPr>
                <w:rFonts w:ascii="方正书宋_GBK" w:eastAsia="方正书宋_GBK"/>
                <w:color w:val="auto"/>
              </w:rPr>
            </w:pPr>
          </w:p>
        </w:tc>
        <w:tc>
          <w:tcPr>
            <w:tcW w:w="1417" w:type="dxa"/>
            <w:vAlign w:val="center"/>
          </w:tcPr>
          <w:p w14:paraId="1A0EBD3A">
            <w:pPr>
              <w:spacing w:line="300" w:lineRule="exact"/>
              <w:jc w:val="left"/>
              <w:rPr>
                <w:rFonts w:ascii="方正书宋_GBK" w:eastAsia="方正书宋_GBK"/>
                <w:color w:val="auto"/>
              </w:rPr>
            </w:pPr>
            <w:r>
              <w:rPr>
                <w:rFonts w:hint="eastAsia" w:ascii="方正书宋_GBK" w:eastAsia="方正书宋_GBK"/>
                <w:color w:val="auto"/>
              </w:rPr>
              <w:t>推进全县社会信用体系建设</w:t>
            </w:r>
          </w:p>
        </w:tc>
        <w:tc>
          <w:tcPr>
            <w:tcW w:w="737" w:type="dxa"/>
            <w:vAlign w:val="center"/>
          </w:tcPr>
          <w:p w14:paraId="1CB3F7E7">
            <w:pPr>
              <w:spacing w:line="300" w:lineRule="exact"/>
              <w:jc w:val="center"/>
              <w:rPr>
                <w:rFonts w:ascii="方正书宋_GBK" w:eastAsia="方正书宋_GBK"/>
                <w:color w:val="auto"/>
              </w:rPr>
            </w:pPr>
            <w:r>
              <w:rPr>
                <w:rFonts w:hint="eastAsia" w:ascii="方正书宋_GBK" w:eastAsia="方正书宋_GBK"/>
                <w:color w:val="auto"/>
              </w:rPr>
              <w:t>完成指标</w:t>
            </w:r>
          </w:p>
        </w:tc>
        <w:tc>
          <w:tcPr>
            <w:tcW w:w="737" w:type="dxa"/>
            <w:vAlign w:val="center"/>
          </w:tcPr>
          <w:p w14:paraId="0902E133">
            <w:pPr>
              <w:spacing w:line="300" w:lineRule="exact"/>
              <w:jc w:val="center"/>
              <w:rPr>
                <w:rFonts w:ascii="方正书宋_GBK" w:eastAsia="方正书宋_GBK"/>
                <w:color w:val="auto"/>
              </w:rPr>
            </w:pPr>
            <w:r>
              <w:rPr>
                <w:rFonts w:hint="eastAsia" w:ascii="方正书宋_GBK" w:eastAsia="方正书宋_GBK"/>
                <w:color w:val="auto"/>
              </w:rPr>
              <w:t>较好完成指标</w:t>
            </w:r>
          </w:p>
        </w:tc>
        <w:tc>
          <w:tcPr>
            <w:tcW w:w="737" w:type="dxa"/>
            <w:vAlign w:val="center"/>
          </w:tcPr>
          <w:p w14:paraId="3411EFED">
            <w:pPr>
              <w:spacing w:line="300" w:lineRule="exact"/>
              <w:jc w:val="center"/>
              <w:rPr>
                <w:rFonts w:ascii="方正书宋_GBK" w:eastAsia="方正书宋_GBK"/>
                <w:color w:val="auto"/>
              </w:rPr>
            </w:pPr>
            <w:r>
              <w:rPr>
                <w:rFonts w:hint="eastAsia" w:ascii="方正书宋_GBK" w:eastAsia="方正书宋_GBK"/>
                <w:color w:val="auto"/>
              </w:rPr>
              <w:t>基本完成指标</w:t>
            </w:r>
          </w:p>
        </w:tc>
        <w:tc>
          <w:tcPr>
            <w:tcW w:w="737" w:type="dxa"/>
            <w:vAlign w:val="center"/>
          </w:tcPr>
          <w:p w14:paraId="280106A9">
            <w:pPr>
              <w:spacing w:line="300" w:lineRule="exact"/>
              <w:jc w:val="center"/>
              <w:rPr>
                <w:rFonts w:ascii="方正书宋_GBK" w:eastAsia="方正书宋_GBK"/>
                <w:color w:val="auto"/>
              </w:rPr>
            </w:pPr>
            <w:r>
              <w:rPr>
                <w:rFonts w:hint="eastAsia" w:ascii="方正书宋_GBK" w:eastAsia="方正书宋_GBK"/>
                <w:color w:val="auto"/>
              </w:rPr>
              <w:t>较差完成指标</w:t>
            </w:r>
          </w:p>
        </w:tc>
      </w:tr>
      <w:tr w14:paraId="459FC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18354E1">
            <w:pPr>
              <w:spacing w:line="300" w:lineRule="exact"/>
              <w:jc w:val="left"/>
              <w:rPr>
                <w:rFonts w:ascii="方正书宋_GBK" w:eastAsia="方正书宋_GBK"/>
                <w:b/>
                <w:color w:val="auto"/>
              </w:rPr>
            </w:pPr>
          </w:p>
        </w:tc>
        <w:tc>
          <w:tcPr>
            <w:tcW w:w="1276" w:type="dxa"/>
            <w:vMerge w:val="continue"/>
            <w:vAlign w:val="center"/>
          </w:tcPr>
          <w:p w14:paraId="73BD9D3B">
            <w:pPr>
              <w:spacing w:line="300" w:lineRule="exact"/>
              <w:jc w:val="left"/>
              <w:rPr>
                <w:rFonts w:ascii="方正书宋_GBK" w:eastAsia="方正书宋_GBK"/>
                <w:color w:val="auto"/>
              </w:rPr>
            </w:pPr>
          </w:p>
        </w:tc>
        <w:tc>
          <w:tcPr>
            <w:tcW w:w="2976" w:type="dxa"/>
            <w:vMerge w:val="continue"/>
            <w:vAlign w:val="center"/>
          </w:tcPr>
          <w:p w14:paraId="12226AF6">
            <w:pPr>
              <w:spacing w:line="300" w:lineRule="exact"/>
              <w:jc w:val="left"/>
              <w:rPr>
                <w:rFonts w:ascii="方正书宋_GBK" w:eastAsia="方正书宋_GBK"/>
                <w:color w:val="auto"/>
              </w:rPr>
            </w:pPr>
          </w:p>
        </w:tc>
        <w:tc>
          <w:tcPr>
            <w:tcW w:w="2976" w:type="dxa"/>
            <w:vMerge w:val="continue"/>
            <w:vAlign w:val="center"/>
          </w:tcPr>
          <w:p w14:paraId="570B8828">
            <w:pPr>
              <w:spacing w:line="300" w:lineRule="exact"/>
              <w:jc w:val="left"/>
              <w:rPr>
                <w:rFonts w:ascii="方正书宋_GBK" w:eastAsia="方正书宋_GBK"/>
                <w:color w:val="auto"/>
              </w:rPr>
            </w:pPr>
          </w:p>
        </w:tc>
        <w:tc>
          <w:tcPr>
            <w:tcW w:w="1417" w:type="dxa"/>
            <w:vAlign w:val="center"/>
          </w:tcPr>
          <w:p w14:paraId="49526318">
            <w:pPr>
              <w:spacing w:line="300" w:lineRule="exact"/>
              <w:jc w:val="left"/>
              <w:rPr>
                <w:rFonts w:ascii="方正书宋_GBK" w:eastAsia="方正书宋_GBK"/>
                <w:color w:val="auto"/>
              </w:rPr>
            </w:pPr>
            <w:r>
              <w:rPr>
                <w:rFonts w:hint="eastAsia" w:ascii="方正书宋_GBK" w:eastAsia="方正书宋_GBK"/>
                <w:color w:val="auto"/>
              </w:rPr>
              <w:t>公共服务均等化评估结果</w:t>
            </w:r>
          </w:p>
        </w:tc>
        <w:tc>
          <w:tcPr>
            <w:tcW w:w="737" w:type="dxa"/>
            <w:vAlign w:val="center"/>
          </w:tcPr>
          <w:p w14:paraId="16053BCA">
            <w:pPr>
              <w:spacing w:line="300" w:lineRule="exact"/>
              <w:jc w:val="center"/>
              <w:rPr>
                <w:rFonts w:ascii="方正书宋_GBK" w:eastAsia="方正书宋_GBK"/>
                <w:color w:val="auto"/>
              </w:rPr>
            </w:pPr>
            <w:r>
              <w:rPr>
                <w:rFonts w:hint="eastAsia" w:ascii="方正书宋_GBK" w:eastAsia="方正书宋_GBK"/>
                <w:color w:val="auto"/>
              </w:rPr>
              <w:t>实现规划目标</w:t>
            </w:r>
          </w:p>
        </w:tc>
        <w:tc>
          <w:tcPr>
            <w:tcW w:w="737" w:type="dxa"/>
            <w:vAlign w:val="center"/>
          </w:tcPr>
          <w:p w14:paraId="33693D21">
            <w:pPr>
              <w:spacing w:line="300" w:lineRule="exact"/>
              <w:jc w:val="center"/>
              <w:rPr>
                <w:rFonts w:ascii="方正书宋_GBK" w:eastAsia="方正书宋_GBK"/>
                <w:color w:val="auto"/>
              </w:rPr>
            </w:pPr>
            <w:r>
              <w:rPr>
                <w:rFonts w:hint="eastAsia" w:ascii="方正书宋_GBK" w:eastAsia="方正书宋_GBK"/>
                <w:color w:val="auto"/>
              </w:rPr>
              <w:t>较好完成规划目标</w:t>
            </w:r>
          </w:p>
        </w:tc>
        <w:tc>
          <w:tcPr>
            <w:tcW w:w="737" w:type="dxa"/>
            <w:vAlign w:val="center"/>
          </w:tcPr>
          <w:p w14:paraId="6AB0FF98">
            <w:pPr>
              <w:spacing w:line="300" w:lineRule="exact"/>
              <w:jc w:val="center"/>
              <w:rPr>
                <w:rFonts w:ascii="方正书宋_GBK" w:eastAsia="方正书宋_GBK"/>
                <w:color w:val="auto"/>
              </w:rPr>
            </w:pPr>
            <w:r>
              <w:rPr>
                <w:rFonts w:hint="eastAsia" w:ascii="方正书宋_GBK" w:eastAsia="方正书宋_GBK"/>
                <w:color w:val="auto"/>
              </w:rPr>
              <w:t>基本完成规划目标</w:t>
            </w:r>
          </w:p>
        </w:tc>
        <w:tc>
          <w:tcPr>
            <w:tcW w:w="737" w:type="dxa"/>
            <w:vAlign w:val="center"/>
          </w:tcPr>
          <w:p w14:paraId="1B6C7908">
            <w:pPr>
              <w:spacing w:line="300" w:lineRule="exact"/>
              <w:jc w:val="center"/>
              <w:rPr>
                <w:rFonts w:ascii="方正书宋_GBK" w:eastAsia="方正书宋_GBK"/>
                <w:color w:val="auto"/>
              </w:rPr>
            </w:pPr>
            <w:r>
              <w:rPr>
                <w:rFonts w:hint="eastAsia" w:ascii="方正书宋_GBK" w:eastAsia="方正书宋_GBK"/>
                <w:color w:val="auto"/>
              </w:rPr>
              <w:t>未制订</w:t>
            </w:r>
          </w:p>
        </w:tc>
      </w:tr>
      <w:tr w14:paraId="7B76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6C0863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、内、外资管理</w:t>
            </w:r>
          </w:p>
        </w:tc>
        <w:tc>
          <w:tcPr>
            <w:tcW w:w="1276" w:type="dxa"/>
            <w:vMerge w:val="restart"/>
            <w:vAlign w:val="center"/>
          </w:tcPr>
          <w:p w14:paraId="5BF64161">
            <w:pPr>
              <w:spacing w:line="300" w:lineRule="exact"/>
              <w:jc w:val="left"/>
              <w:rPr>
                <w:rFonts w:ascii="方正书宋_GBK" w:eastAsia="方正书宋_GBK"/>
                <w:color w:val="auto"/>
              </w:rPr>
            </w:pPr>
            <w:r>
              <w:rPr>
                <w:rFonts w:ascii="方正书宋_GBK" w:eastAsia="方正书宋_GBK"/>
                <w:color w:val="auto"/>
              </w:rPr>
              <w:t>7.00</w:t>
            </w:r>
          </w:p>
        </w:tc>
        <w:tc>
          <w:tcPr>
            <w:tcW w:w="2976" w:type="dxa"/>
            <w:vMerge w:val="restart"/>
            <w:vAlign w:val="center"/>
          </w:tcPr>
          <w:p w14:paraId="020C27B4">
            <w:pPr>
              <w:spacing w:line="300" w:lineRule="exact"/>
              <w:jc w:val="left"/>
              <w:rPr>
                <w:rFonts w:ascii="方正书宋_GBK" w:eastAsia="方正书宋_GBK"/>
                <w:color w:val="auto"/>
              </w:rPr>
            </w:pPr>
            <w:r>
              <w:rPr>
                <w:rFonts w:hint="eastAsia" w:ascii="方正书宋_GBK" w:eastAsia="方正书宋_GBK"/>
                <w:color w:val="auto"/>
              </w:rPr>
              <w:t>推进全县利用外资和境外投资工作；组织开展全县对外经贸洽谈和招商活动，组织项目谋划发布、洽谈等活动。组织开展全县经济技术交流合作，组织谋划县际合作项目的考察、论证、对接、落实和实施；组织与交流合作方和县内各方面沟通对接。</w:t>
            </w:r>
          </w:p>
        </w:tc>
        <w:tc>
          <w:tcPr>
            <w:tcW w:w="2976" w:type="dxa"/>
            <w:vMerge w:val="restart"/>
            <w:vAlign w:val="center"/>
          </w:tcPr>
          <w:p w14:paraId="78D2AE97">
            <w:pPr>
              <w:spacing w:line="300" w:lineRule="exact"/>
              <w:jc w:val="left"/>
              <w:rPr>
                <w:rFonts w:ascii="方正书宋_GBK" w:eastAsia="方正书宋_GBK"/>
                <w:color w:val="auto"/>
              </w:rPr>
            </w:pPr>
            <w:r>
              <w:rPr>
                <w:rFonts w:hint="eastAsia" w:ascii="方正书宋_GBK" w:eastAsia="方正书宋_GBK"/>
                <w:color w:val="auto"/>
              </w:rPr>
              <w:t>稳步提高全县利用外资、境外投资规模和水平。</w:t>
            </w:r>
          </w:p>
        </w:tc>
        <w:tc>
          <w:tcPr>
            <w:tcW w:w="1417" w:type="dxa"/>
            <w:vAlign w:val="center"/>
          </w:tcPr>
          <w:p w14:paraId="0539F18D">
            <w:pPr>
              <w:spacing w:line="300" w:lineRule="exact"/>
              <w:jc w:val="left"/>
              <w:rPr>
                <w:rFonts w:ascii="方正书宋_GBK" w:eastAsia="方正书宋_GBK"/>
                <w:color w:val="auto"/>
              </w:rPr>
            </w:pPr>
            <w:r>
              <w:rPr>
                <w:rFonts w:hint="eastAsia" w:ascii="方正书宋_GBK" w:eastAsia="方正书宋_GBK"/>
                <w:color w:val="auto"/>
              </w:rPr>
              <w:t>引进县外资金数量增长率</w:t>
            </w:r>
          </w:p>
        </w:tc>
        <w:tc>
          <w:tcPr>
            <w:tcW w:w="737" w:type="dxa"/>
            <w:vAlign w:val="center"/>
          </w:tcPr>
          <w:p w14:paraId="4588BBF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vAlign w:val="center"/>
          </w:tcPr>
          <w:p w14:paraId="1FC8BF2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vAlign w:val="center"/>
          </w:tcPr>
          <w:p w14:paraId="0799B82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2A1BA998">
            <w:pPr>
              <w:spacing w:line="300" w:lineRule="exact"/>
              <w:jc w:val="center"/>
              <w:rPr>
                <w:rFonts w:ascii="方正书宋_GBK" w:eastAsia="方正书宋_GBK"/>
                <w:color w:val="auto"/>
              </w:rPr>
            </w:pPr>
            <w:r>
              <w:rPr>
                <w:rFonts w:ascii="方正书宋_GBK" w:eastAsia="方正书宋_GBK"/>
                <w:color w:val="auto"/>
              </w:rPr>
              <w:t>&lt;5%</w:t>
            </w:r>
          </w:p>
        </w:tc>
      </w:tr>
      <w:tr w14:paraId="519B2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34769BA">
            <w:pPr>
              <w:spacing w:line="300" w:lineRule="exact"/>
              <w:jc w:val="left"/>
              <w:rPr>
                <w:rFonts w:ascii="方正书宋_GBK" w:eastAsia="方正书宋_GBK"/>
                <w:b/>
                <w:color w:val="auto"/>
              </w:rPr>
            </w:pPr>
          </w:p>
        </w:tc>
        <w:tc>
          <w:tcPr>
            <w:tcW w:w="1276" w:type="dxa"/>
            <w:vMerge w:val="continue"/>
            <w:vAlign w:val="center"/>
          </w:tcPr>
          <w:p w14:paraId="25C8D13D">
            <w:pPr>
              <w:spacing w:line="300" w:lineRule="exact"/>
              <w:jc w:val="left"/>
              <w:rPr>
                <w:rFonts w:ascii="方正书宋_GBK" w:eastAsia="方正书宋_GBK"/>
                <w:color w:val="auto"/>
              </w:rPr>
            </w:pPr>
          </w:p>
        </w:tc>
        <w:tc>
          <w:tcPr>
            <w:tcW w:w="2976" w:type="dxa"/>
            <w:vMerge w:val="continue"/>
            <w:vAlign w:val="center"/>
          </w:tcPr>
          <w:p w14:paraId="57496DF9">
            <w:pPr>
              <w:spacing w:line="300" w:lineRule="exact"/>
              <w:jc w:val="left"/>
              <w:rPr>
                <w:rFonts w:ascii="方正书宋_GBK" w:eastAsia="方正书宋_GBK"/>
                <w:color w:val="auto"/>
              </w:rPr>
            </w:pPr>
          </w:p>
        </w:tc>
        <w:tc>
          <w:tcPr>
            <w:tcW w:w="2976" w:type="dxa"/>
            <w:vMerge w:val="continue"/>
            <w:vAlign w:val="center"/>
          </w:tcPr>
          <w:p w14:paraId="33907519">
            <w:pPr>
              <w:spacing w:line="300" w:lineRule="exact"/>
              <w:jc w:val="left"/>
              <w:rPr>
                <w:rFonts w:ascii="方正书宋_GBK" w:eastAsia="方正书宋_GBK"/>
                <w:color w:val="auto"/>
              </w:rPr>
            </w:pPr>
          </w:p>
        </w:tc>
        <w:tc>
          <w:tcPr>
            <w:tcW w:w="1417" w:type="dxa"/>
            <w:vAlign w:val="center"/>
          </w:tcPr>
          <w:p w14:paraId="0FDE901B">
            <w:pPr>
              <w:spacing w:line="300" w:lineRule="exact"/>
              <w:jc w:val="left"/>
              <w:rPr>
                <w:rFonts w:ascii="方正书宋_GBK" w:eastAsia="方正书宋_GBK"/>
                <w:color w:val="auto"/>
              </w:rPr>
            </w:pPr>
            <w:r>
              <w:rPr>
                <w:rFonts w:hint="eastAsia" w:ascii="方正书宋_GBK" w:eastAsia="方正书宋_GBK"/>
                <w:color w:val="auto"/>
              </w:rPr>
              <w:t>境外投资规模增长率</w:t>
            </w:r>
          </w:p>
        </w:tc>
        <w:tc>
          <w:tcPr>
            <w:tcW w:w="737" w:type="dxa"/>
            <w:vAlign w:val="center"/>
          </w:tcPr>
          <w:p w14:paraId="4C6A3C5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vAlign w:val="center"/>
          </w:tcPr>
          <w:p w14:paraId="4D36FD7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vAlign w:val="center"/>
          </w:tcPr>
          <w:p w14:paraId="6225D73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vAlign w:val="center"/>
          </w:tcPr>
          <w:p w14:paraId="7855ECF3">
            <w:pPr>
              <w:spacing w:line="300" w:lineRule="exact"/>
              <w:jc w:val="center"/>
              <w:rPr>
                <w:rFonts w:ascii="方正书宋_GBK" w:eastAsia="方正书宋_GBK"/>
                <w:color w:val="auto"/>
              </w:rPr>
            </w:pPr>
            <w:r>
              <w:rPr>
                <w:rFonts w:ascii="方正书宋_GBK" w:eastAsia="方正书宋_GBK"/>
                <w:color w:val="auto"/>
              </w:rPr>
              <w:t>&lt;6%</w:t>
            </w:r>
          </w:p>
        </w:tc>
      </w:tr>
      <w:tr w14:paraId="32BAD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A06C166">
            <w:pPr>
              <w:spacing w:line="300" w:lineRule="exact"/>
              <w:jc w:val="left"/>
              <w:rPr>
                <w:rFonts w:ascii="方正书宋_GBK" w:eastAsia="方正书宋_GBK"/>
                <w:b/>
                <w:color w:val="auto"/>
              </w:rPr>
            </w:pPr>
          </w:p>
        </w:tc>
        <w:tc>
          <w:tcPr>
            <w:tcW w:w="1276" w:type="dxa"/>
            <w:vMerge w:val="continue"/>
            <w:vAlign w:val="center"/>
          </w:tcPr>
          <w:p w14:paraId="1EEA0510">
            <w:pPr>
              <w:spacing w:line="300" w:lineRule="exact"/>
              <w:jc w:val="left"/>
              <w:rPr>
                <w:rFonts w:ascii="方正书宋_GBK" w:eastAsia="方正书宋_GBK"/>
                <w:color w:val="auto"/>
              </w:rPr>
            </w:pPr>
          </w:p>
        </w:tc>
        <w:tc>
          <w:tcPr>
            <w:tcW w:w="2976" w:type="dxa"/>
            <w:vMerge w:val="continue"/>
            <w:vAlign w:val="center"/>
          </w:tcPr>
          <w:p w14:paraId="016EC382">
            <w:pPr>
              <w:spacing w:line="300" w:lineRule="exact"/>
              <w:jc w:val="left"/>
              <w:rPr>
                <w:rFonts w:ascii="方正书宋_GBK" w:eastAsia="方正书宋_GBK"/>
                <w:color w:val="auto"/>
              </w:rPr>
            </w:pPr>
          </w:p>
        </w:tc>
        <w:tc>
          <w:tcPr>
            <w:tcW w:w="2976" w:type="dxa"/>
            <w:vMerge w:val="continue"/>
            <w:vAlign w:val="center"/>
          </w:tcPr>
          <w:p w14:paraId="14789B34">
            <w:pPr>
              <w:spacing w:line="300" w:lineRule="exact"/>
              <w:jc w:val="left"/>
              <w:rPr>
                <w:rFonts w:ascii="方正书宋_GBK" w:eastAsia="方正书宋_GBK"/>
                <w:color w:val="auto"/>
              </w:rPr>
            </w:pPr>
          </w:p>
        </w:tc>
        <w:tc>
          <w:tcPr>
            <w:tcW w:w="1417" w:type="dxa"/>
            <w:vAlign w:val="center"/>
          </w:tcPr>
          <w:p w14:paraId="48BFD1CD">
            <w:pPr>
              <w:spacing w:line="300" w:lineRule="exact"/>
              <w:jc w:val="left"/>
              <w:rPr>
                <w:rFonts w:ascii="方正书宋_GBK" w:eastAsia="方正书宋_GBK"/>
                <w:color w:val="auto"/>
              </w:rPr>
            </w:pPr>
            <w:r>
              <w:rPr>
                <w:rFonts w:hint="eastAsia" w:ascii="方正书宋_GBK" w:eastAsia="方正书宋_GBK"/>
                <w:color w:val="auto"/>
              </w:rPr>
              <w:t>实际利用外资规模增长率</w:t>
            </w:r>
          </w:p>
        </w:tc>
        <w:tc>
          <w:tcPr>
            <w:tcW w:w="737" w:type="dxa"/>
            <w:vAlign w:val="center"/>
          </w:tcPr>
          <w:p w14:paraId="7B88833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7D4F80C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0863F27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c>
          <w:tcPr>
            <w:tcW w:w="737" w:type="dxa"/>
            <w:vAlign w:val="center"/>
          </w:tcPr>
          <w:p w14:paraId="523E95EB">
            <w:pPr>
              <w:spacing w:line="300" w:lineRule="exact"/>
              <w:jc w:val="center"/>
              <w:rPr>
                <w:rFonts w:ascii="方正书宋_GBK" w:eastAsia="方正书宋_GBK"/>
                <w:color w:val="auto"/>
              </w:rPr>
            </w:pPr>
            <w:r>
              <w:rPr>
                <w:rFonts w:ascii="方正书宋_GBK" w:eastAsia="方正书宋_GBK"/>
                <w:color w:val="auto"/>
              </w:rPr>
              <w:t>&lt;3%</w:t>
            </w:r>
          </w:p>
        </w:tc>
      </w:tr>
      <w:tr w14:paraId="1808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655A7E4">
            <w:pPr>
              <w:spacing w:line="300" w:lineRule="exact"/>
              <w:jc w:val="left"/>
              <w:rPr>
                <w:rFonts w:ascii="方正书宋_GBK" w:eastAsia="方正书宋_GBK"/>
                <w:b/>
                <w:color w:val="auto"/>
              </w:rPr>
            </w:pPr>
            <w:r>
              <w:rPr>
                <w:rFonts w:hint="eastAsia" w:ascii="方正书宋_GBK" w:eastAsia="方正书宋_GBK"/>
                <w:b/>
                <w:color w:val="auto"/>
              </w:rPr>
              <w:t>三、经济和社会运行监测、调节与协调</w:t>
            </w:r>
          </w:p>
        </w:tc>
        <w:tc>
          <w:tcPr>
            <w:tcW w:w="1276" w:type="dxa"/>
            <w:vAlign w:val="center"/>
          </w:tcPr>
          <w:p w14:paraId="2FB4CB0F">
            <w:pPr>
              <w:spacing w:line="300" w:lineRule="exact"/>
              <w:jc w:val="left"/>
              <w:rPr>
                <w:rFonts w:ascii="方正书宋_GBK" w:eastAsia="方正书宋_GBK"/>
                <w:color w:val="auto"/>
              </w:rPr>
            </w:pPr>
            <w:r>
              <w:rPr>
                <w:rFonts w:ascii="方正书宋_GBK" w:eastAsia="方正书宋_GBK"/>
                <w:color w:val="auto"/>
              </w:rPr>
              <w:t>19.00</w:t>
            </w:r>
          </w:p>
        </w:tc>
        <w:tc>
          <w:tcPr>
            <w:tcW w:w="2976" w:type="dxa"/>
            <w:vAlign w:val="center"/>
          </w:tcPr>
          <w:p w14:paraId="1503B664">
            <w:pPr>
              <w:spacing w:line="300" w:lineRule="exact"/>
              <w:jc w:val="left"/>
              <w:rPr>
                <w:rFonts w:ascii="方正书宋_GBK" w:eastAsia="方正书宋_GBK"/>
                <w:color w:val="auto"/>
              </w:rPr>
            </w:pPr>
            <w:r>
              <w:rPr>
                <w:rFonts w:hint="eastAsia" w:ascii="方正书宋_GBK" w:eastAsia="方正书宋_GBK"/>
                <w:color w:val="auto"/>
              </w:rPr>
              <w:t>综合协调和监测调节经济社会协调发展，研究拟订重大调控政策建议并组织实施；研究提出促进就业、调整收入分配、完善社会保障与经济协调发展的政策措施，推进社会公共服务均等化；制定并组织实施产业政策；负责省内重要物资和商品总量平衡和调控；组织实施全省国民经济、装备动员。</w:t>
            </w:r>
          </w:p>
        </w:tc>
        <w:tc>
          <w:tcPr>
            <w:tcW w:w="2976" w:type="dxa"/>
            <w:vAlign w:val="center"/>
          </w:tcPr>
          <w:p w14:paraId="44C8C5B5">
            <w:pPr>
              <w:spacing w:line="300" w:lineRule="exact"/>
              <w:jc w:val="left"/>
              <w:rPr>
                <w:rFonts w:ascii="方正书宋_GBK" w:eastAsia="方正书宋_GBK"/>
                <w:color w:val="auto"/>
              </w:rPr>
            </w:pPr>
            <w:r>
              <w:rPr>
                <w:rFonts w:hint="eastAsia" w:ascii="方正书宋_GBK" w:eastAsia="方正书宋_GBK"/>
                <w:color w:val="auto"/>
              </w:rPr>
              <w:t>做好经济运行监测分析，协调经济社会运行平稳有序和健康发展，提升全省经济、装备动员能力</w:t>
            </w:r>
          </w:p>
        </w:tc>
        <w:tc>
          <w:tcPr>
            <w:tcW w:w="1417" w:type="dxa"/>
            <w:vAlign w:val="center"/>
          </w:tcPr>
          <w:p w14:paraId="3EED1AF5">
            <w:pPr>
              <w:spacing w:line="300" w:lineRule="exact"/>
              <w:jc w:val="left"/>
              <w:rPr>
                <w:rFonts w:ascii="方正书宋_GBK" w:eastAsia="方正书宋_GBK"/>
                <w:color w:val="auto"/>
              </w:rPr>
            </w:pPr>
          </w:p>
        </w:tc>
        <w:tc>
          <w:tcPr>
            <w:tcW w:w="737" w:type="dxa"/>
            <w:vAlign w:val="center"/>
          </w:tcPr>
          <w:p w14:paraId="59A02004">
            <w:pPr>
              <w:spacing w:line="300" w:lineRule="exact"/>
              <w:jc w:val="center"/>
              <w:rPr>
                <w:rFonts w:ascii="方正书宋_GBK" w:eastAsia="方正书宋_GBK"/>
                <w:color w:val="auto"/>
              </w:rPr>
            </w:pPr>
          </w:p>
        </w:tc>
        <w:tc>
          <w:tcPr>
            <w:tcW w:w="737" w:type="dxa"/>
            <w:vAlign w:val="center"/>
          </w:tcPr>
          <w:p w14:paraId="561ED5AC">
            <w:pPr>
              <w:spacing w:line="300" w:lineRule="exact"/>
              <w:jc w:val="center"/>
              <w:rPr>
                <w:rFonts w:ascii="方正书宋_GBK" w:eastAsia="方正书宋_GBK"/>
                <w:color w:val="auto"/>
              </w:rPr>
            </w:pPr>
          </w:p>
        </w:tc>
        <w:tc>
          <w:tcPr>
            <w:tcW w:w="737" w:type="dxa"/>
            <w:vAlign w:val="center"/>
          </w:tcPr>
          <w:p w14:paraId="309ED290">
            <w:pPr>
              <w:spacing w:line="300" w:lineRule="exact"/>
              <w:jc w:val="center"/>
              <w:rPr>
                <w:rFonts w:ascii="方正书宋_GBK" w:eastAsia="方正书宋_GBK"/>
                <w:color w:val="auto"/>
              </w:rPr>
            </w:pPr>
          </w:p>
        </w:tc>
        <w:tc>
          <w:tcPr>
            <w:tcW w:w="737" w:type="dxa"/>
            <w:vAlign w:val="center"/>
          </w:tcPr>
          <w:p w14:paraId="54507385">
            <w:pPr>
              <w:spacing w:line="300" w:lineRule="exact"/>
              <w:jc w:val="center"/>
              <w:rPr>
                <w:rFonts w:ascii="方正书宋_GBK" w:eastAsia="方正书宋_GBK"/>
                <w:color w:val="auto"/>
              </w:rPr>
            </w:pPr>
          </w:p>
        </w:tc>
      </w:tr>
      <w:tr w14:paraId="7331A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897B14E">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、经济社会发展形势监测分析、运行调节和政策建议</w:t>
            </w:r>
          </w:p>
        </w:tc>
        <w:tc>
          <w:tcPr>
            <w:tcW w:w="1276" w:type="dxa"/>
            <w:vMerge w:val="restart"/>
            <w:vAlign w:val="center"/>
          </w:tcPr>
          <w:p w14:paraId="70E7A5C1">
            <w:pPr>
              <w:spacing w:line="300" w:lineRule="exact"/>
              <w:jc w:val="left"/>
              <w:rPr>
                <w:rFonts w:ascii="方正书宋_GBK" w:eastAsia="方正书宋_GBK"/>
                <w:color w:val="auto"/>
              </w:rPr>
            </w:pPr>
          </w:p>
        </w:tc>
        <w:tc>
          <w:tcPr>
            <w:tcW w:w="2976" w:type="dxa"/>
            <w:vMerge w:val="restart"/>
            <w:vAlign w:val="center"/>
          </w:tcPr>
          <w:p w14:paraId="7B58D1A7">
            <w:pPr>
              <w:spacing w:line="300" w:lineRule="exact"/>
              <w:jc w:val="left"/>
              <w:rPr>
                <w:rFonts w:ascii="方正书宋_GBK" w:eastAsia="方正书宋_GBK"/>
                <w:color w:val="auto"/>
              </w:rPr>
            </w:pPr>
            <w:r>
              <w:rPr>
                <w:rFonts w:hint="eastAsia" w:ascii="方正书宋_GBK" w:eastAsia="方正书宋_GBK"/>
                <w:color w:val="auto"/>
              </w:rPr>
              <w:t>负责全县经济社会发展运行调节、监测，研究分析国内外、省内外经济形势发展，综合协调经济社会发展，进行县域经济的预测、预警；负责日常经济和社会事业发展运行的调节，研究提出各种政策建议，组织解决经济运行和社会事业发展中重大问题；组织实施全县国民经济、装备动员潜力调查、预案编制、专业队伍组建、动员中心建设。</w:t>
            </w:r>
          </w:p>
        </w:tc>
        <w:tc>
          <w:tcPr>
            <w:tcW w:w="2976" w:type="dxa"/>
            <w:vMerge w:val="restart"/>
            <w:vAlign w:val="center"/>
          </w:tcPr>
          <w:p w14:paraId="03A1E9EA">
            <w:pPr>
              <w:spacing w:line="300" w:lineRule="exact"/>
              <w:jc w:val="left"/>
              <w:rPr>
                <w:rFonts w:ascii="方正书宋_GBK" w:eastAsia="方正书宋_GBK"/>
                <w:color w:val="auto"/>
              </w:rPr>
            </w:pPr>
            <w:r>
              <w:rPr>
                <w:rFonts w:hint="eastAsia" w:ascii="方正书宋_GBK" w:eastAsia="方正书宋_GBK"/>
                <w:color w:val="auto"/>
              </w:rPr>
              <w:t>推进经济社会健康协调发展，提升全省经济、装备动员能力。</w:t>
            </w:r>
          </w:p>
        </w:tc>
        <w:tc>
          <w:tcPr>
            <w:tcW w:w="1417" w:type="dxa"/>
            <w:vAlign w:val="center"/>
          </w:tcPr>
          <w:p w14:paraId="7951CF65">
            <w:pPr>
              <w:spacing w:line="300" w:lineRule="exact"/>
              <w:jc w:val="left"/>
              <w:rPr>
                <w:rFonts w:ascii="方正书宋_GBK" w:eastAsia="方正书宋_GBK"/>
                <w:color w:val="auto"/>
              </w:rPr>
            </w:pPr>
            <w:r>
              <w:rPr>
                <w:rFonts w:hint="eastAsia" w:ascii="方正书宋_GBK" w:eastAsia="方正书宋_GBK"/>
                <w:color w:val="auto"/>
              </w:rPr>
              <w:t>年度经济、装备动员年度计划完成率</w:t>
            </w:r>
          </w:p>
        </w:tc>
        <w:tc>
          <w:tcPr>
            <w:tcW w:w="737" w:type="dxa"/>
            <w:vAlign w:val="center"/>
          </w:tcPr>
          <w:p w14:paraId="3AA0937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369960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52B22C9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05562929">
            <w:pPr>
              <w:spacing w:line="300" w:lineRule="exact"/>
              <w:jc w:val="center"/>
              <w:rPr>
                <w:rFonts w:ascii="方正书宋_GBK" w:eastAsia="方正书宋_GBK"/>
                <w:color w:val="auto"/>
              </w:rPr>
            </w:pPr>
            <w:r>
              <w:rPr>
                <w:rFonts w:ascii="方正书宋_GBK" w:eastAsia="方正书宋_GBK"/>
                <w:color w:val="auto"/>
              </w:rPr>
              <w:t>&lt;60%</w:t>
            </w:r>
          </w:p>
        </w:tc>
      </w:tr>
      <w:tr w14:paraId="4A13B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8E069DF">
            <w:pPr>
              <w:spacing w:line="300" w:lineRule="exact"/>
              <w:jc w:val="left"/>
              <w:rPr>
                <w:rFonts w:ascii="方正书宋_GBK" w:eastAsia="方正书宋_GBK"/>
                <w:b/>
                <w:color w:val="auto"/>
              </w:rPr>
            </w:pPr>
          </w:p>
        </w:tc>
        <w:tc>
          <w:tcPr>
            <w:tcW w:w="1276" w:type="dxa"/>
            <w:vMerge w:val="continue"/>
            <w:vAlign w:val="center"/>
          </w:tcPr>
          <w:p w14:paraId="07807092">
            <w:pPr>
              <w:spacing w:line="300" w:lineRule="exact"/>
              <w:jc w:val="left"/>
              <w:rPr>
                <w:rFonts w:ascii="方正书宋_GBK" w:eastAsia="方正书宋_GBK"/>
                <w:color w:val="auto"/>
              </w:rPr>
            </w:pPr>
          </w:p>
        </w:tc>
        <w:tc>
          <w:tcPr>
            <w:tcW w:w="2976" w:type="dxa"/>
            <w:vMerge w:val="continue"/>
            <w:vAlign w:val="center"/>
          </w:tcPr>
          <w:p w14:paraId="059E5CA5">
            <w:pPr>
              <w:spacing w:line="300" w:lineRule="exact"/>
              <w:jc w:val="left"/>
              <w:rPr>
                <w:rFonts w:ascii="方正书宋_GBK" w:eastAsia="方正书宋_GBK"/>
                <w:color w:val="auto"/>
              </w:rPr>
            </w:pPr>
          </w:p>
        </w:tc>
        <w:tc>
          <w:tcPr>
            <w:tcW w:w="2976" w:type="dxa"/>
            <w:vMerge w:val="continue"/>
            <w:vAlign w:val="center"/>
          </w:tcPr>
          <w:p w14:paraId="7EF35DAE">
            <w:pPr>
              <w:spacing w:line="300" w:lineRule="exact"/>
              <w:jc w:val="left"/>
              <w:rPr>
                <w:rFonts w:ascii="方正书宋_GBK" w:eastAsia="方正书宋_GBK"/>
                <w:color w:val="auto"/>
              </w:rPr>
            </w:pPr>
          </w:p>
        </w:tc>
        <w:tc>
          <w:tcPr>
            <w:tcW w:w="1417" w:type="dxa"/>
            <w:vAlign w:val="center"/>
          </w:tcPr>
          <w:p w14:paraId="383CC8E6">
            <w:pPr>
              <w:spacing w:line="300" w:lineRule="exact"/>
              <w:jc w:val="left"/>
              <w:rPr>
                <w:rFonts w:ascii="方正书宋_GBK" w:eastAsia="方正书宋_GBK"/>
                <w:color w:val="auto"/>
              </w:rPr>
            </w:pPr>
            <w:r>
              <w:rPr>
                <w:rFonts w:hint="eastAsia" w:ascii="方正书宋_GBK" w:eastAsia="方正书宋_GBK"/>
                <w:color w:val="auto"/>
              </w:rPr>
              <w:t>调研次数、形势分析或调研报告数量</w:t>
            </w:r>
          </w:p>
        </w:tc>
        <w:tc>
          <w:tcPr>
            <w:tcW w:w="737" w:type="dxa"/>
            <w:vAlign w:val="center"/>
          </w:tcPr>
          <w:p w14:paraId="6C23343A">
            <w:pPr>
              <w:spacing w:line="300" w:lineRule="exact"/>
              <w:jc w:val="center"/>
              <w:rPr>
                <w:rFonts w:ascii="方正书宋_GBK" w:eastAsia="方正书宋_GBK"/>
                <w:color w:val="auto"/>
              </w:rPr>
            </w:pPr>
            <w:r>
              <w:rPr>
                <w:rFonts w:hint="eastAsia" w:ascii="方正书宋_GBK" w:eastAsia="方正书宋_GBK"/>
                <w:color w:val="auto"/>
              </w:rPr>
              <w:t>组织</w:t>
            </w:r>
            <w:r>
              <w:rPr>
                <w:rFonts w:ascii="方正书宋_GBK" w:eastAsia="方正书宋_GBK"/>
                <w:color w:val="auto"/>
              </w:rPr>
              <w:t>2</w:t>
            </w:r>
            <w:r>
              <w:rPr>
                <w:rFonts w:hint="eastAsia" w:ascii="方正书宋_GBK" w:eastAsia="方正书宋_GBK"/>
                <w:color w:val="auto"/>
              </w:rPr>
              <w:t>次（含）以上集中调研活动，形成</w:t>
            </w:r>
            <w:r>
              <w:rPr>
                <w:rFonts w:ascii="方正书宋_GBK" w:eastAsia="方正书宋_GBK"/>
                <w:color w:val="auto"/>
              </w:rPr>
              <w:t>1</w:t>
            </w:r>
            <w:r>
              <w:rPr>
                <w:rFonts w:hint="eastAsia" w:ascii="方正书宋_GBK" w:eastAsia="方正书宋_GBK"/>
                <w:color w:val="auto"/>
              </w:rPr>
              <w:t>个（含）以上形势分析或调研报告</w:t>
            </w:r>
          </w:p>
        </w:tc>
        <w:tc>
          <w:tcPr>
            <w:tcW w:w="737" w:type="dxa"/>
            <w:vAlign w:val="center"/>
          </w:tcPr>
          <w:p w14:paraId="553BBB55">
            <w:pPr>
              <w:spacing w:line="300" w:lineRule="exact"/>
              <w:jc w:val="center"/>
              <w:rPr>
                <w:rFonts w:ascii="方正书宋_GBK" w:eastAsia="方正书宋_GBK"/>
                <w:color w:val="auto"/>
              </w:rPr>
            </w:pPr>
            <w:r>
              <w:rPr>
                <w:rFonts w:hint="eastAsia" w:ascii="方正书宋_GBK" w:eastAsia="方正书宋_GBK"/>
                <w:color w:val="auto"/>
              </w:rPr>
              <w:t>组织</w:t>
            </w:r>
            <w:r>
              <w:rPr>
                <w:rFonts w:ascii="方正书宋_GBK" w:eastAsia="方正书宋_GBK"/>
                <w:color w:val="auto"/>
              </w:rPr>
              <w:t>1</w:t>
            </w:r>
            <w:r>
              <w:rPr>
                <w:rFonts w:hint="eastAsia" w:ascii="方正书宋_GBK" w:eastAsia="方正书宋_GBK"/>
                <w:color w:val="auto"/>
              </w:rPr>
              <w:t>次（含）以上集中调研活动，形成</w:t>
            </w:r>
            <w:r>
              <w:rPr>
                <w:rFonts w:ascii="方正书宋_GBK" w:eastAsia="方正书宋_GBK"/>
                <w:color w:val="auto"/>
              </w:rPr>
              <w:t>1</w:t>
            </w:r>
            <w:r>
              <w:rPr>
                <w:rFonts w:hint="eastAsia" w:ascii="方正书宋_GBK" w:eastAsia="方正书宋_GBK"/>
                <w:color w:val="auto"/>
              </w:rPr>
              <w:t>个（含）以上形势分析或调研报告</w:t>
            </w:r>
          </w:p>
        </w:tc>
        <w:tc>
          <w:tcPr>
            <w:tcW w:w="737" w:type="dxa"/>
            <w:vAlign w:val="center"/>
          </w:tcPr>
          <w:p w14:paraId="45D95F2F">
            <w:pPr>
              <w:spacing w:line="300" w:lineRule="exact"/>
              <w:jc w:val="center"/>
              <w:rPr>
                <w:rFonts w:ascii="方正书宋_GBK" w:eastAsia="方正书宋_GBK"/>
                <w:color w:val="auto"/>
              </w:rPr>
            </w:pPr>
            <w:r>
              <w:rPr>
                <w:rFonts w:hint="eastAsia" w:ascii="方正书宋_GBK" w:eastAsia="方正书宋_GBK"/>
                <w:color w:val="auto"/>
              </w:rPr>
              <w:t>未组织集中调研活动，或未形成政策性文件、形势分析或调研报告</w:t>
            </w:r>
          </w:p>
        </w:tc>
        <w:tc>
          <w:tcPr>
            <w:tcW w:w="737" w:type="dxa"/>
            <w:vAlign w:val="center"/>
          </w:tcPr>
          <w:p w14:paraId="74689488">
            <w:pPr>
              <w:spacing w:line="300" w:lineRule="exact"/>
              <w:jc w:val="center"/>
              <w:rPr>
                <w:rFonts w:ascii="方正书宋_GBK" w:eastAsia="方正书宋_GBK"/>
                <w:color w:val="auto"/>
              </w:rPr>
            </w:pPr>
            <w:r>
              <w:rPr>
                <w:rFonts w:hint="eastAsia" w:ascii="方正书宋_GBK" w:eastAsia="方正书宋_GBK"/>
                <w:color w:val="auto"/>
              </w:rPr>
              <w:t>未完成</w:t>
            </w:r>
          </w:p>
        </w:tc>
      </w:tr>
      <w:tr w14:paraId="45BC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C498B5C">
            <w:pPr>
              <w:spacing w:line="300" w:lineRule="exact"/>
              <w:jc w:val="left"/>
              <w:rPr>
                <w:rFonts w:ascii="方正书宋_GBK" w:eastAsia="方正书宋_GBK"/>
                <w:b/>
                <w:color w:val="auto"/>
              </w:rPr>
            </w:pPr>
          </w:p>
        </w:tc>
        <w:tc>
          <w:tcPr>
            <w:tcW w:w="1276" w:type="dxa"/>
            <w:vMerge w:val="continue"/>
            <w:vAlign w:val="center"/>
          </w:tcPr>
          <w:p w14:paraId="6CED1B39">
            <w:pPr>
              <w:spacing w:line="300" w:lineRule="exact"/>
              <w:jc w:val="left"/>
              <w:rPr>
                <w:rFonts w:ascii="方正书宋_GBK" w:eastAsia="方正书宋_GBK"/>
                <w:color w:val="auto"/>
              </w:rPr>
            </w:pPr>
          </w:p>
        </w:tc>
        <w:tc>
          <w:tcPr>
            <w:tcW w:w="2976" w:type="dxa"/>
            <w:vMerge w:val="continue"/>
            <w:vAlign w:val="center"/>
          </w:tcPr>
          <w:p w14:paraId="648D1918">
            <w:pPr>
              <w:spacing w:line="300" w:lineRule="exact"/>
              <w:jc w:val="left"/>
              <w:rPr>
                <w:rFonts w:ascii="方正书宋_GBK" w:eastAsia="方正书宋_GBK"/>
                <w:color w:val="auto"/>
              </w:rPr>
            </w:pPr>
          </w:p>
        </w:tc>
        <w:tc>
          <w:tcPr>
            <w:tcW w:w="2976" w:type="dxa"/>
            <w:vMerge w:val="continue"/>
            <w:vAlign w:val="center"/>
          </w:tcPr>
          <w:p w14:paraId="3431659D">
            <w:pPr>
              <w:spacing w:line="300" w:lineRule="exact"/>
              <w:jc w:val="left"/>
              <w:rPr>
                <w:rFonts w:ascii="方正书宋_GBK" w:eastAsia="方正书宋_GBK"/>
                <w:color w:val="auto"/>
              </w:rPr>
            </w:pPr>
          </w:p>
        </w:tc>
        <w:tc>
          <w:tcPr>
            <w:tcW w:w="1417" w:type="dxa"/>
            <w:vAlign w:val="center"/>
          </w:tcPr>
          <w:p w14:paraId="53C1C852">
            <w:pPr>
              <w:spacing w:line="300" w:lineRule="exact"/>
              <w:jc w:val="left"/>
              <w:rPr>
                <w:rFonts w:ascii="方正书宋_GBK" w:eastAsia="方正书宋_GBK"/>
                <w:color w:val="auto"/>
              </w:rPr>
            </w:pPr>
            <w:r>
              <w:rPr>
                <w:rFonts w:hint="eastAsia" w:ascii="方正书宋_GBK" w:eastAsia="方正书宋_GBK"/>
                <w:color w:val="auto"/>
              </w:rPr>
              <w:t>形势分析或调研报告采用率</w:t>
            </w:r>
          </w:p>
        </w:tc>
        <w:tc>
          <w:tcPr>
            <w:tcW w:w="737" w:type="dxa"/>
            <w:vAlign w:val="center"/>
          </w:tcPr>
          <w:p w14:paraId="0FE7C3D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389BEF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3586B1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3D9BE80">
            <w:pPr>
              <w:spacing w:line="300" w:lineRule="exact"/>
              <w:jc w:val="center"/>
              <w:rPr>
                <w:rFonts w:ascii="方正书宋_GBK" w:eastAsia="方正书宋_GBK"/>
                <w:color w:val="auto"/>
              </w:rPr>
            </w:pPr>
            <w:r>
              <w:rPr>
                <w:rFonts w:ascii="方正书宋_GBK" w:eastAsia="方正书宋_GBK"/>
                <w:color w:val="auto"/>
              </w:rPr>
              <w:t>&lt;70%</w:t>
            </w:r>
          </w:p>
        </w:tc>
      </w:tr>
      <w:tr w14:paraId="0F46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DCAF18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、经济运行综合协调保障</w:t>
            </w:r>
          </w:p>
        </w:tc>
        <w:tc>
          <w:tcPr>
            <w:tcW w:w="1276" w:type="dxa"/>
            <w:vMerge w:val="restart"/>
            <w:vAlign w:val="center"/>
          </w:tcPr>
          <w:p w14:paraId="20258043">
            <w:pPr>
              <w:spacing w:line="300" w:lineRule="exact"/>
              <w:jc w:val="left"/>
              <w:rPr>
                <w:rFonts w:ascii="方正书宋_GBK" w:eastAsia="方正书宋_GBK"/>
                <w:color w:val="auto"/>
              </w:rPr>
            </w:pPr>
            <w:r>
              <w:rPr>
                <w:rFonts w:ascii="方正书宋_GBK" w:eastAsia="方正书宋_GBK"/>
                <w:color w:val="auto"/>
              </w:rPr>
              <w:t>19.00</w:t>
            </w:r>
          </w:p>
        </w:tc>
        <w:tc>
          <w:tcPr>
            <w:tcW w:w="2976" w:type="dxa"/>
            <w:vMerge w:val="restart"/>
            <w:vAlign w:val="center"/>
          </w:tcPr>
          <w:p w14:paraId="0B811984">
            <w:pPr>
              <w:spacing w:line="300" w:lineRule="exact"/>
              <w:jc w:val="left"/>
              <w:rPr>
                <w:rFonts w:ascii="方正书宋_GBK" w:eastAsia="方正书宋_GBK"/>
                <w:color w:val="auto"/>
              </w:rPr>
            </w:pPr>
            <w:r>
              <w:rPr>
                <w:rFonts w:hint="eastAsia" w:ascii="方正书宋_GBK" w:eastAsia="方正书宋_GBK"/>
                <w:color w:val="auto"/>
              </w:rPr>
              <w:t>负责煤炭、电力、石油、天然气、交通运输调度和保障工作，协调解决重大问题，抓好供需总量平衡，保障经济社会发展和人民生活需要；制订经济运行和能源供应预警和应急预案，适时组织能源、运输及重要物资、商品的紧急调度，提出安排和动用应急物资和商品储备的建议；做好粮棉等商品进出口配额的审核上报工作；做好国防建设和国民经济发展的衔接。</w:t>
            </w:r>
          </w:p>
        </w:tc>
        <w:tc>
          <w:tcPr>
            <w:tcW w:w="2976" w:type="dxa"/>
            <w:vMerge w:val="restart"/>
            <w:vAlign w:val="center"/>
          </w:tcPr>
          <w:p w14:paraId="5CADA8CC">
            <w:pPr>
              <w:spacing w:line="300" w:lineRule="exact"/>
              <w:jc w:val="left"/>
              <w:rPr>
                <w:rFonts w:ascii="方正书宋_GBK" w:eastAsia="方正书宋_GBK"/>
                <w:color w:val="auto"/>
              </w:rPr>
            </w:pPr>
            <w:r>
              <w:rPr>
                <w:rFonts w:hint="eastAsia" w:ascii="方正书宋_GBK" w:eastAsia="方正书宋_GBK"/>
                <w:color w:val="auto"/>
              </w:rPr>
              <w:t>做好运行分析、数据上报、要素保障、应急处置、安全管理、矿山管理等工作，确保经济社会运行平稳有序和健康发展；</w:t>
            </w:r>
          </w:p>
        </w:tc>
        <w:tc>
          <w:tcPr>
            <w:tcW w:w="1417" w:type="dxa"/>
            <w:vAlign w:val="center"/>
          </w:tcPr>
          <w:p w14:paraId="312C4220">
            <w:pPr>
              <w:spacing w:line="300" w:lineRule="exact"/>
              <w:jc w:val="left"/>
              <w:rPr>
                <w:rFonts w:ascii="方正书宋_GBK" w:eastAsia="方正书宋_GBK"/>
                <w:color w:val="auto"/>
              </w:rPr>
            </w:pPr>
            <w:r>
              <w:rPr>
                <w:rFonts w:hint="eastAsia" w:ascii="方正书宋_GBK" w:eastAsia="方正书宋_GBK"/>
                <w:color w:val="auto"/>
              </w:rPr>
              <w:t>电力保障率</w:t>
            </w:r>
          </w:p>
        </w:tc>
        <w:tc>
          <w:tcPr>
            <w:tcW w:w="737" w:type="dxa"/>
            <w:vAlign w:val="center"/>
          </w:tcPr>
          <w:p w14:paraId="584594B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vAlign w:val="center"/>
          </w:tcPr>
          <w:p w14:paraId="18CD0BD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96%</w:t>
            </w:r>
          </w:p>
        </w:tc>
        <w:tc>
          <w:tcPr>
            <w:tcW w:w="737" w:type="dxa"/>
            <w:vAlign w:val="center"/>
          </w:tcPr>
          <w:p w14:paraId="6C46397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9410050">
            <w:pPr>
              <w:spacing w:line="300" w:lineRule="exact"/>
              <w:jc w:val="center"/>
              <w:rPr>
                <w:rFonts w:ascii="方正书宋_GBK" w:eastAsia="方正书宋_GBK"/>
                <w:color w:val="auto"/>
              </w:rPr>
            </w:pPr>
            <w:r>
              <w:rPr>
                <w:rFonts w:ascii="方正书宋_GBK" w:eastAsia="方正书宋_GBK"/>
                <w:color w:val="auto"/>
              </w:rPr>
              <w:t>&lt;95%</w:t>
            </w:r>
          </w:p>
        </w:tc>
      </w:tr>
      <w:tr w14:paraId="58F61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38F47C1">
            <w:pPr>
              <w:spacing w:line="300" w:lineRule="exact"/>
              <w:jc w:val="left"/>
              <w:rPr>
                <w:rFonts w:ascii="方正书宋_GBK" w:eastAsia="方正书宋_GBK"/>
                <w:b/>
                <w:color w:val="auto"/>
              </w:rPr>
            </w:pPr>
          </w:p>
        </w:tc>
        <w:tc>
          <w:tcPr>
            <w:tcW w:w="1276" w:type="dxa"/>
            <w:vMerge w:val="continue"/>
            <w:vAlign w:val="center"/>
          </w:tcPr>
          <w:p w14:paraId="1E87085E">
            <w:pPr>
              <w:spacing w:line="300" w:lineRule="exact"/>
              <w:jc w:val="left"/>
              <w:rPr>
                <w:rFonts w:ascii="方正书宋_GBK" w:eastAsia="方正书宋_GBK"/>
                <w:color w:val="auto"/>
              </w:rPr>
            </w:pPr>
          </w:p>
        </w:tc>
        <w:tc>
          <w:tcPr>
            <w:tcW w:w="2976" w:type="dxa"/>
            <w:vMerge w:val="continue"/>
            <w:vAlign w:val="center"/>
          </w:tcPr>
          <w:p w14:paraId="6EF0A59A">
            <w:pPr>
              <w:spacing w:line="300" w:lineRule="exact"/>
              <w:jc w:val="left"/>
              <w:rPr>
                <w:rFonts w:ascii="方正书宋_GBK" w:eastAsia="方正书宋_GBK"/>
                <w:color w:val="auto"/>
              </w:rPr>
            </w:pPr>
          </w:p>
        </w:tc>
        <w:tc>
          <w:tcPr>
            <w:tcW w:w="2976" w:type="dxa"/>
            <w:vMerge w:val="continue"/>
            <w:vAlign w:val="center"/>
          </w:tcPr>
          <w:p w14:paraId="7A10EC79">
            <w:pPr>
              <w:spacing w:line="300" w:lineRule="exact"/>
              <w:jc w:val="left"/>
              <w:rPr>
                <w:rFonts w:ascii="方正书宋_GBK" w:eastAsia="方正书宋_GBK"/>
                <w:color w:val="auto"/>
              </w:rPr>
            </w:pPr>
          </w:p>
        </w:tc>
        <w:tc>
          <w:tcPr>
            <w:tcW w:w="1417" w:type="dxa"/>
            <w:vAlign w:val="center"/>
          </w:tcPr>
          <w:p w14:paraId="530BA4A2">
            <w:pPr>
              <w:spacing w:line="300" w:lineRule="exact"/>
              <w:jc w:val="left"/>
              <w:rPr>
                <w:rFonts w:ascii="方正书宋_GBK" w:eastAsia="方正书宋_GBK"/>
                <w:color w:val="auto"/>
              </w:rPr>
            </w:pPr>
            <w:r>
              <w:rPr>
                <w:rFonts w:hint="eastAsia" w:ascii="方正书宋_GBK" w:eastAsia="方正书宋_GBK"/>
                <w:color w:val="auto"/>
              </w:rPr>
              <w:t>铁路运输协调调度</w:t>
            </w:r>
          </w:p>
        </w:tc>
        <w:tc>
          <w:tcPr>
            <w:tcW w:w="737" w:type="dxa"/>
            <w:vAlign w:val="center"/>
          </w:tcPr>
          <w:p w14:paraId="0AF3A07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3220A8D9">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1E9566F1">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7BACEC44">
            <w:pPr>
              <w:spacing w:line="300" w:lineRule="exact"/>
              <w:jc w:val="center"/>
              <w:rPr>
                <w:rFonts w:ascii="方正书宋_GBK" w:eastAsia="方正书宋_GBK"/>
                <w:color w:val="auto"/>
              </w:rPr>
            </w:pPr>
            <w:r>
              <w:rPr>
                <w:rFonts w:ascii="方正书宋_GBK" w:eastAsia="方正书宋_GBK"/>
                <w:color w:val="auto"/>
              </w:rPr>
              <w:t>&lt;2</w:t>
            </w:r>
          </w:p>
        </w:tc>
      </w:tr>
      <w:tr w14:paraId="2695B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BFDA814">
            <w:pPr>
              <w:spacing w:line="300" w:lineRule="exact"/>
              <w:jc w:val="left"/>
              <w:rPr>
                <w:rFonts w:ascii="方正书宋_GBK" w:eastAsia="方正书宋_GBK"/>
                <w:b/>
                <w:color w:val="auto"/>
              </w:rPr>
            </w:pPr>
          </w:p>
        </w:tc>
        <w:tc>
          <w:tcPr>
            <w:tcW w:w="1276" w:type="dxa"/>
            <w:vMerge w:val="continue"/>
            <w:vAlign w:val="center"/>
          </w:tcPr>
          <w:p w14:paraId="6376A8D7">
            <w:pPr>
              <w:spacing w:line="300" w:lineRule="exact"/>
              <w:jc w:val="left"/>
              <w:rPr>
                <w:rFonts w:ascii="方正书宋_GBK" w:eastAsia="方正书宋_GBK"/>
                <w:color w:val="auto"/>
              </w:rPr>
            </w:pPr>
          </w:p>
        </w:tc>
        <w:tc>
          <w:tcPr>
            <w:tcW w:w="2976" w:type="dxa"/>
            <w:vMerge w:val="continue"/>
            <w:vAlign w:val="center"/>
          </w:tcPr>
          <w:p w14:paraId="68D79696">
            <w:pPr>
              <w:spacing w:line="300" w:lineRule="exact"/>
              <w:jc w:val="left"/>
              <w:rPr>
                <w:rFonts w:ascii="方正书宋_GBK" w:eastAsia="方正书宋_GBK"/>
                <w:color w:val="auto"/>
              </w:rPr>
            </w:pPr>
          </w:p>
        </w:tc>
        <w:tc>
          <w:tcPr>
            <w:tcW w:w="2976" w:type="dxa"/>
            <w:vMerge w:val="continue"/>
            <w:vAlign w:val="center"/>
          </w:tcPr>
          <w:p w14:paraId="457DDE85">
            <w:pPr>
              <w:spacing w:line="300" w:lineRule="exact"/>
              <w:jc w:val="left"/>
              <w:rPr>
                <w:rFonts w:ascii="方正书宋_GBK" w:eastAsia="方正书宋_GBK"/>
                <w:color w:val="auto"/>
              </w:rPr>
            </w:pPr>
          </w:p>
        </w:tc>
        <w:tc>
          <w:tcPr>
            <w:tcW w:w="1417" w:type="dxa"/>
            <w:vAlign w:val="center"/>
          </w:tcPr>
          <w:p w14:paraId="3A3C90A2">
            <w:pPr>
              <w:spacing w:line="300" w:lineRule="exact"/>
              <w:jc w:val="left"/>
              <w:rPr>
                <w:rFonts w:ascii="方正书宋_GBK" w:eastAsia="方正书宋_GBK"/>
                <w:color w:val="auto"/>
              </w:rPr>
            </w:pPr>
            <w:r>
              <w:rPr>
                <w:rFonts w:hint="eastAsia" w:ascii="方正书宋_GBK" w:eastAsia="方正书宋_GBK"/>
                <w:color w:val="auto"/>
              </w:rPr>
              <w:t>月度分析和数据统计报告完成数（期）</w:t>
            </w:r>
          </w:p>
        </w:tc>
        <w:tc>
          <w:tcPr>
            <w:tcW w:w="737" w:type="dxa"/>
            <w:vAlign w:val="center"/>
          </w:tcPr>
          <w:p w14:paraId="05828622">
            <w:pPr>
              <w:spacing w:line="300" w:lineRule="exact"/>
              <w:jc w:val="center"/>
              <w:rPr>
                <w:rFonts w:ascii="方正书宋_GBK" w:eastAsia="方正书宋_GBK"/>
                <w:color w:val="auto"/>
              </w:rPr>
            </w:pPr>
            <w:r>
              <w:rPr>
                <w:rFonts w:ascii="方正书宋_GBK" w:eastAsia="方正书宋_GBK"/>
                <w:color w:val="auto"/>
              </w:rPr>
              <w:t>12</w:t>
            </w:r>
          </w:p>
        </w:tc>
        <w:tc>
          <w:tcPr>
            <w:tcW w:w="737" w:type="dxa"/>
            <w:vAlign w:val="center"/>
          </w:tcPr>
          <w:p w14:paraId="0F801FB1">
            <w:pPr>
              <w:spacing w:line="300" w:lineRule="exact"/>
              <w:jc w:val="center"/>
              <w:rPr>
                <w:rFonts w:ascii="方正书宋_GBK" w:eastAsia="方正书宋_GBK"/>
                <w:color w:val="auto"/>
              </w:rPr>
            </w:pPr>
            <w:r>
              <w:rPr>
                <w:rFonts w:ascii="方正书宋_GBK" w:eastAsia="方正书宋_GBK"/>
                <w:color w:val="auto"/>
              </w:rPr>
              <w:t>6</w:t>
            </w:r>
          </w:p>
        </w:tc>
        <w:tc>
          <w:tcPr>
            <w:tcW w:w="737" w:type="dxa"/>
            <w:vAlign w:val="center"/>
          </w:tcPr>
          <w:p w14:paraId="7188808C">
            <w:pPr>
              <w:spacing w:line="300" w:lineRule="exact"/>
              <w:jc w:val="center"/>
              <w:rPr>
                <w:rFonts w:ascii="方正书宋_GBK" w:eastAsia="方正书宋_GBK"/>
                <w:color w:val="auto"/>
              </w:rPr>
            </w:pPr>
            <w:r>
              <w:rPr>
                <w:rFonts w:ascii="方正书宋_GBK" w:eastAsia="方正书宋_GBK"/>
                <w:color w:val="auto"/>
              </w:rPr>
              <w:t>4</w:t>
            </w:r>
          </w:p>
        </w:tc>
        <w:tc>
          <w:tcPr>
            <w:tcW w:w="737" w:type="dxa"/>
            <w:vAlign w:val="center"/>
          </w:tcPr>
          <w:p w14:paraId="37DF8F2D">
            <w:pPr>
              <w:spacing w:line="300" w:lineRule="exact"/>
              <w:jc w:val="center"/>
              <w:rPr>
                <w:rFonts w:ascii="方正书宋_GBK" w:eastAsia="方正书宋_GBK"/>
                <w:color w:val="auto"/>
              </w:rPr>
            </w:pPr>
            <w:r>
              <w:rPr>
                <w:rFonts w:ascii="方正书宋_GBK" w:eastAsia="方正书宋_GBK"/>
                <w:color w:val="auto"/>
              </w:rPr>
              <w:t>&lt;4</w:t>
            </w:r>
          </w:p>
        </w:tc>
      </w:tr>
      <w:tr w14:paraId="6EB0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0434CCC">
            <w:pPr>
              <w:spacing w:line="300" w:lineRule="exact"/>
              <w:jc w:val="left"/>
              <w:rPr>
                <w:rFonts w:ascii="方正书宋_GBK" w:eastAsia="方正书宋_GBK"/>
                <w:b/>
                <w:color w:val="auto"/>
              </w:rPr>
            </w:pPr>
            <w:r>
              <w:rPr>
                <w:rFonts w:hint="eastAsia" w:ascii="方正书宋_GBK" w:eastAsia="方正书宋_GBK"/>
                <w:b/>
                <w:color w:val="auto"/>
              </w:rPr>
              <w:t>四、促进全县区域经济发展</w:t>
            </w:r>
          </w:p>
        </w:tc>
        <w:tc>
          <w:tcPr>
            <w:tcW w:w="1276" w:type="dxa"/>
            <w:vAlign w:val="center"/>
          </w:tcPr>
          <w:p w14:paraId="32BA1004">
            <w:pPr>
              <w:spacing w:line="300" w:lineRule="exact"/>
              <w:jc w:val="left"/>
              <w:rPr>
                <w:rFonts w:ascii="方正书宋_GBK" w:eastAsia="方正书宋_GBK"/>
                <w:color w:val="auto"/>
              </w:rPr>
            </w:pPr>
            <w:r>
              <w:rPr>
                <w:rFonts w:ascii="方正书宋_GBK" w:eastAsia="方正书宋_GBK"/>
                <w:color w:val="auto"/>
              </w:rPr>
              <w:t>5.00</w:t>
            </w:r>
          </w:p>
        </w:tc>
        <w:tc>
          <w:tcPr>
            <w:tcW w:w="2976" w:type="dxa"/>
            <w:vAlign w:val="center"/>
          </w:tcPr>
          <w:p w14:paraId="01976A81">
            <w:pPr>
              <w:spacing w:line="300" w:lineRule="exact"/>
              <w:jc w:val="left"/>
              <w:rPr>
                <w:rFonts w:ascii="方正书宋_GBK" w:eastAsia="方正书宋_GBK"/>
                <w:color w:val="auto"/>
              </w:rPr>
            </w:pPr>
            <w:r>
              <w:rPr>
                <w:rFonts w:hint="eastAsia" w:ascii="方正书宋_GBK" w:eastAsia="方正书宋_GBK"/>
                <w:color w:val="auto"/>
              </w:rPr>
              <w:t>推进县域经济协调发展、加快城镇化、县域经济发展；负责县域经济合作统筹协调；推动沿海、京津冀两大区域发展。</w:t>
            </w:r>
          </w:p>
        </w:tc>
        <w:tc>
          <w:tcPr>
            <w:tcW w:w="2976" w:type="dxa"/>
            <w:vAlign w:val="center"/>
          </w:tcPr>
          <w:p w14:paraId="732D13B5">
            <w:pPr>
              <w:spacing w:line="300" w:lineRule="exact"/>
              <w:jc w:val="left"/>
              <w:rPr>
                <w:rFonts w:ascii="方正书宋_GBK" w:eastAsia="方正书宋_GBK"/>
                <w:color w:val="auto"/>
              </w:rPr>
            </w:pPr>
            <w:r>
              <w:rPr>
                <w:rFonts w:hint="eastAsia" w:ascii="方正书宋_GBK" w:eastAsia="方正书宋_GBK"/>
                <w:color w:val="auto"/>
              </w:rPr>
              <w:t>促进沿海地区实现率先发展</w:t>
            </w:r>
            <w:r>
              <w:rPr>
                <w:rFonts w:ascii="方正书宋_GBK" w:eastAsia="方正书宋_GBK"/>
                <w:color w:val="auto"/>
              </w:rPr>
              <w:t>,</w:t>
            </w:r>
            <w:r>
              <w:rPr>
                <w:rFonts w:hint="eastAsia" w:ascii="方正书宋_GBK" w:eastAsia="方正书宋_GBK"/>
                <w:color w:val="auto"/>
              </w:rPr>
              <w:t>推动京津冀协同发展。</w:t>
            </w:r>
          </w:p>
        </w:tc>
        <w:tc>
          <w:tcPr>
            <w:tcW w:w="1417" w:type="dxa"/>
            <w:vAlign w:val="center"/>
          </w:tcPr>
          <w:p w14:paraId="40112B3B">
            <w:pPr>
              <w:spacing w:line="300" w:lineRule="exact"/>
              <w:jc w:val="left"/>
              <w:rPr>
                <w:rFonts w:ascii="方正书宋_GBK" w:eastAsia="方正书宋_GBK"/>
                <w:color w:val="auto"/>
              </w:rPr>
            </w:pPr>
          </w:p>
        </w:tc>
        <w:tc>
          <w:tcPr>
            <w:tcW w:w="737" w:type="dxa"/>
            <w:vAlign w:val="center"/>
          </w:tcPr>
          <w:p w14:paraId="3BF6596D">
            <w:pPr>
              <w:spacing w:line="300" w:lineRule="exact"/>
              <w:jc w:val="center"/>
              <w:rPr>
                <w:rFonts w:ascii="方正书宋_GBK" w:eastAsia="方正书宋_GBK"/>
                <w:color w:val="auto"/>
              </w:rPr>
            </w:pPr>
          </w:p>
        </w:tc>
        <w:tc>
          <w:tcPr>
            <w:tcW w:w="737" w:type="dxa"/>
            <w:vAlign w:val="center"/>
          </w:tcPr>
          <w:p w14:paraId="7CB434CA">
            <w:pPr>
              <w:spacing w:line="300" w:lineRule="exact"/>
              <w:jc w:val="center"/>
              <w:rPr>
                <w:rFonts w:ascii="方正书宋_GBK" w:eastAsia="方正书宋_GBK"/>
                <w:color w:val="auto"/>
              </w:rPr>
            </w:pPr>
          </w:p>
        </w:tc>
        <w:tc>
          <w:tcPr>
            <w:tcW w:w="737" w:type="dxa"/>
            <w:vAlign w:val="center"/>
          </w:tcPr>
          <w:p w14:paraId="141D33A3">
            <w:pPr>
              <w:spacing w:line="300" w:lineRule="exact"/>
              <w:jc w:val="center"/>
              <w:rPr>
                <w:rFonts w:ascii="方正书宋_GBK" w:eastAsia="方正书宋_GBK"/>
                <w:color w:val="auto"/>
              </w:rPr>
            </w:pPr>
          </w:p>
        </w:tc>
        <w:tc>
          <w:tcPr>
            <w:tcW w:w="737" w:type="dxa"/>
            <w:vAlign w:val="center"/>
          </w:tcPr>
          <w:p w14:paraId="2BE7DFAF">
            <w:pPr>
              <w:spacing w:line="300" w:lineRule="exact"/>
              <w:jc w:val="center"/>
              <w:rPr>
                <w:rFonts w:ascii="方正书宋_GBK" w:eastAsia="方正书宋_GBK"/>
                <w:color w:val="auto"/>
              </w:rPr>
            </w:pPr>
          </w:p>
        </w:tc>
      </w:tr>
      <w:tr w14:paraId="709BC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431021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、推进县域经济与可持续发展</w:t>
            </w:r>
          </w:p>
        </w:tc>
        <w:tc>
          <w:tcPr>
            <w:tcW w:w="1276" w:type="dxa"/>
            <w:vMerge w:val="restart"/>
            <w:vAlign w:val="center"/>
          </w:tcPr>
          <w:p w14:paraId="61A51E3B">
            <w:pPr>
              <w:spacing w:line="300" w:lineRule="exact"/>
              <w:jc w:val="left"/>
              <w:rPr>
                <w:rFonts w:ascii="方正书宋_GBK" w:eastAsia="方正书宋_GBK"/>
                <w:color w:val="auto"/>
              </w:rPr>
            </w:pPr>
            <w:r>
              <w:rPr>
                <w:rFonts w:ascii="方正书宋_GBK" w:eastAsia="方正书宋_GBK"/>
                <w:color w:val="auto"/>
              </w:rPr>
              <w:t>5.00</w:t>
            </w:r>
          </w:p>
        </w:tc>
        <w:tc>
          <w:tcPr>
            <w:tcW w:w="2976" w:type="dxa"/>
            <w:vMerge w:val="restart"/>
            <w:vAlign w:val="center"/>
          </w:tcPr>
          <w:p w14:paraId="6126E28E">
            <w:pPr>
              <w:spacing w:line="300" w:lineRule="exact"/>
              <w:jc w:val="left"/>
              <w:rPr>
                <w:rFonts w:ascii="方正书宋_GBK" w:eastAsia="方正书宋_GBK"/>
                <w:color w:val="auto"/>
              </w:rPr>
            </w:pPr>
            <w:r>
              <w:rPr>
                <w:rFonts w:hint="eastAsia" w:ascii="方正书宋_GBK" w:eastAsia="方正书宋_GBK"/>
                <w:color w:val="auto"/>
              </w:rPr>
              <w:t>实施县域经济的政策措施；推进可持续发展工作。组织全县农业区划管理工作。</w:t>
            </w:r>
          </w:p>
        </w:tc>
        <w:tc>
          <w:tcPr>
            <w:tcW w:w="2976" w:type="dxa"/>
            <w:vMerge w:val="restart"/>
            <w:vAlign w:val="center"/>
          </w:tcPr>
          <w:p w14:paraId="542F007C">
            <w:pPr>
              <w:spacing w:line="300" w:lineRule="exact"/>
              <w:jc w:val="left"/>
              <w:rPr>
                <w:rFonts w:ascii="方正书宋_GBK" w:eastAsia="方正书宋_GBK"/>
                <w:color w:val="auto"/>
              </w:rPr>
            </w:pPr>
            <w:r>
              <w:rPr>
                <w:rFonts w:hint="eastAsia" w:ascii="方正书宋_GBK" w:eastAsia="方正书宋_GBK"/>
                <w:color w:val="auto"/>
              </w:rPr>
              <w:t>加强区域经济发展管理工作，提高县域经济发展水平；开展农业资源可持续发展和高效利用试验示范工作。</w:t>
            </w:r>
          </w:p>
        </w:tc>
        <w:tc>
          <w:tcPr>
            <w:tcW w:w="1417" w:type="dxa"/>
            <w:vAlign w:val="center"/>
          </w:tcPr>
          <w:p w14:paraId="0CA99653">
            <w:pPr>
              <w:spacing w:line="300" w:lineRule="exact"/>
              <w:jc w:val="left"/>
              <w:rPr>
                <w:rFonts w:ascii="方正书宋_GBK" w:eastAsia="方正书宋_GBK"/>
                <w:color w:val="auto"/>
              </w:rPr>
            </w:pPr>
            <w:r>
              <w:rPr>
                <w:rFonts w:hint="eastAsia" w:ascii="方正书宋_GBK" w:eastAsia="方正书宋_GBK"/>
                <w:color w:val="auto"/>
              </w:rPr>
              <w:t>区域经济可持续发展规划实施完成情况</w:t>
            </w:r>
          </w:p>
        </w:tc>
        <w:tc>
          <w:tcPr>
            <w:tcW w:w="737" w:type="dxa"/>
            <w:vAlign w:val="center"/>
          </w:tcPr>
          <w:p w14:paraId="10F005B5">
            <w:pPr>
              <w:spacing w:line="300" w:lineRule="exact"/>
              <w:jc w:val="center"/>
              <w:rPr>
                <w:rFonts w:ascii="方正书宋_GBK" w:eastAsia="方正书宋_GBK"/>
                <w:color w:val="auto"/>
              </w:rPr>
            </w:pPr>
            <w:r>
              <w:rPr>
                <w:rFonts w:hint="eastAsia" w:ascii="方正书宋_GBK" w:eastAsia="方正书宋_GBK"/>
                <w:color w:val="auto"/>
              </w:rPr>
              <w:t>全部如期完成</w:t>
            </w:r>
          </w:p>
        </w:tc>
        <w:tc>
          <w:tcPr>
            <w:tcW w:w="737" w:type="dxa"/>
            <w:vAlign w:val="center"/>
          </w:tcPr>
          <w:p w14:paraId="16BB1A40">
            <w:pPr>
              <w:spacing w:line="300" w:lineRule="exact"/>
              <w:jc w:val="center"/>
              <w:rPr>
                <w:rFonts w:ascii="方正书宋_GBK" w:eastAsia="方正书宋_GBK"/>
                <w:color w:val="auto"/>
              </w:rPr>
            </w:pPr>
            <w:r>
              <w:rPr>
                <w:rFonts w:hint="eastAsia" w:ascii="方正书宋_GBK" w:eastAsia="方正书宋_GBK"/>
                <w:color w:val="auto"/>
              </w:rPr>
              <w:t>有</w:t>
            </w:r>
            <w:r>
              <w:rPr>
                <w:rFonts w:ascii="方正书宋_GBK" w:eastAsia="方正书宋_GBK"/>
                <w:color w:val="auto"/>
              </w:rPr>
              <w:t>1</w:t>
            </w:r>
            <w:r>
              <w:rPr>
                <w:rFonts w:hint="eastAsia" w:ascii="方正书宋_GBK" w:eastAsia="方正书宋_GBK"/>
                <w:color w:val="auto"/>
              </w:rPr>
              <w:t>项未能如期完成</w:t>
            </w:r>
          </w:p>
        </w:tc>
        <w:tc>
          <w:tcPr>
            <w:tcW w:w="737" w:type="dxa"/>
            <w:vAlign w:val="center"/>
          </w:tcPr>
          <w:p w14:paraId="795718FF">
            <w:pPr>
              <w:spacing w:line="300" w:lineRule="exact"/>
              <w:jc w:val="center"/>
              <w:rPr>
                <w:rFonts w:ascii="方正书宋_GBK" w:eastAsia="方正书宋_GBK"/>
                <w:color w:val="auto"/>
              </w:rPr>
            </w:pPr>
            <w:r>
              <w:rPr>
                <w:rFonts w:hint="eastAsia" w:ascii="方正书宋_GBK" w:eastAsia="方正书宋_GBK"/>
                <w:color w:val="auto"/>
              </w:rPr>
              <w:t>有</w:t>
            </w:r>
            <w:r>
              <w:rPr>
                <w:rFonts w:ascii="方正书宋_GBK" w:eastAsia="方正书宋_GBK"/>
                <w:color w:val="auto"/>
              </w:rPr>
              <w:t>2</w:t>
            </w:r>
            <w:r>
              <w:rPr>
                <w:rFonts w:hint="eastAsia" w:ascii="方正书宋_GBK" w:eastAsia="方正书宋_GBK"/>
                <w:color w:val="auto"/>
              </w:rPr>
              <w:t>项未能如期完成</w:t>
            </w:r>
          </w:p>
        </w:tc>
        <w:tc>
          <w:tcPr>
            <w:tcW w:w="737" w:type="dxa"/>
            <w:vAlign w:val="center"/>
          </w:tcPr>
          <w:p w14:paraId="688018CC">
            <w:pPr>
              <w:spacing w:line="300" w:lineRule="exact"/>
              <w:jc w:val="center"/>
              <w:rPr>
                <w:rFonts w:ascii="方正书宋_GBK" w:eastAsia="方正书宋_GBK"/>
                <w:color w:val="auto"/>
              </w:rPr>
            </w:pPr>
            <w:r>
              <w:rPr>
                <w:rFonts w:hint="eastAsia" w:ascii="方正书宋_GBK" w:eastAsia="方正书宋_GBK"/>
                <w:color w:val="auto"/>
              </w:rPr>
              <w:t>有</w:t>
            </w:r>
            <w:r>
              <w:rPr>
                <w:rFonts w:ascii="方正书宋_GBK" w:eastAsia="方正书宋_GBK"/>
                <w:color w:val="auto"/>
              </w:rPr>
              <w:t>2</w:t>
            </w:r>
            <w:r>
              <w:rPr>
                <w:rFonts w:hint="eastAsia" w:ascii="方正书宋_GBK" w:eastAsia="方正书宋_GBK"/>
                <w:color w:val="auto"/>
              </w:rPr>
              <w:t>项以上超过规定时间</w:t>
            </w:r>
          </w:p>
        </w:tc>
      </w:tr>
      <w:tr w14:paraId="15EC3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788DF7F">
            <w:pPr>
              <w:spacing w:line="300" w:lineRule="exact"/>
              <w:jc w:val="left"/>
              <w:rPr>
                <w:rFonts w:ascii="方正书宋_GBK" w:eastAsia="方正书宋_GBK"/>
                <w:b/>
                <w:color w:val="auto"/>
              </w:rPr>
            </w:pPr>
          </w:p>
        </w:tc>
        <w:tc>
          <w:tcPr>
            <w:tcW w:w="1276" w:type="dxa"/>
            <w:vMerge w:val="continue"/>
            <w:vAlign w:val="center"/>
          </w:tcPr>
          <w:p w14:paraId="36F718FC">
            <w:pPr>
              <w:spacing w:line="300" w:lineRule="exact"/>
              <w:jc w:val="left"/>
              <w:rPr>
                <w:rFonts w:ascii="方正书宋_GBK" w:eastAsia="方正书宋_GBK"/>
                <w:color w:val="auto"/>
              </w:rPr>
            </w:pPr>
          </w:p>
        </w:tc>
        <w:tc>
          <w:tcPr>
            <w:tcW w:w="2976" w:type="dxa"/>
            <w:vMerge w:val="continue"/>
            <w:vAlign w:val="center"/>
          </w:tcPr>
          <w:p w14:paraId="0E10E211">
            <w:pPr>
              <w:spacing w:line="300" w:lineRule="exact"/>
              <w:jc w:val="left"/>
              <w:rPr>
                <w:rFonts w:ascii="方正书宋_GBK" w:eastAsia="方正书宋_GBK"/>
                <w:color w:val="auto"/>
              </w:rPr>
            </w:pPr>
          </w:p>
        </w:tc>
        <w:tc>
          <w:tcPr>
            <w:tcW w:w="2976" w:type="dxa"/>
            <w:vMerge w:val="continue"/>
            <w:vAlign w:val="center"/>
          </w:tcPr>
          <w:p w14:paraId="6168B66A">
            <w:pPr>
              <w:spacing w:line="300" w:lineRule="exact"/>
              <w:jc w:val="left"/>
              <w:rPr>
                <w:rFonts w:ascii="方正书宋_GBK" w:eastAsia="方正书宋_GBK"/>
                <w:color w:val="auto"/>
              </w:rPr>
            </w:pPr>
          </w:p>
        </w:tc>
        <w:tc>
          <w:tcPr>
            <w:tcW w:w="1417" w:type="dxa"/>
            <w:vAlign w:val="center"/>
          </w:tcPr>
          <w:p w14:paraId="1CF9D02B">
            <w:pPr>
              <w:spacing w:line="300" w:lineRule="exact"/>
              <w:jc w:val="left"/>
              <w:rPr>
                <w:rFonts w:ascii="方正书宋_GBK" w:eastAsia="方正书宋_GBK"/>
                <w:color w:val="auto"/>
              </w:rPr>
            </w:pPr>
            <w:r>
              <w:rPr>
                <w:rFonts w:hint="eastAsia" w:ascii="方正书宋_GBK" w:eastAsia="方正书宋_GBK"/>
                <w:color w:val="auto"/>
              </w:rPr>
              <w:t>重点项目建设数量</w:t>
            </w:r>
          </w:p>
        </w:tc>
        <w:tc>
          <w:tcPr>
            <w:tcW w:w="737" w:type="dxa"/>
            <w:vAlign w:val="center"/>
          </w:tcPr>
          <w:p w14:paraId="51E44FD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27F87E42">
            <w:pPr>
              <w:spacing w:line="300" w:lineRule="exact"/>
              <w:jc w:val="center"/>
              <w:rPr>
                <w:rFonts w:ascii="方正书宋_GBK" w:eastAsia="方正书宋_GBK"/>
                <w:color w:val="auto"/>
              </w:rPr>
            </w:pPr>
            <w:r>
              <w:rPr>
                <w:rFonts w:ascii="方正书宋_GBK" w:eastAsia="方正书宋_GBK"/>
                <w:color w:val="auto"/>
              </w:rPr>
              <w:t>4</w:t>
            </w:r>
          </w:p>
        </w:tc>
        <w:tc>
          <w:tcPr>
            <w:tcW w:w="737" w:type="dxa"/>
            <w:vAlign w:val="center"/>
          </w:tcPr>
          <w:p w14:paraId="0A0C04D8">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060FDE7B">
            <w:pPr>
              <w:spacing w:line="300" w:lineRule="exact"/>
              <w:jc w:val="center"/>
              <w:rPr>
                <w:rFonts w:ascii="方正书宋_GBK" w:eastAsia="方正书宋_GBK"/>
                <w:color w:val="auto"/>
              </w:rPr>
            </w:pPr>
            <w:r>
              <w:rPr>
                <w:rFonts w:ascii="方正书宋_GBK" w:eastAsia="方正书宋_GBK"/>
                <w:color w:val="auto"/>
              </w:rPr>
              <w:t>&lt;3</w:t>
            </w:r>
          </w:p>
        </w:tc>
      </w:tr>
      <w:tr w14:paraId="240A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64C50ED">
            <w:pPr>
              <w:spacing w:line="300" w:lineRule="exact"/>
              <w:jc w:val="left"/>
              <w:rPr>
                <w:rFonts w:ascii="方正书宋_GBK" w:eastAsia="方正书宋_GBK"/>
                <w:b/>
                <w:color w:val="auto"/>
              </w:rPr>
            </w:pPr>
            <w:r>
              <w:rPr>
                <w:rFonts w:hint="eastAsia" w:ascii="方正书宋_GBK" w:eastAsia="方正书宋_GBK"/>
                <w:b/>
                <w:color w:val="auto"/>
              </w:rPr>
              <w:t>五、推进全县产业结构调整和转型升级</w:t>
            </w:r>
          </w:p>
        </w:tc>
        <w:tc>
          <w:tcPr>
            <w:tcW w:w="1276" w:type="dxa"/>
            <w:vAlign w:val="center"/>
          </w:tcPr>
          <w:p w14:paraId="759D5D67">
            <w:pPr>
              <w:spacing w:line="300" w:lineRule="exact"/>
              <w:jc w:val="left"/>
              <w:rPr>
                <w:rFonts w:ascii="方正书宋_GBK" w:eastAsia="方正书宋_GBK"/>
                <w:color w:val="auto"/>
              </w:rPr>
            </w:pPr>
            <w:r>
              <w:rPr>
                <w:rFonts w:ascii="方正书宋_GBK" w:eastAsia="方正书宋_GBK"/>
                <w:color w:val="auto"/>
              </w:rPr>
              <w:t>2752.94</w:t>
            </w:r>
          </w:p>
        </w:tc>
        <w:tc>
          <w:tcPr>
            <w:tcW w:w="2976" w:type="dxa"/>
            <w:vAlign w:val="center"/>
          </w:tcPr>
          <w:p w14:paraId="427DAC24">
            <w:pPr>
              <w:spacing w:line="300" w:lineRule="exact"/>
              <w:jc w:val="left"/>
              <w:rPr>
                <w:rFonts w:ascii="方正书宋_GBK" w:eastAsia="方正书宋_GBK"/>
                <w:color w:val="auto"/>
              </w:rPr>
            </w:pPr>
            <w:r>
              <w:rPr>
                <w:rFonts w:hint="eastAsia" w:ascii="方正书宋_GBK" w:eastAsia="方正书宋_GBK"/>
                <w:color w:val="auto"/>
              </w:rPr>
              <w:t>实施综合性产业政策，负责协调全县第一、二、三产业发展的重大问题并衔接平衡相关发展规划和重大政策，推进经济结构战略性调整。按照经济和社会发展要求，引导产业升级和转型，支持重点领域和行业建设。</w:t>
            </w:r>
          </w:p>
        </w:tc>
        <w:tc>
          <w:tcPr>
            <w:tcW w:w="2976" w:type="dxa"/>
            <w:vAlign w:val="center"/>
          </w:tcPr>
          <w:p w14:paraId="25F717DA">
            <w:pPr>
              <w:spacing w:line="300" w:lineRule="exact"/>
              <w:jc w:val="left"/>
              <w:rPr>
                <w:rFonts w:ascii="方正书宋_GBK" w:eastAsia="方正书宋_GBK"/>
                <w:color w:val="auto"/>
              </w:rPr>
            </w:pPr>
            <w:r>
              <w:rPr>
                <w:rFonts w:hint="eastAsia" w:ascii="方正书宋_GBK" w:eastAsia="方正书宋_GBK"/>
                <w:color w:val="auto"/>
              </w:rPr>
              <w:t>有效引导行业健康发展，提升全县产业和行业竞争力。</w:t>
            </w:r>
          </w:p>
        </w:tc>
        <w:tc>
          <w:tcPr>
            <w:tcW w:w="1417" w:type="dxa"/>
            <w:vAlign w:val="center"/>
          </w:tcPr>
          <w:p w14:paraId="3042A65A">
            <w:pPr>
              <w:spacing w:line="300" w:lineRule="exact"/>
              <w:jc w:val="left"/>
              <w:rPr>
                <w:rFonts w:ascii="方正书宋_GBK" w:eastAsia="方正书宋_GBK"/>
                <w:color w:val="auto"/>
              </w:rPr>
            </w:pPr>
          </w:p>
        </w:tc>
        <w:tc>
          <w:tcPr>
            <w:tcW w:w="737" w:type="dxa"/>
            <w:vAlign w:val="center"/>
          </w:tcPr>
          <w:p w14:paraId="050F7661">
            <w:pPr>
              <w:spacing w:line="300" w:lineRule="exact"/>
              <w:jc w:val="center"/>
              <w:rPr>
                <w:rFonts w:ascii="方正书宋_GBK" w:eastAsia="方正书宋_GBK"/>
                <w:color w:val="auto"/>
              </w:rPr>
            </w:pPr>
          </w:p>
        </w:tc>
        <w:tc>
          <w:tcPr>
            <w:tcW w:w="737" w:type="dxa"/>
            <w:vAlign w:val="center"/>
          </w:tcPr>
          <w:p w14:paraId="5FA48AE1">
            <w:pPr>
              <w:spacing w:line="300" w:lineRule="exact"/>
              <w:jc w:val="center"/>
              <w:rPr>
                <w:rFonts w:ascii="方正书宋_GBK" w:eastAsia="方正书宋_GBK"/>
                <w:color w:val="auto"/>
              </w:rPr>
            </w:pPr>
          </w:p>
        </w:tc>
        <w:tc>
          <w:tcPr>
            <w:tcW w:w="737" w:type="dxa"/>
            <w:vAlign w:val="center"/>
          </w:tcPr>
          <w:p w14:paraId="4EBE1562">
            <w:pPr>
              <w:spacing w:line="300" w:lineRule="exact"/>
              <w:jc w:val="center"/>
              <w:rPr>
                <w:rFonts w:ascii="方正书宋_GBK" w:eastAsia="方正书宋_GBK"/>
                <w:color w:val="auto"/>
              </w:rPr>
            </w:pPr>
          </w:p>
        </w:tc>
        <w:tc>
          <w:tcPr>
            <w:tcW w:w="737" w:type="dxa"/>
            <w:vAlign w:val="center"/>
          </w:tcPr>
          <w:p w14:paraId="2E099F8C">
            <w:pPr>
              <w:spacing w:line="300" w:lineRule="exact"/>
              <w:jc w:val="center"/>
              <w:rPr>
                <w:rFonts w:ascii="方正书宋_GBK" w:eastAsia="方正书宋_GBK"/>
                <w:color w:val="auto"/>
              </w:rPr>
            </w:pPr>
          </w:p>
        </w:tc>
      </w:tr>
      <w:tr w14:paraId="091BC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F434895">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、促进战略性新兴产业发展</w:t>
            </w:r>
          </w:p>
        </w:tc>
        <w:tc>
          <w:tcPr>
            <w:tcW w:w="1276" w:type="dxa"/>
            <w:vAlign w:val="center"/>
          </w:tcPr>
          <w:p w14:paraId="735BBFCC">
            <w:pPr>
              <w:spacing w:line="300" w:lineRule="exact"/>
              <w:jc w:val="left"/>
              <w:rPr>
                <w:rFonts w:ascii="方正书宋_GBK" w:eastAsia="方正书宋_GBK"/>
                <w:color w:val="auto"/>
              </w:rPr>
            </w:pPr>
          </w:p>
        </w:tc>
        <w:tc>
          <w:tcPr>
            <w:tcW w:w="2976" w:type="dxa"/>
            <w:vAlign w:val="center"/>
          </w:tcPr>
          <w:p w14:paraId="5899E3CE">
            <w:pPr>
              <w:spacing w:line="300" w:lineRule="exact"/>
              <w:jc w:val="left"/>
              <w:rPr>
                <w:rFonts w:ascii="方正书宋_GBK" w:eastAsia="方正书宋_GBK"/>
                <w:color w:val="auto"/>
              </w:rPr>
            </w:pPr>
            <w:r>
              <w:rPr>
                <w:rFonts w:hint="eastAsia" w:ascii="方正书宋_GBK" w:eastAsia="方正书宋_GBK"/>
                <w:color w:val="auto"/>
              </w:rPr>
              <w:t>组织实施战略性新兴产业发展战略、规划、政策措施；宣传展示我县战略性新兴产业发展成果。</w:t>
            </w:r>
          </w:p>
        </w:tc>
        <w:tc>
          <w:tcPr>
            <w:tcW w:w="2976" w:type="dxa"/>
            <w:vAlign w:val="center"/>
          </w:tcPr>
          <w:p w14:paraId="30B8F8ED">
            <w:pPr>
              <w:spacing w:line="300" w:lineRule="exact"/>
              <w:jc w:val="left"/>
              <w:rPr>
                <w:rFonts w:ascii="方正书宋_GBK" w:eastAsia="方正书宋_GBK"/>
                <w:color w:val="auto"/>
              </w:rPr>
            </w:pPr>
            <w:r>
              <w:rPr>
                <w:rFonts w:hint="eastAsia" w:ascii="方正书宋_GBK" w:eastAsia="方正书宋_GBK"/>
                <w:color w:val="auto"/>
              </w:rPr>
              <w:t>推动产业规模不断壮大。促进产业聚集发展，提升产业竞争力。创新能力稳步提升，协同创新取得成效。创新改革不断深化，创新创业生态环境进一步改善。</w:t>
            </w:r>
          </w:p>
        </w:tc>
        <w:tc>
          <w:tcPr>
            <w:tcW w:w="1417" w:type="dxa"/>
            <w:vAlign w:val="center"/>
          </w:tcPr>
          <w:p w14:paraId="0E2E1363">
            <w:pPr>
              <w:spacing w:line="300" w:lineRule="exact"/>
              <w:jc w:val="left"/>
              <w:rPr>
                <w:rFonts w:ascii="方正书宋_GBK" w:eastAsia="方正书宋_GBK"/>
                <w:color w:val="auto"/>
              </w:rPr>
            </w:pPr>
            <w:r>
              <w:rPr>
                <w:rFonts w:hint="eastAsia" w:ascii="方正书宋_GBK" w:eastAsia="方正书宋_GBK"/>
                <w:color w:val="auto"/>
              </w:rPr>
              <w:t>战略性新兴产业增加值占</w:t>
            </w:r>
            <w:r>
              <w:rPr>
                <w:rFonts w:ascii="方正书宋_GBK" w:eastAsia="方正书宋_GBK"/>
                <w:color w:val="auto"/>
              </w:rPr>
              <w:t>GDP</w:t>
            </w:r>
            <w:r>
              <w:rPr>
                <w:rFonts w:hint="eastAsia" w:ascii="方正书宋_GBK" w:eastAsia="方正书宋_GBK"/>
                <w:color w:val="auto"/>
              </w:rPr>
              <w:t>总值的比重</w:t>
            </w:r>
          </w:p>
        </w:tc>
        <w:tc>
          <w:tcPr>
            <w:tcW w:w="737" w:type="dxa"/>
            <w:vAlign w:val="center"/>
          </w:tcPr>
          <w:p w14:paraId="644D6D65">
            <w:pPr>
              <w:spacing w:line="300" w:lineRule="exact"/>
              <w:jc w:val="center"/>
              <w:rPr>
                <w:rFonts w:ascii="方正书宋_GBK" w:eastAsia="方正书宋_GBK"/>
                <w:color w:val="auto"/>
              </w:rPr>
            </w:pPr>
            <w:r>
              <w:rPr>
                <w:rFonts w:hint="eastAsia" w:ascii="方正书宋_GBK" w:eastAsia="方正书宋_GBK"/>
                <w:color w:val="auto"/>
              </w:rPr>
              <w:t>逐年增加</w:t>
            </w:r>
          </w:p>
        </w:tc>
        <w:tc>
          <w:tcPr>
            <w:tcW w:w="737" w:type="dxa"/>
            <w:vAlign w:val="center"/>
          </w:tcPr>
          <w:p w14:paraId="773F93C2">
            <w:pPr>
              <w:spacing w:line="300" w:lineRule="exact"/>
              <w:jc w:val="center"/>
              <w:rPr>
                <w:rFonts w:ascii="方正书宋_GBK" w:eastAsia="方正书宋_GBK"/>
                <w:color w:val="auto"/>
              </w:rPr>
            </w:pPr>
            <w:r>
              <w:rPr>
                <w:rFonts w:hint="eastAsia" w:ascii="方正书宋_GBK" w:eastAsia="方正书宋_GBK"/>
                <w:color w:val="auto"/>
              </w:rPr>
              <w:t>与往年持平</w:t>
            </w:r>
          </w:p>
        </w:tc>
        <w:tc>
          <w:tcPr>
            <w:tcW w:w="737" w:type="dxa"/>
            <w:vAlign w:val="center"/>
          </w:tcPr>
          <w:p w14:paraId="73050F1F">
            <w:pPr>
              <w:spacing w:line="300" w:lineRule="exact"/>
              <w:jc w:val="center"/>
              <w:rPr>
                <w:rFonts w:ascii="方正书宋_GBK" w:eastAsia="方正书宋_GBK"/>
                <w:color w:val="auto"/>
              </w:rPr>
            </w:pPr>
          </w:p>
        </w:tc>
        <w:tc>
          <w:tcPr>
            <w:tcW w:w="737" w:type="dxa"/>
            <w:vAlign w:val="center"/>
          </w:tcPr>
          <w:p w14:paraId="3981DD6E">
            <w:pPr>
              <w:spacing w:line="300" w:lineRule="exact"/>
              <w:jc w:val="center"/>
              <w:rPr>
                <w:rFonts w:ascii="方正书宋_GBK" w:eastAsia="方正书宋_GBK"/>
                <w:color w:val="auto"/>
              </w:rPr>
            </w:pPr>
            <w:r>
              <w:rPr>
                <w:rFonts w:hint="eastAsia" w:ascii="方正书宋_GBK" w:eastAsia="方正书宋_GBK"/>
                <w:color w:val="auto"/>
              </w:rPr>
              <w:t>低于往年水平</w:t>
            </w:r>
          </w:p>
        </w:tc>
      </w:tr>
      <w:tr w14:paraId="2EC01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78D9CCE">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、推进物流业及服务业发展</w:t>
            </w:r>
          </w:p>
        </w:tc>
        <w:tc>
          <w:tcPr>
            <w:tcW w:w="1276" w:type="dxa"/>
            <w:vMerge w:val="restart"/>
            <w:vAlign w:val="center"/>
          </w:tcPr>
          <w:p w14:paraId="48EBFC45">
            <w:pPr>
              <w:spacing w:line="300" w:lineRule="exact"/>
              <w:jc w:val="left"/>
              <w:rPr>
                <w:rFonts w:ascii="方正书宋_GBK" w:eastAsia="方正书宋_GBK"/>
                <w:color w:val="auto"/>
              </w:rPr>
            </w:pPr>
          </w:p>
        </w:tc>
        <w:tc>
          <w:tcPr>
            <w:tcW w:w="2976" w:type="dxa"/>
            <w:vMerge w:val="restart"/>
            <w:vAlign w:val="center"/>
          </w:tcPr>
          <w:p w14:paraId="49B098CA">
            <w:pPr>
              <w:spacing w:line="300" w:lineRule="exact"/>
              <w:jc w:val="left"/>
              <w:rPr>
                <w:rFonts w:ascii="方正书宋_GBK" w:eastAsia="方正书宋_GBK"/>
                <w:color w:val="auto"/>
              </w:rPr>
            </w:pPr>
            <w:r>
              <w:rPr>
                <w:rFonts w:hint="eastAsia" w:ascii="方正书宋_GBK" w:eastAsia="方正书宋_GBK"/>
                <w:color w:val="auto"/>
              </w:rPr>
              <w:t>制定并组织实施加快服务业发展的战略规划，落实有关政策措施，推进服务业项目建设。落实现代物流业发展的相关政策，支持县级物流产业聚集区发展和物流项目建设，进一步完善全县物流基础设施，增强物流企业竞争力。</w:t>
            </w:r>
          </w:p>
        </w:tc>
        <w:tc>
          <w:tcPr>
            <w:tcW w:w="2976" w:type="dxa"/>
            <w:vMerge w:val="restart"/>
            <w:vAlign w:val="center"/>
          </w:tcPr>
          <w:p w14:paraId="4785A4C7">
            <w:pPr>
              <w:spacing w:line="300" w:lineRule="exact"/>
              <w:jc w:val="left"/>
              <w:rPr>
                <w:rFonts w:ascii="方正书宋_GBK" w:eastAsia="方正书宋_GBK"/>
                <w:color w:val="auto"/>
              </w:rPr>
            </w:pPr>
            <w:r>
              <w:rPr>
                <w:rFonts w:hint="eastAsia" w:ascii="方正书宋_GBK" w:eastAsia="方正书宋_GBK"/>
                <w:color w:val="auto"/>
              </w:rPr>
              <w:t>加快县级物流产业聚集区建设；加快县级物流产业聚集区、已列入物流发展规划的重点项目、农产品物流项目交易设施改造升级及大型冷链物流项目建设</w:t>
            </w:r>
          </w:p>
        </w:tc>
        <w:tc>
          <w:tcPr>
            <w:tcW w:w="1417" w:type="dxa"/>
            <w:vAlign w:val="center"/>
          </w:tcPr>
          <w:p w14:paraId="7141B526">
            <w:pPr>
              <w:spacing w:line="300" w:lineRule="exact"/>
              <w:jc w:val="left"/>
              <w:rPr>
                <w:rFonts w:ascii="方正书宋_GBK" w:eastAsia="方正书宋_GBK"/>
                <w:color w:val="auto"/>
              </w:rPr>
            </w:pPr>
            <w:r>
              <w:rPr>
                <w:rFonts w:hint="eastAsia" w:ascii="方正书宋_GBK" w:eastAsia="方正书宋_GBK"/>
                <w:color w:val="auto"/>
              </w:rPr>
              <w:t>服务业增加值占</w:t>
            </w:r>
            <w:r>
              <w:rPr>
                <w:rFonts w:ascii="方正书宋_GBK" w:eastAsia="方正书宋_GBK"/>
                <w:color w:val="auto"/>
              </w:rPr>
              <w:t>GDP</w:t>
            </w:r>
            <w:r>
              <w:rPr>
                <w:rFonts w:hint="eastAsia" w:ascii="方正书宋_GBK" w:eastAsia="方正书宋_GBK"/>
                <w:color w:val="auto"/>
              </w:rPr>
              <w:t>总值的比重</w:t>
            </w:r>
          </w:p>
        </w:tc>
        <w:tc>
          <w:tcPr>
            <w:tcW w:w="737" w:type="dxa"/>
            <w:vAlign w:val="center"/>
          </w:tcPr>
          <w:p w14:paraId="0D21976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B85575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3E5E62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0A55B22">
            <w:pPr>
              <w:spacing w:line="300" w:lineRule="exact"/>
              <w:jc w:val="center"/>
              <w:rPr>
                <w:rFonts w:ascii="方正书宋_GBK" w:eastAsia="方正书宋_GBK"/>
                <w:color w:val="auto"/>
              </w:rPr>
            </w:pPr>
            <w:r>
              <w:rPr>
                <w:rFonts w:ascii="方正书宋_GBK" w:eastAsia="方正书宋_GBK"/>
                <w:color w:val="auto"/>
              </w:rPr>
              <w:t>&lt;70%</w:t>
            </w:r>
          </w:p>
        </w:tc>
      </w:tr>
      <w:tr w14:paraId="59DE6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961216D">
            <w:pPr>
              <w:spacing w:line="300" w:lineRule="exact"/>
              <w:jc w:val="left"/>
              <w:rPr>
                <w:rFonts w:ascii="方正书宋_GBK" w:eastAsia="方正书宋_GBK"/>
                <w:b/>
                <w:color w:val="auto"/>
              </w:rPr>
            </w:pPr>
          </w:p>
        </w:tc>
        <w:tc>
          <w:tcPr>
            <w:tcW w:w="1276" w:type="dxa"/>
            <w:vMerge w:val="continue"/>
            <w:vAlign w:val="center"/>
          </w:tcPr>
          <w:p w14:paraId="0FFDAF3F">
            <w:pPr>
              <w:spacing w:line="300" w:lineRule="exact"/>
              <w:jc w:val="left"/>
              <w:rPr>
                <w:rFonts w:ascii="方正书宋_GBK" w:eastAsia="方正书宋_GBK"/>
                <w:color w:val="auto"/>
              </w:rPr>
            </w:pPr>
          </w:p>
        </w:tc>
        <w:tc>
          <w:tcPr>
            <w:tcW w:w="2976" w:type="dxa"/>
            <w:vMerge w:val="continue"/>
            <w:vAlign w:val="center"/>
          </w:tcPr>
          <w:p w14:paraId="32294F06">
            <w:pPr>
              <w:spacing w:line="300" w:lineRule="exact"/>
              <w:jc w:val="left"/>
              <w:rPr>
                <w:rFonts w:ascii="方正书宋_GBK" w:eastAsia="方正书宋_GBK"/>
                <w:color w:val="auto"/>
              </w:rPr>
            </w:pPr>
          </w:p>
        </w:tc>
        <w:tc>
          <w:tcPr>
            <w:tcW w:w="2976" w:type="dxa"/>
            <w:vMerge w:val="continue"/>
            <w:vAlign w:val="center"/>
          </w:tcPr>
          <w:p w14:paraId="4F0F0BEB">
            <w:pPr>
              <w:spacing w:line="300" w:lineRule="exact"/>
              <w:jc w:val="left"/>
              <w:rPr>
                <w:rFonts w:ascii="方正书宋_GBK" w:eastAsia="方正书宋_GBK"/>
                <w:color w:val="auto"/>
              </w:rPr>
            </w:pPr>
          </w:p>
        </w:tc>
        <w:tc>
          <w:tcPr>
            <w:tcW w:w="1417" w:type="dxa"/>
            <w:vAlign w:val="center"/>
          </w:tcPr>
          <w:p w14:paraId="5519C422">
            <w:pPr>
              <w:spacing w:line="300" w:lineRule="exact"/>
              <w:jc w:val="left"/>
              <w:rPr>
                <w:rFonts w:ascii="方正书宋_GBK" w:eastAsia="方正书宋_GBK"/>
                <w:color w:val="auto"/>
              </w:rPr>
            </w:pPr>
            <w:r>
              <w:rPr>
                <w:rFonts w:hint="eastAsia" w:ascii="方正书宋_GBK" w:eastAsia="方正书宋_GBK"/>
                <w:color w:val="auto"/>
              </w:rPr>
              <w:t>物流业增加值增长率</w:t>
            </w:r>
          </w:p>
        </w:tc>
        <w:tc>
          <w:tcPr>
            <w:tcW w:w="737" w:type="dxa"/>
            <w:vAlign w:val="center"/>
          </w:tcPr>
          <w:p w14:paraId="27B5FAB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BEF9F6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4F029B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D9E1833">
            <w:pPr>
              <w:spacing w:line="300" w:lineRule="exact"/>
              <w:jc w:val="center"/>
              <w:rPr>
                <w:rFonts w:ascii="方正书宋_GBK" w:eastAsia="方正书宋_GBK"/>
                <w:color w:val="auto"/>
              </w:rPr>
            </w:pPr>
            <w:r>
              <w:rPr>
                <w:rFonts w:ascii="方正书宋_GBK" w:eastAsia="方正书宋_GBK"/>
                <w:color w:val="auto"/>
              </w:rPr>
              <w:t>&lt;70%</w:t>
            </w:r>
          </w:p>
        </w:tc>
      </w:tr>
      <w:tr w14:paraId="75D3F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07ED4F6">
            <w:pPr>
              <w:spacing w:line="300" w:lineRule="exact"/>
              <w:jc w:val="left"/>
              <w:rPr>
                <w:rFonts w:ascii="方正书宋_GBK" w:eastAsia="方正书宋_GBK"/>
                <w:b/>
                <w:color w:val="auto"/>
              </w:rPr>
            </w:pPr>
          </w:p>
        </w:tc>
        <w:tc>
          <w:tcPr>
            <w:tcW w:w="1276" w:type="dxa"/>
            <w:vMerge w:val="continue"/>
            <w:vAlign w:val="center"/>
          </w:tcPr>
          <w:p w14:paraId="1C5A833B">
            <w:pPr>
              <w:spacing w:line="300" w:lineRule="exact"/>
              <w:jc w:val="left"/>
              <w:rPr>
                <w:rFonts w:ascii="方正书宋_GBK" w:eastAsia="方正书宋_GBK"/>
                <w:color w:val="auto"/>
              </w:rPr>
            </w:pPr>
          </w:p>
        </w:tc>
        <w:tc>
          <w:tcPr>
            <w:tcW w:w="2976" w:type="dxa"/>
            <w:vMerge w:val="continue"/>
            <w:vAlign w:val="center"/>
          </w:tcPr>
          <w:p w14:paraId="5252E26E">
            <w:pPr>
              <w:spacing w:line="300" w:lineRule="exact"/>
              <w:jc w:val="left"/>
              <w:rPr>
                <w:rFonts w:ascii="方正书宋_GBK" w:eastAsia="方正书宋_GBK"/>
                <w:color w:val="auto"/>
              </w:rPr>
            </w:pPr>
          </w:p>
        </w:tc>
        <w:tc>
          <w:tcPr>
            <w:tcW w:w="2976" w:type="dxa"/>
            <w:vMerge w:val="continue"/>
            <w:vAlign w:val="center"/>
          </w:tcPr>
          <w:p w14:paraId="6A2993AF">
            <w:pPr>
              <w:spacing w:line="300" w:lineRule="exact"/>
              <w:jc w:val="left"/>
              <w:rPr>
                <w:rFonts w:ascii="方正书宋_GBK" w:eastAsia="方正书宋_GBK"/>
                <w:color w:val="auto"/>
              </w:rPr>
            </w:pPr>
          </w:p>
        </w:tc>
        <w:tc>
          <w:tcPr>
            <w:tcW w:w="1417" w:type="dxa"/>
            <w:vAlign w:val="center"/>
          </w:tcPr>
          <w:p w14:paraId="37453717">
            <w:pPr>
              <w:spacing w:line="300" w:lineRule="exact"/>
              <w:jc w:val="left"/>
              <w:rPr>
                <w:rFonts w:ascii="方正书宋_GBK" w:eastAsia="方正书宋_GBK"/>
                <w:color w:val="auto"/>
              </w:rPr>
            </w:pPr>
            <w:r>
              <w:rPr>
                <w:rFonts w:hint="eastAsia" w:ascii="方正书宋_GBK" w:eastAsia="方正书宋_GBK"/>
                <w:color w:val="auto"/>
              </w:rPr>
              <w:t>县级物流产业聚集区、已列入物流发展规划的重点项目、农产品物流项目交易设施改造升级及大型冷链物流项目建设完成率</w:t>
            </w:r>
          </w:p>
        </w:tc>
        <w:tc>
          <w:tcPr>
            <w:tcW w:w="737" w:type="dxa"/>
            <w:vAlign w:val="center"/>
          </w:tcPr>
          <w:p w14:paraId="3561C6C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B5C389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A44848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DD44BA2">
            <w:pPr>
              <w:spacing w:line="300" w:lineRule="exact"/>
              <w:jc w:val="center"/>
              <w:rPr>
                <w:rFonts w:ascii="方正书宋_GBK" w:eastAsia="方正书宋_GBK"/>
                <w:color w:val="auto"/>
              </w:rPr>
            </w:pPr>
            <w:r>
              <w:rPr>
                <w:rFonts w:ascii="方正书宋_GBK" w:eastAsia="方正书宋_GBK"/>
                <w:color w:val="auto"/>
              </w:rPr>
              <w:t>&lt;70%</w:t>
            </w:r>
          </w:p>
        </w:tc>
      </w:tr>
      <w:tr w14:paraId="4BD39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900312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、组织推进物流业及服务业发展</w:t>
            </w:r>
          </w:p>
        </w:tc>
        <w:tc>
          <w:tcPr>
            <w:tcW w:w="1276" w:type="dxa"/>
            <w:vAlign w:val="center"/>
          </w:tcPr>
          <w:p w14:paraId="52C9DFA5">
            <w:pPr>
              <w:spacing w:line="300" w:lineRule="exact"/>
              <w:jc w:val="left"/>
              <w:rPr>
                <w:rFonts w:ascii="方正书宋_GBK" w:eastAsia="方正书宋_GBK"/>
                <w:color w:val="auto"/>
              </w:rPr>
            </w:pPr>
          </w:p>
        </w:tc>
        <w:tc>
          <w:tcPr>
            <w:tcW w:w="2976" w:type="dxa"/>
            <w:vAlign w:val="center"/>
          </w:tcPr>
          <w:p w14:paraId="0720F4DF">
            <w:pPr>
              <w:spacing w:line="300" w:lineRule="exact"/>
              <w:jc w:val="left"/>
              <w:rPr>
                <w:rFonts w:ascii="方正书宋_GBK" w:eastAsia="方正书宋_GBK"/>
                <w:color w:val="auto"/>
              </w:rPr>
            </w:pPr>
            <w:r>
              <w:rPr>
                <w:rFonts w:hint="eastAsia" w:ascii="方正书宋_GBK" w:eastAsia="方正书宋_GBK"/>
                <w:color w:val="auto"/>
              </w:rPr>
              <w:t>制定并组织实施加快服务业发展的战略规划，落实有关政策措施，推进服务业项目建设。研究提出促进现代物流业发展的相关政策，支持省级物流产业聚集区发展和物流项目建设，进一步完善全县物流基础设施，增强物流企业竞争力，着力推动钢铁、煤炭、农产品三大宗商品交易平台形成规模。</w:t>
            </w:r>
          </w:p>
        </w:tc>
        <w:tc>
          <w:tcPr>
            <w:tcW w:w="2976" w:type="dxa"/>
            <w:vAlign w:val="center"/>
          </w:tcPr>
          <w:p w14:paraId="76CB8A9D">
            <w:pPr>
              <w:spacing w:line="300" w:lineRule="exact"/>
              <w:jc w:val="left"/>
              <w:rPr>
                <w:rFonts w:ascii="方正书宋_GBK" w:eastAsia="方正书宋_GBK"/>
                <w:color w:val="auto"/>
              </w:rPr>
            </w:pPr>
            <w:r>
              <w:rPr>
                <w:rFonts w:hint="eastAsia" w:ascii="方正书宋_GBK" w:eastAsia="方正书宋_GBK"/>
                <w:color w:val="auto"/>
              </w:rPr>
              <w:t>加快省级物流产业聚集区建设；争取国家经贸流通领域和服务业产业发展引导资金；加快省级物流产业聚集区、已列入物流发展规划的重点项目、农产品物流项目交易设施改造升级及大型冷链物流项目建设，</w:t>
            </w:r>
          </w:p>
        </w:tc>
        <w:tc>
          <w:tcPr>
            <w:tcW w:w="1417" w:type="dxa"/>
            <w:vAlign w:val="center"/>
          </w:tcPr>
          <w:p w14:paraId="2579BB63">
            <w:pPr>
              <w:spacing w:line="300" w:lineRule="exact"/>
              <w:jc w:val="left"/>
              <w:rPr>
                <w:rFonts w:ascii="方正书宋_GBK" w:eastAsia="方正书宋_GBK"/>
                <w:color w:val="auto"/>
              </w:rPr>
            </w:pPr>
            <w:r>
              <w:rPr>
                <w:rFonts w:hint="eastAsia" w:ascii="方正书宋_GBK" w:eastAsia="方正书宋_GBK"/>
                <w:color w:val="auto"/>
              </w:rPr>
              <w:t>服务业增加值增长率</w:t>
            </w:r>
          </w:p>
        </w:tc>
        <w:tc>
          <w:tcPr>
            <w:tcW w:w="737" w:type="dxa"/>
            <w:vAlign w:val="center"/>
          </w:tcPr>
          <w:p w14:paraId="2D7B16B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92323B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AD6028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B576ACE">
            <w:pPr>
              <w:spacing w:line="300" w:lineRule="exact"/>
              <w:jc w:val="center"/>
              <w:rPr>
                <w:rFonts w:ascii="方正书宋_GBK" w:eastAsia="方正书宋_GBK"/>
                <w:color w:val="auto"/>
              </w:rPr>
            </w:pPr>
            <w:r>
              <w:rPr>
                <w:rFonts w:ascii="方正书宋_GBK" w:eastAsia="方正书宋_GBK"/>
                <w:color w:val="auto"/>
              </w:rPr>
              <w:t>&lt;70%</w:t>
            </w:r>
          </w:p>
        </w:tc>
      </w:tr>
      <w:tr w14:paraId="26D88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56ADCE4">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、促进节能降耗、资源综合利用和生态建设</w:t>
            </w:r>
          </w:p>
        </w:tc>
        <w:tc>
          <w:tcPr>
            <w:tcW w:w="1276" w:type="dxa"/>
            <w:vMerge w:val="restart"/>
            <w:vAlign w:val="center"/>
          </w:tcPr>
          <w:p w14:paraId="0B821277">
            <w:pPr>
              <w:spacing w:line="300" w:lineRule="exact"/>
              <w:jc w:val="left"/>
              <w:rPr>
                <w:rFonts w:ascii="方正书宋_GBK" w:eastAsia="方正书宋_GBK"/>
                <w:color w:val="auto"/>
              </w:rPr>
            </w:pPr>
            <w:r>
              <w:rPr>
                <w:rFonts w:ascii="方正书宋_GBK" w:eastAsia="方正书宋_GBK"/>
                <w:color w:val="auto"/>
              </w:rPr>
              <w:t>2752.94</w:t>
            </w:r>
          </w:p>
        </w:tc>
        <w:tc>
          <w:tcPr>
            <w:tcW w:w="2976" w:type="dxa"/>
            <w:vMerge w:val="restart"/>
            <w:vAlign w:val="center"/>
          </w:tcPr>
          <w:p w14:paraId="6BE4143E">
            <w:pPr>
              <w:spacing w:line="300" w:lineRule="exact"/>
              <w:jc w:val="left"/>
              <w:rPr>
                <w:rFonts w:ascii="方正书宋_GBK" w:eastAsia="方正书宋_GBK"/>
                <w:color w:val="auto"/>
              </w:rPr>
            </w:pPr>
            <w:r>
              <w:rPr>
                <w:rFonts w:hint="eastAsia" w:ascii="方正书宋_GBK" w:eastAsia="方正书宋_GBK"/>
                <w:color w:val="auto"/>
              </w:rPr>
              <w:t>推进可持续发展战略，组织拟订发展循环经济、全社会资源节约和综合利用、省应对气候变化政策并组织实施；协调生态建设、能源资源节约和综合利用、环保产业和清洁生产促进等工作；推进综合协调节能减排工作，利用专项资金对节能技改、合同能源管理、重点用电行业（领域）和项目电力需求侧管理实施引导和扶持；开展节能监察、监测，加强节能宣传培训，建立碳排放报告、核算、考核及碳排放权交易制度，确保完成节能、削煤、降碳约束性指标；加强散装水泥、新型墙体材料和冶金矿产资源管理。</w:t>
            </w:r>
          </w:p>
        </w:tc>
        <w:tc>
          <w:tcPr>
            <w:tcW w:w="2976" w:type="dxa"/>
            <w:vMerge w:val="restart"/>
            <w:vAlign w:val="center"/>
          </w:tcPr>
          <w:p w14:paraId="6F1929FE">
            <w:pPr>
              <w:spacing w:line="300" w:lineRule="exact"/>
              <w:jc w:val="left"/>
              <w:rPr>
                <w:rFonts w:ascii="方正书宋_GBK" w:eastAsia="方正书宋_GBK"/>
                <w:color w:val="auto"/>
              </w:rPr>
            </w:pPr>
            <w:r>
              <w:rPr>
                <w:rFonts w:hint="eastAsia" w:ascii="方正书宋_GBK" w:eastAsia="方正书宋_GBK"/>
                <w:color w:val="auto"/>
              </w:rPr>
              <w:t>发挥专项资金的引导和激励的作用，通过采取补助、奖励等方式调动企业节能降耗的积极性，确保完成节能、削煤、降碳目标任务；电能使用效率不断提高；积极助推节能减排和大气污染防治；确保实现年度单位</w:t>
            </w:r>
            <w:r>
              <w:rPr>
                <w:rFonts w:ascii="方正书宋_GBK" w:eastAsia="方正书宋_GBK"/>
                <w:color w:val="auto"/>
              </w:rPr>
              <w:t>GDP</w:t>
            </w:r>
            <w:r>
              <w:rPr>
                <w:rFonts w:hint="eastAsia" w:ascii="方正书宋_GBK" w:eastAsia="方正书宋_GBK"/>
                <w:color w:val="auto"/>
              </w:rPr>
              <w:t>能耗下降率</w:t>
            </w:r>
          </w:p>
        </w:tc>
        <w:tc>
          <w:tcPr>
            <w:tcW w:w="1417" w:type="dxa"/>
            <w:vAlign w:val="center"/>
          </w:tcPr>
          <w:p w14:paraId="07738BB3">
            <w:pPr>
              <w:spacing w:line="300" w:lineRule="exact"/>
              <w:jc w:val="left"/>
              <w:rPr>
                <w:rFonts w:ascii="方正书宋_GBK" w:eastAsia="方正书宋_GBK"/>
                <w:color w:val="auto"/>
              </w:rPr>
            </w:pPr>
            <w:r>
              <w:rPr>
                <w:rFonts w:hint="eastAsia" w:ascii="方正书宋_GBK" w:eastAsia="方正书宋_GBK"/>
                <w:color w:val="auto"/>
              </w:rPr>
              <w:t>二氧化硫减排量</w:t>
            </w:r>
          </w:p>
        </w:tc>
        <w:tc>
          <w:tcPr>
            <w:tcW w:w="737" w:type="dxa"/>
            <w:vAlign w:val="center"/>
          </w:tcPr>
          <w:p w14:paraId="65A3A373">
            <w:pPr>
              <w:spacing w:line="300" w:lineRule="exact"/>
              <w:jc w:val="center"/>
              <w:rPr>
                <w:rFonts w:ascii="方正书宋_GBK" w:eastAsia="方正书宋_GBK"/>
                <w:color w:val="auto"/>
              </w:rPr>
            </w:pPr>
          </w:p>
        </w:tc>
        <w:tc>
          <w:tcPr>
            <w:tcW w:w="737" w:type="dxa"/>
            <w:vAlign w:val="center"/>
          </w:tcPr>
          <w:p w14:paraId="1ABEA0E6">
            <w:pPr>
              <w:spacing w:line="300" w:lineRule="exact"/>
              <w:jc w:val="center"/>
              <w:rPr>
                <w:rFonts w:ascii="方正书宋_GBK" w:eastAsia="方正书宋_GBK"/>
                <w:color w:val="auto"/>
              </w:rPr>
            </w:pPr>
          </w:p>
        </w:tc>
        <w:tc>
          <w:tcPr>
            <w:tcW w:w="737" w:type="dxa"/>
            <w:vAlign w:val="center"/>
          </w:tcPr>
          <w:p w14:paraId="27B59BCF">
            <w:pPr>
              <w:spacing w:line="300" w:lineRule="exact"/>
              <w:jc w:val="center"/>
              <w:rPr>
                <w:rFonts w:ascii="方正书宋_GBK" w:eastAsia="方正书宋_GBK"/>
                <w:color w:val="auto"/>
              </w:rPr>
            </w:pPr>
          </w:p>
        </w:tc>
        <w:tc>
          <w:tcPr>
            <w:tcW w:w="737" w:type="dxa"/>
            <w:vAlign w:val="center"/>
          </w:tcPr>
          <w:p w14:paraId="3BE23A53">
            <w:pPr>
              <w:spacing w:line="300" w:lineRule="exact"/>
              <w:jc w:val="center"/>
              <w:rPr>
                <w:rFonts w:ascii="方正书宋_GBK" w:eastAsia="方正书宋_GBK"/>
                <w:color w:val="auto"/>
              </w:rPr>
            </w:pPr>
          </w:p>
        </w:tc>
      </w:tr>
      <w:tr w14:paraId="39DA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7796DA7">
            <w:pPr>
              <w:spacing w:line="300" w:lineRule="exact"/>
              <w:jc w:val="left"/>
              <w:rPr>
                <w:rFonts w:ascii="方正书宋_GBK" w:eastAsia="方正书宋_GBK"/>
                <w:b/>
                <w:color w:val="auto"/>
              </w:rPr>
            </w:pPr>
          </w:p>
        </w:tc>
        <w:tc>
          <w:tcPr>
            <w:tcW w:w="1276" w:type="dxa"/>
            <w:vMerge w:val="continue"/>
            <w:vAlign w:val="center"/>
          </w:tcPr>
          <w:p w14:paraId="02DA9D40">
            <w:pPr>
              <w:spacing w:line="300" w:lineRule="exact"/>
              <w:jc w:val="left"/>
              <w:rPr>
                <w:rFonts w:ascii="方正书宋_GBK" w:eastAsia="方正书宋_GBK"/>
                <w:color w:val="auto"/>
              </w:rPr>
            </w:pPr>
          </w:p>
        </w:tc>
        <w:tc>
          <w:tcPr>
            <w:tcW w:w="2976" w:type="dxa"/>
            <w:vMerge w:val="continue"/>
            <w:vAlign w:val="center"/>
          </w:tcPr>
          <w:p w14:paraId="3B0B74C5">
            <w:pPr>
              <w:spacing w:line="300" w:lineRule="exact"/>
              <w:jc w:val="left"/>
              <w:rPr>
                <w:rFonts w:ascii="方正书宋_GBK" w:eastAsia="方正书宋_GBK"/>
                <w:color w:val="auto"/>
              </w:rPr>
            </w:pPr>
          </w:p>
        </w:tc>
        <w:tc>
          <w:tcPr>
            <w:tcW w:w="2976" w:type="dxa"/>
            <w:vMerge w:val="continue"/>
            <w:vAlign w:val="center"/>
          </w:tcPr>
          <w:p w14:paraId="1B6FBB46">
            <w:pPr>
              <w:spacing w:line="300" w:lineRule="exact"/>
              <w:jc w:val="left"/>
              <w:rPr>
                <w:rFonts w:ascii="方正书宋_GBK" w:eastAsia="方正书宋_GBK"/>
                <w:color w:val="auto"/>
              </w:rPr>
            </w:pPr>
          </w:p>
        </w:tc>
        <w:tc>
          <w:tcPr>
            <w:tcW w:w="1417" w:type="dxa"/>
            <w:vAlign w:val="center"/>
          </w:tcPr>
          <w:p w14:paraId="63211F14">
            <w:pPr>
              <w:spacing w:line="300" w:lineRule="exact"/>
              <w:jc w:val="left"/>
              <w:rPr>
                <w:rFonts w:ascii="方正书宋_GBK" w:eastAsia="方正书宋_GBK"/>
                <w:color w:val="auto"/>
              </w:rPr>
            </w:pPr>
            <w:r>
              <w:rPr>
                <w:rFonts w:hint="eastAsia" w:ascii="方正书宋_GBK" w:eastAsia="方正书宋_GBK"/>
                <w:color w:val="auto"/>
              </w:rPr>
              <w:t>二氧化碳减排量</w:t>
            </w:r>
          </w:p>
        </w:tc>
        <w:tc>
          <w:tcPr>
            <w:tcW w:w="737" w:type="dxa"/>
            <w:vAlign w:val="center"/>
          </w:tcPr>
          <w:p w14:paraId="04E407D6">
            <w:pPr>
              <w:spacing w:line="300" w:lineRule="exact"/>
              <w:jc w:val="center"/>
              <w:rPr>
                <w:rFonts w:ascii="方正书宋_GBK" w:eastAsia="方正书宋_GBK"/>
                <w:color w:val="auto"/>
              </w:rPr>
            </w:pPr>
          </w:p>
        </w:tc>
        <w:tc>
          <w:tcPr>
            <w:tcW w:w="737" w:type="dxa"/>
            <w:vAlign w:val="center"/>
          </w:tcPr>
          <w:p w14:paraId="54EEDC97">
            <w:pPr>
              <w:spacing w:line="300" w:lineRule="exact"/>
              <w:jc w:val="center"/>
              <w:rPr>
                <w:rFonts w:ascii="方正书宋_GBK" w:eastAsia="方正书宋_GBK"/>
                <w:color w:val="auto"/>
              </w:rPr>
            </w:pPr>
          </w:p>
        </w:tc>
        <w:tc>
          <w:tcPr>
            <w:tcW w:w="737" w:type="dxa"/>
            <w:vAlign w:val="center"/>
          </w:tcPr>
          <w:p w14:paraId="16F365A7">
            <w:pPr>
              <w:spacing w:line="300" w:lineRule="exact"/>
              <w:jc w:val="center"/>
              <w:rPr>
                <w:rFonts w:ascii="方正书宋_GBK" w:eastAsia="方正书宋_GBK"/>
                <w:color w:val="auto"/>
              </w:rPr>
            </w:pPr>
          </w:p>
        </w:tc>
        <w:tc>
          <w:tcPr>
            <w:tcW w:w="737" w:type="dxa"/>
            <w:vAlign w:val="center"/>
          </w:tcPr>
          <w:p w14:paraId="00954D88">
            <w:pPr>
              <w:spacing w:line="300" w:lineRule="exact"/>
              <w:jc w:val="center"/>
              <w:rPr>
                <w:rFonts w:ascii="方正书宋_GBK" w:eastAsia="方正书宋_GBK"/>
                <w:color w:val="auto"/>
              </w:rPr>
            </w:pPr>
          </w:p>
        </w:tc>
      </w:tr>
      <w:tr w14:paraId="54D4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733A0EE">
            <w:pPr>
              <w:spacing w:line="300" w:lineRule="exact"/>
              <w:jc w:val="left"/>
              <w:rPr>
                <w:rFonts w:ascii="方正书宋_GBK" w:eastAsia="方正书宋_GBK"/>
                <w:b/>
                <w:color w:val="auto"/>
              </w:rPr>
            </w:pPr>
          </w:p>
        </w:tc>
        <w:tc>
          <w:tcPr>
            <w:tcW w:w="1276" w:type="dxa"/>
            <w:vMerge w:val="continue"/>
            <w:vAlign w:val="center"/>
          </w:tcPr>
          <w:p w14:paraId="469F1FE4">
            <w:pPr>
              <w:spacing w:line="300" w:lineRule="exact"/>
              <w:jc w:val="left"/>
              <w:rPr>
                <w:rFonts w:ascii="方正书宋_GBK" w:eastAsia="方正书宋_GBK"/>
                <w:color w:val="auto"/>
              </w:rPr>
            </w:pPr>
          </w:p>
        </w:tc>
        <w:tc>
          <w:tcPr>
            <w:tcW w:w="2976" w:type="dxa"/>
            <w:vMerge w:val="continue"/>
            <w:vAlign w:val="center"/>
          </w:tcPr>
          <w:p w14:paraId="17F347FE">
            <w:pPr>
              <w:spacing w:line="300" w:lineRule="exact"/>
              <w:jc w:val="left"/>
              <w:rPr>
                <w:rFonts w:ascii="方正书宋_GBK" w:eastAsia="方正书宋_GBK"/>
                <w:color w:val="auto"/>
              </w:rPr>
            </w:pPr>
          </w:p>
        </w:tc>
        <w:tc>
          <w:tcPr>
            <w:tcW w:w="2976" w:type="dxa"/>
            <w:vMerge w:val="continue"/>
            <w:vAlign w:val="center"/>
          </w:tcPr>
          <w:p w14:paraId="52B87473">
            <w:pPr>
              <w:spacing w:line="300" w:lineRule="exact"/>
              <w:jc w:val="left"/>
              <w:rPr>
                <w:rFonts w:ascii="方正书宋_GBK" w:eastAsia="方正书宋_GBK"/>
                <w:color w:val="auto"/>
              </w:rPr>
            </w:pPr>
          </w:p>
        </w:tc>
        <w:tc>
          <w:tcPr>
            <w:tcW w:w="1417" w:type="dxa"/>
            <w:vAlign w:val="center"/>
          </w:tcPr>
          <w:p w14:paraId="4F0A69A4">
            <w:pPr>
              <w:spacing w:line="300" w:lineRule="exact"/>
              <w:jc w:val="left"/>
              <w:rPr>
                <w:rFonts w:ascii="方正书宋_GBK" w:eastAsia="方正书宋_GBK"/>
                <w:color w:val="auto"/>
              </w:rPr>
            </w:pPr>
            <w:r>
              <w:rPr>
                <w:rFonts w:hint="eastAsia" w:ascii="方正书宋_GBK" w:eastAsia="方正书宋_GBK"/>
                <w:color w:val="auto"/>
              </w:rPr>
              <w:t>单位</w:t>
            </w:r>
            <w:r>
              <w:rPr>
                <w:rFonts w:ascii="方正书宋_GBK" w:eastAsia="方正书宋_GBK"/>
                <w:color w:val="auto"/>
              </w:rPr>
              <w:t>GDP</w:t>
            </w:r>
            <w:r>
              <w:rPr>
                <w:rFonts w:hint="eastAsia" w:ascii="方正书宋_GBK" w:eastAsia="方正书宋_GBK"/>
                <w:color w:val="auto"/>
              </w:rPr>
              <w:t>能耗下降率</w:t>
            </w:r>
          </w:p>
        </w:tc>
        <w:tc>
          <w:tcPr>
            <w:tcW w:w="737" w:type="dxa"/>
            <w:vAlign w:val="center"/>
          </w:tcPr>
          <w:p w14:paraId="17564357">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131E0D95">
            <w:pPr>
              <w:spacing w:line="300" w:lineRule="exact"/>
              <w:jc w:val="center"/>
              <w:rPr>
                <w:rFonts w:ascii="方正书宋_GBK" w:eastAsia="方正书宋_GBK"/>
                <w:color w:val="auto"/>
              </w:rPr>
            </w:pPr>
            <w:r>
              <w:rPr>
                <w:rFonts w:ascii="方正书宋_GBK" w:eastAsia="方正书宋_GBK"/>
                <w:color w:val="auto"/>
              </w:rPr>
              <w:t>/</w:t>
            </w:r>
          </w:p>
        </w:tc>
        <w:tc>
          <w:tcPr>
            <w:tcW w:w="737" w:type="dxa"/>
            <w:vAlign w:val="center"/>
          </w:tcPr>
          <w:p w14:paraId="3D0F4896">
            <w:pPr>
              <w:spacing w:line="300" w:lineRule="exact"/>
              <w:jc w:val="center"/>
              <w:rPr>
                <w:rFonts w:ascii="方正书宋_GBK" w:eastAsia="方正书宋_GBK"/>
                <w:color w:val="auto"/>
              </w:rPr>
            </w:pPr>
            <w:r>
              <w:rPr>
                <w:rFonts w:ascii="方正书宋_GBK" w:eastAsia="方正书宋_GBK"/>
                <w:color w:val="auto"/>
              </w:rPr>
              <w:t>/</w:t>
            </w:r>
          </w:p>
        </w:tc>
        <w:tc>
          <w:tcPr>
            <w:tcW w:w="737" w:type="dxa"/>
            <w:vAlign w:val="center"/>
          </w:tcPr>
          <w:p w14:paraId="2868C39E">
            <w:pPr>
              <w:spacing w:line="300" w:lineRule="exact"/>
              <w:jc w:val="center"/>
              <w:rPr>
                <w:rFonts w:ascii="方正书宋_GBK" w:eastAsia="方正书宋_GBK"/>
                <w:color w:val="auto"/>
              </w:rPr>
            </w:pPr>
            <w:r>
              <w:rPr>
                <w:rFonts w:ascii="方正书宋_GBK" w:eastAsia="方正书宋_GBK"/>
                <w:color w:val="auto"/>
              </w:rPr>
              <w:t>/</w:t>
            </w:r>
          </w:p>
        </w:tc>
      </w:tr>
      <w:tr w14:paraId="2295F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E361586">
            <w:pPr>
              <w:spacing w:line="300" w:lineRule="exact"/>
              <w:jc w:val="left"/>
              <w:rPr>
                <w:rFonts w:ascii="方正书宋_GBK" w:eastAsia="方正书宋_GBK"/>
                <w:b/>
                <w:color w:val="auto"/>
              </w:rPr>
            </w:pPr>
          </w:p>
        </w:tc>
        <w:tc>
          <w:tcPr>
            <w:tcW w:w="1276" w:type="dxa"/>
            <w:vMerge w:val="continue"/>
            <w:vAlign w:val="center"/>
          </w:tcPr>
          <w:p w14:paraId="332BBE8A">
            <w:pPr>
              <w:spacing w:line="300" w:lineRule="exact"/>
              <w:jc w:val="left"/>
              <w:rPr>
                <w:rFonts w:ascii="方正书宋_GBK" w:eastAsia="方正书宋_GBK"/>
                <w:color w:val="auto"/>
              </w:rPr>
            </w:pPr>
          </w:p>
        </w:tc>
        <w:tc>
          <w:tcPr>
            <w:tcW w:w="2976" w:type="dxa"/>
            <w:vMerge w:val="continue"/>
            <w:vAlign w:val="center"/>
          </w:tcPr>
          <w:p w14:paraId="46859498">
            <w:pPr>
              <w:spacing w:line="300" w:lineRule="exact"/>
              <w:jc w:val="left"/>
              <w:rPr>
                <w:rFonts w:ascii="方正书宋_GBK" w:eastAsia="方正书宋_GBK"/>
                <w:color w:val="auto"/>
              </w:rPr>
            </w:pPr>
          </w:p>
        </w:tc>
        <w:tc>
          <w:tcPr>
            <w:tcW w:w="2976" w:type="dxa"/>
            <w:vMerge w:val="continue"/>
            <w:vAlign w:val="center"/>
          </w:tcPr>
          <w:p w14:paraId="536D7AAE">
            <w:pPr>
              <w:spacing w:line="300" w:lineRule="exact"/>
              <w:jc w:val="left"/>
              <w:rPr>
                <w:rFonts w:ascii="方正书宋_GBK" w:eastAsia="方正书宋_GBK"/>
                <w:color w:val="auto"/>
              </w:rPr>
            </w:pPr>
          </w:p>
        </w:tc>
        <w:tc>
          <w:tcPr>
            <w:tcW w:w="1417" w:type="dxa"/>
            <w:vAlign w:val="center"/>
          </w:tcPr>
          <w:p w14:paraId="7C6886B4">
            <w:pPr>
              <w:spacing w:line="300" w:lineRule="exact"/>
              <w:jc w:val="left"/>
              <w:rPr>
                <w:rFonts w:ascii="方正书宋_GBK" w:eastAsia="方正书宋_GBK"/>
                <w:color w:val="auto"/>
              </w:rPr>
            </w:pPr>
            <w:r>
              <w:rPr>
                <w:rFonts w:hint="eastAsia" w:ascii="方正书宋_GBK" w:eastAsia="方正书宋_GBK"/>
                <w:color w:val="auto"/>
              </w:rPr>
              <w:t>节电量</w:t>
            </w:r>
          </w:p>
        </w:tc>
        <w:tc>
          <w:tcPr>
            <w:tcW w:w="737" w:type="dxa"/>
            <w:vAlign w:val="center"/>
          </w:tcPr>
          <w:p w14:paraId="4458395B">
            <w:pPr>
              <w:spacing w:line="300" w:lineRule="exact"/>
              <w:jc w:val="center"/>
              <w:rPr>
                <w:rFonts w:ascii="方正书宋_GBK" w:eastAsia="方正书宋_GBK"/>
                <w:color w:val="auto"/>
              </w:rPr>
            </w:pPr>
          </w:p>
        </w:tc>
        <w:tc>
          <w:tcPr>
            <w:tcW w:w="737" w:type="dxa"/>
            <w:vAlign w:val="center"/>
          </w:tcPr>
          <w:p w14:paraId="099DCB37">
            <w:pPr>
              <w:spacing w:line="300" w:lineRule="exact"/>
              <w:jc w:val="center"/>
              <w:rPr>
                <w:rFonts w:ascii="方正书宋_GBK" w:eastAsia="方正书宋_GBK"/>
                <w:color w:val="auto"/>
              </w:rPr>
            </w:pPr>
          </w:p>
        </w:tc>
        <w:tc>
          <w:tcPr>
            <w:tcW w:w="737" w:type="dxa"/>
            <w:vAlign w:val="center"/>
          </w:tcPr>
          <w:p w14:paraId="4CDB39A8">
            <w:pPr>
              <w:spacing w:line="300" w:lineRule="exact"/>
              <w:jc w:val="center"/>
              <w:rPr>
                <w:rFonts w:ascii="方正书宋_GBK" w:eastAsia="方正书宋_GBK"/>
                <w:color w:val="auto"/>
              </w:rPr>
            </w:pPr>
          </w:p>
        </w:tc>
        <w:tc>
          <w:tcPr>
            <w:tcW w:w="737" w:type="dxa"/>
            <w:vAlign w:val="center"/>
          </w:tcPr>
          <w:p w14:paraId="74037300">
            <w:pPr>
              <w:spacing w:line="300" w:lineRule="exact"/>
              <w:jc w:val="center"/>
              <w:rPr>
                <w:rFonts w:ascii="方正书宋_GBK" w:eastAsia="方正书宋_GBK"/>
                <w:color w:val="auto"/>
              </w:rPr>
            </w:pPr>
          </w:p>
        </w:tc>
      </w:tr>
      <w:tr w14:paraId="2173C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B07EC87">
            <w:pPr>
              <w:spacing w:line="300" w:lineRule="exact"/>
              <w:jc w:val="left"/>
              <w:rPr>
                <w:rFonts w:ascii="方正书宋_GBK" w:eastAsia="方正书宋_GBK"/>
                <w:b/>
                <w:color w:val="auto"/>
              </w:rPr>
            </w:pPr>
          </w:p>
        </w:tc>
        <w:tc>
          <w:tcPr>
            <w:tcW w:w="1276" w:type="dxa"/>
            <w:vMerge w:val="continue"/>
            <w:vAlign w:val="center"/>
          </w:tcPr>
          <w:p w14:paraId="3EEFC8D8">
            <w:pPr>
              <w:spacing w:line="300" w:lineRule="exact"/>
              <w:jc w:val="left"/>
              <w:rPr>
                <w:rFonts w:ascii="方正书宋_GBK" w:eastAsia="方正书宋_GBK"/>
                <w:color w:val="auto"/>
              </w:rPr>
            </w:pPr>
          </w:p>
        </w:tc>
        <w:tc>
          <w:tcPr>
            <w:tcW w:w="2976" w:type="dxa"/>
            <w:vMerge w:val="continue"/>
            <w:vAlign w:val="center"/>
          </w:tcPr>
          <w:p w14:paraId="610B8B28">
            <w:pPr>
              <w:spacing w:line="300" w:lineRule="exact"/>
              <w:jc w:val="left"/>
              <w:rPr>
                <w:rFonts w:ascii="方正书宋_GBK" w:eastAsia="方正书宋_GBK"/>
                <w:color w:val="auto"/>
              </w:rPr>
            </w:pPr>
          </w:p>
        </w:tc>
        <w:tc>
          <w:tcPr>
            <w:tcW w:w="2976" w:type="dxa"/>
            <w:vMerge w:val="continue"/>
            <w:vAlign w:val="center"/>
          </w:tcPr>
          <w:p w14:paraId="62FDBF64">
            <w:pPr>
              <w:spacing w:line="300" w:lineRule="exact"/>
              <w:jc w:val="left"/>
              <w:rPr>
                <w:rFonts w:ascii="方正书宋_GBK" w:eastAsia="方正书宋_GBK"/>
                <w:color w:val="auto"/>
              </w:rPr>
            </w:pPr>
          </w:p>
        </w:tc>
        <w:tc>
          <w:tcPr>
            <w:tcW w:w="1417" w:type="dxa"/>
            <w:vAlign w:val="center"/>
          </w:tcPr>
          <w:p w14:paraId="5D7EA0AC">
            <w:pPr>
              <w:spacing w:line="300" w:lineRule="exact"/>
              <w:jc w:val="left"/>
              <w:rPr>
                <w:rFonts w:ascii="方正书宋_GBK" w:eastAsia="方正书宋_GBK"/>
                <w:color w:val="auto"/>
              </w:rPr>
            </w:pPr>
            <w:r>
              <w:rPr>
                <w:rFonts w:hint="eastAsia" w:ascii="方正书宋_GBK" w:eastAsia="方正书宋_GBK"/>
                <w:color w:val="auto"/>
              </w:rPr>
              <w:t>节能量</w:t>
            </w:r>
          </w:p>
        </w:tc>
        <w:tc>
          <w:tcPr>
            <w:tcW w:w="737" w:type="dxa"/>
            <w:vAlign w:val="center"/>
          </w:tcPr>
          <w:p w14:paraId="2C4C43FD">
            <w:pPr>
              <w:spacing w:line="300" w:lineRule="exact"/>
              <w:jc w:val="center"/>
              <w:rPr>
                <w:rFonts w:ascii="方正书宋_GBK" w:eastAsia="方正书宋_GBK"/>
                <w:color w:val="auto"/>
              </w:rPr>
            </w:pPr>
          </w:p>
        </w:tc>
        <w:tc>
          <w:tcPr>
            <w:tcW w:w="737" w:type="dxa"/>
            <w:vAlign w:val="center"/>
          </w:tcPr>
          <w:p w14:paraId="29412A7B">
            <w:pPr>
              <w:spacing w:line="300" w:lineRule="exact"/>
              <w:jc w:val="center"/>
              <w:rPr>
                <w:rFonts w:ascii="方正书宋_GBK" w:eastAsia="方正书宋_GBK"/>
                <w:color w:val="auto"/>
              </w:rPr>
            </w:pPr>
          </w:p>
        </w:tc>
        <w:tc>
          <w:tcPr>
            <w:tcW w:w="737" w:type="dxa"/>
            <w:vAlign w:val="center"/>
          </w:tcPr>
          <w:p w14:paraId="1CDFE22D">
            <w:pPr>
              <w:spacing w:line="300" w:lineRule="exact"/>
              <w:jc w:val="center"/>
              <w:rPr>
                <w:rFonts w:ascii="方正书宋_GBK" w:eastAsia="方正书宋_GBK"/>
                <w:color w:val="auto"/>
              </w:rPr>
            </w:pPr>
          </w:p>
        </w:tc>
        <w:tc>
          <w:tcPr>
            <w:tcW w:w="737" w:type="dxa"/>
            <w:vAlign w:val="center"/>
          </w:tcPr>
          <w:p w14:paraId="34150350">
            <w:pPr>
              <w:spacing w:line="300" w:lineRule="exact"/>
              <w:jc w:val="center"/>
              <w:rPr>
                <w:rFonts w:ascii="方正书宋_GBK" w:eastAsia="方正书宋_GBK"/>
                <w:color w:val="auto"/>
              </w:rPr>
            </w:pPr>
          </w:p>
        </w:tc>
      </w:tr>
      <w:tr w14:paraId="28E29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0627F43">
            <w:pPr>
              <w:spacing w:line="300" w:lineRule="exact"/>
              <w:jc w:val="left"/>
              <w:rPr>
                <w:rFonts w:ascii="方正书宋_GBK" w:eastAsia="方正书宋_GBK"/>
                <w:b/>
                <w:color w:val="auto"/>
              </w:rPr>
            </w:pPr>
          </w:p>
        </w:tc>
        <w:tc>
          <w:tcPr>
            <w:tcW w:w="1276" w:type="dxa"/>
            <w:vMerge w:val="continue"/>
            <w:vAlign w:val="center"/>
          </w:tcPr>
          <w:p w14:paraId="22943EA9">
            <w:pPr>
              <w:spacing w:line="300" w:lineRule="exact"/>
              <w:jc w:val="left"/>
              <w:rPr>
                <w:rFonts w:ascii="方正书宋_GBK" w:eastAsia="方正书宋_GBK"/>
                <w:color w:val="auto"/>
              </w:rPr>
            </w:pPr>
          </w:p>
        </w:tc>
        <w:tc>
          <w:tcPr>
            <w:tcW w:w="2976" w:type="dxa"/>
            <w:vMerge w:val="continue"/>
            <w:vAlign w:val="center"/>
          </w:tcPr>
          <w:p w14:paraId="002AD467">
            <w:pPr>
              <w:spacing w:line="300" w:lineRule="exact"/>
              <w:jc w:val="left"/>
              <w:rPr>
                <w:rFonts w:ascii="方正书宋_GBK" w:eastAsia="方正书宋_GBK"/>
                <w:color w:val="auto"/>
              </w:rPr>
            </w:pPr>
          </w:p>
        </w:tc>
        <w:tc>
          <w:tcPr>
            <w:tcW w:w="2976" w:type="dxa"/>
            <w:vMerge w:val="continue"/>
            <w:vAlign w:val="center"/>
          </w:tcPr>
          <w:p w14:paraId="6095D0EA">
            <w:pPr>
              <w:spacing w:line="300" w:lineRule="exact"/>
              <w:jc w:val="left"/>
              <w:rPr>
                <w:rFonts w:ascii="方正书宋_GBK" w:eastAsia="方正书宋_GBK"/>
                <w:color w:val="auto"/>
              </w:rPr>
            </w:pPr>
          </w:p>
        </w:tc>
        <w:tc>
          <w:tcPr>
            <w:tcW w:w="1417" w:type="dxa"/>
            <w:vAlign w:val="center"/>
          </w:tcPr>
          <w:p w14:paraId="27F17BD4">
            <w:pPr>
              <w:spacing w:line="300" w:lineRule="exact"/>
              <w:jc w:val="left"/>
              <w:rPr>
                <w:rFonts w:ascii="方正书宋_GBK" w:eastAsia="方正书宋_GBK"/>
                <w:color w:val="auto"/>
              </w:rPr>
            </w:pPr>
            <w:r>
              <w:rPr>
                <w:rFonts w:hint="eastAsia" w:ascii="方正书宋_GBK" w:eastAsia="方正书宋_GBK"/>
                <w:color w:val="auto"/>
              </w:rPr>
              <w:t>可转移高峰负荷</w:t>
            </w:r>
          </w:p>
        </w:tc>
        <w:tc>
          <w:tcPr>
            <w:tcW w:w="737" w:type="dxa"/>
            <w:vAlign w:val="center"/>
          </w:tcPr>
          <w:p w14:paraId="6F34B299">
            <w:pPr>
              <w:spacing w:line="300" w:lineRule="exact"/>
              <w:jc w:val="center"/>
              <w:rPr>
                <w:rFonts w:ascii="方正书宋_GBK" w:eastAsia="方正书宋_GBK"/>
                <w:color w:val="auto"/>
              </w:rPr>
            </w:pPr>
          </w:p>
        </w:tc>
        <w:tc>
          <w:tcPr>
            <w:tcW w:w="737" w:type="dxa"/>
            <w:vAlign w:val="center"/>
          </w:tcPr>
          <w:p w14:paraId="1679C8AF">
            <w:pPr>
              <w:spacing w:line="300" w:lineRule="exact"/>
              <w:jc w:val="center"/>
              <w:rPr>
                <w:rFonts w:ascii="方正书宋_GBK" w:eastAsia="方正书宋_GBK"/>
                <w:color w:val="auto"/>
              </w:rPr>
            </w:pPr>
          </w:p>
        </w:tc>
        <w:tc>
          <w:tcPr>
            <w:tcW w:w="737" w:type="dxa"/>
            <w:vAlign w:val="center"/>
          </w:tcPr>
          <w:p w14:paraId="202BE2BB">
            <w:pPr>
              <w:spacing w:line="300" w:lineRule="exact"/>
              <w:jc w:val="center"/>
              <w:rPr>
                <w:rFonts w:ascii="方正书宋_GBK" w:eastAsia="方正书宋_GBK"/>
                <w:color w:val="auto"/>
              </w:rPr>
            </w:pPr>
          </w:p>
        </w:tc>
        <w:tc>
          <w:tcPr>
            <w:tcW w:w="737" w:type="dxa"/>
            <w:vAlign w:val="center"/>
          </w:tcPr>
          <w:p w14:paraId="523A15B1">
            <w:pPr>
              <w:spacing w:line="300" w:lineRule="exact"/>
              <w:jc w:val="center"/>
              <w:rPr>
                <w:rFonts w:ascii="方正书宋_GBK" w:eastAsia="方正书宋_GBK"/>
                <w:color w:val="auto"/>
              </w:rPr>
            </w:pPr>
          </w:p>
        </w:tc>
      </w:tr>
      <w:tr w14:paraId="23E55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B098994">
            <w:pPr>
              <w:spacing w:line="300" w:lineRule="exact"/>
              <w:jc w:val="left"/>
              <w:rPr>
                <w:rFonts w:ascii="方正书宋_GBK" w:eastAsia="方正书宋_GBK"/>
                <w:b/>
                <w:color w:val="auto"/>
              </w:rPr>
            </w:pPr>
            <w:r>
              <w:rPr>
                <w:rFonts w:hint="eastAsia" w:ascii="方正书宋_GBK" w:eastAsia="方正书宋_GBK"/>
                <w:b/>
                <w:color w:val="auto"/>
              </w:rPr>
              <w:t>六、固定资产投资调控与管理</w:t>
            </w:r>
          </w:p>
        </w:tc>
        <w:tc>
          <w:tcPr>
            <w:tcW w:w="1276" w:type="dxa"/>
            <w:vAlign w:val="center"/>
          </w:tcPr>
          <w:p w14:paraId="56454566">
            <w:pPr>
              <w:spacing w:line="300" w:lineRule="exact"/>
              <w:jc w:val="left"/>
              <w:rPr>
                <w:rFonts w:ascii="方正书宋_GBK" w:eastAsia="方正书宋_GBK"/>
                <w:color w:val="auto"/>
              </w:rPr>
            </w:pPr>
            <w:r>
              <w:rPr>
                <w:rFonts w:ascii="方正书宋_GBK" w:eastAsia="方正书宋_GBK"/>
                <w:color w:val="auto"/>
              </w:rPr>
              <w:t>10.00</w:t>
            </w:r>
          </w:p>
        </w:tc>
        <w:tc>
          <w:tcPr>
            <w:tcW w:w="2976" w:type="dxa"/>
            <w:vAlign w:val="center"/>
          </w:tcPr>
          <w:p w14:paraId="6471BC8D">
            <w:pPr>
              <w:spacing w:line="300" w:lineRule="exact"/>
              <w:jc w:val="left"/>
              <w:rPr>
                <w:rFonts w:ascii="方正书宋_GBK" w:eastAsia="方正书宋_GBK"/>
                <w:color w:val="auto"/>
              </w:rPr>
            </w:pPr>
            <w:r>
              <w:rPr>
                <w:rFonts w:hint="eastAsia" w:ascii="方正书宋_GBK" w:eastAsia="方正书宋_GBK"/>
                <w:color w:val="auto"/>
              </w:rPr>
              <w:t>拟订社会固定资产投资规模和投资结构的调控目标、及措施，衔接政府投资和重大建设项目的专项规划；按规定权限审批、核准、审核重大建设项目，提出预算内基建建设项目安排建议；开展重点建设项目管理。</w:t>
            </w:r>
          </w:p>
        </w:tc>
        <w:tc>
          <w:tcPr>
            <w:tcW w:w="2976" w:type="dxa"/>
            <w:vAlign w:val="center"/>
          </w:tcPr>
          <w:p w14:paraId="3D605628">
            <w:pPr>
              <w:spacing w:line="300" w:lineRule="exact"/>
              <w:jc w:val="left"/>
              <w:rPr>
                <w:rFonts w:ascii="方正书宋_GBK" w:eastAsia="方正书宋_GBK"/>
                <w:color w:val="auto"/>
              </w:rPr>
            </w:pPr>
            <w:r>
              <w:rPr>
                <w:rFonts w:hint="eastAsia" w:ascii="方正书宋_GBK" w:eastAsia="方正书宋_GBK"/>
                <w:color w:val="auto"/>
              </w:rPr>
              <w:t>提升公共设施水平，提高公共服务能力，促进经济和社会发展。</w:t>
            </w:r>
          </w:p>
        </w:tc>
        <w:tc>
          <w:tcPr>
            <w:tcW w:w="1417" w:type="dxa"/>
            <w:vAlign w:val="center"/>
          </w:tcPr>
          <w:p w14:paraId="35DC67AB">
            <w:pPr>
              <w:spacing w:line="300" w:lineRule="exact"/>
              <w:jc w:val="left"/>
              <w:rPr>
                <w:rFonts w:ascii="方正书宋_GBK" w:eastAsia="方正书宋_GBK"/>
                <w:color w:val="auto"/>
              </w:rPr>
            </w:pPr>
          </w:p>
        </w:tc>
        <w:tc>
          <w:tcPr>
            <w:tcW w:w="737" w:type="dxa"/>
            <w:vAlign w:val="center"/>
          </w:tcPr>
          <w:p w14:paraId="020915A1">
            <w:pPr>
              <w:spacing w:line="300" w:lineRule="exact"/>
              <w:jc w:val="center"/>
              <w:rPr>
                <w:rFonts w:ascii="方正书宋_GBK" w:eastAsia="方正书宋_GBK"/>
                <w:color w:val="auto"/>
              </w:rPr>
            </w:pPr>
          </w:p>
        </w:tc>
        <w:tc>
          <w:tcPr>
            <w:tcW w:w="737" w:type="dxa"/>
            <w:vAlign w:val="center"/>
          </w:tcPr>
          <w:p w14:paraId="60413220">
            <w:pPr>
              <w:spacing w:line="300" w:lineRule="exact"/>
              <w:jc w:val="center"/>
              <w:rPr>
                <w:rFonts w:ascii="方正书宋_GBK" w:eastAsia="方正书宋_GBK"/>
                <w:color w:val="auto"/>
              </w:rPr>
            </w:pPr>
          </w:p>
        </w:tc>
        <w:tc>
          <w:tcPr>
            <w:tcW w:w="737" w:type="dxa"/>
            <w:vAlign w:val="center"/>
          </w:tcPr>
          <w:p w14:paraId="7A83F7D8">
            <w:pPr>
              <w:spacing w:line="300" w:lineRule="exact"/>
              <w:jc w:val="center"/>
              <w:rPr>
                <w:rFonts w:ascii="方正书宋_GBK" w:eastAsia="方正书宋_GBK"/>
                <w:color w:val="auto"/>
              </w:rPr>
            </w:pPr>
          </w:p>
        </w:tc>
        <w:tc>
          <w:tcPr>
            <w:tcW w:w="737" w:type="dxa"/>
            <w:vAlign w:val="center"/>
          </w:tcPr>
          <w:p w14:paraId="1076E45F">
            <w:pPr>
              <w:spacing w:line="300" w:lineRule="exact"/>
              <w:jc w:val="center"/>
              <w:rPr>
                <w:rFonts w:ascii="方正书宋_GBK" w:eastAsia="方正书宋_GBK"/>
                <w:color w:val="auto"/>
              </w:rPr>
            </w:pPr>
          </w:p>
        </w:tc>
      </w:tr>
      <w:tr w14:paraId="269CC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1EE3149">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、固定资产投资政策制订与实施和县级预算内基本投资建设</w:t>
            </w:r>
          </w:p>
        </w:tc>
        <w:tc>
          <w:tcPr>
            <w:tcW w:w="1276" w:type="dxa"/>
            <w:vMerge w:val="restart"/>
            <w:vAlign w:val="center"/>
          </w:tcPr>
          <w:p w14:paraId="1894F9DF">
            <w:pPr>
              <w:spacing w:line="300" w:lineRule="exact"/>
              <w:jc w:val="left"/>
              <w:rPr>
                <w:rFonts w:ascii="方正书宋_GBK" w:eastAsia="方正书宋_GBK"/>
                <w:color w:val="auto"/>
              </w:rPr>
            </w:pPr>
          </w:p>
        </w:tc>
        <w:tc>
          <w:tcPr>
            <w:tcW w:w="2976" w:type="dxa"/>
            <w:vMerge w:val="restart"/>
            <w:vAlign w:val="center"/>
          </w:tcPr>
          <w:p w14:paraId="43987452">
            <w:pPr>
              <w:spacing w:line="300" w:lineRule="exact"/>
              <w:jc w:val="left"/>
              <w:rPr>
                <w:rFonts w:ascii="方正书宋_GBK" w:eastAsia="方正书宋_GBK"/>
                <w:color w:val="auto"/>
              </w:rPr>
            </w:pPr>
            <w:r>
              <w:rPr>
                <w:rFonts w:hint="eastAsia" w:ascii="方正书宋_GBK" w:eastAsia="方正书宋_GBK"/>
                <w:color w:val="auto"/>
              </w:rPr>
              <w:t>拟订社会固定资产投资规模和投资结构的调控目标及措施；研究制定全县重点项目建设管理的思路；制定或完善投资项目审批、核准、备案管理办法及相关措施，完善投资体制和机制建设；引导民间资金用于符合我县固定资产投资方向的项目。编制县级预算内基本建设投资计划；统筹提出县级预算内基本建设资金安排基础设施建设项目资金安排建议，落实与中央、省市投资项目配套。</w:t>
            </w:r>
          </w:p>
        </w:tc>
        <w:tc>
          <w:tcPr>
            <w:tcW w:w="2976" w:type="dxa"/>
            <w:vMerge w:val="restart"/>
            <w:vAlign w:val="center"/>
          </w:tcPr>
          <w:p w14:paraId="08C396C9">
            <w:pPr>
              <w:spacing w:line="300" w:lineRule="exact"/>
              <w:jc w:val="left"/>
              <w:rPr>
                <w:rFonts w:ascii="方正书宋_GBK" w:eastAsia="方正书宋_GBK"/>
                <w:color w:val="auto"/>
              </w:rPr>
            </w:pPr>
            <w:r>
              <w:rPr>
                <w:rFonts w:hint="eastAsia" w:ascii="方正书宋_GBK" w:eastAsia="方正书宋_GBK"/>
                <w:color w:val="auto"/>
              </w:rPr>
              <w:t>落实县固定资产投资目标；指导政策性贷款使用，有效引导民间资金用于我县固定资产投资。按时编制并提交年度预算内基建项目安排建议，并落实到具体项目；足额保证县委、县政府确定的重点基建投资项目；落实与中央、省市投资项目配套；及时下达预算内基建项目投资计划，提高县级政务设施服务保障能力</w:t>
            </w:r>
          </w:p>
        </w:tc>
        <w:tc>
          <w:tcPr>
            <w:tcW w:w="1417" w:type="dxa"/>
            <w:vAlign w:val="center"/>
          </w:tcPr>
          <w:p w14:paraId="52D3BC77">
            <w:pPr>
              <w:spacing w:line="300" w:lineRule="exact"/>
              <w:jc w:val="left"/>
              <w:rPr>
                <w:rFonts w:ascii="方正书宋_GBK" w:eastAsia="方正书宋_GBK"/>
                <w:color w:val="auto"/>
              </w:rPr>
            </w:pPr>
            <w:r>
              <w:rPr>
                <w:rFonts w:hint="eastAsia" w:ascii="方正书宋_GBK" w:eastAsia="方正书宋_GBK"/>
                <w:color w:val="auto"/>
              </w:rPr>
              <w:t>预算内基本建设投资计划执行率</w:t>
            </w:r>
          </w:p>
        </w:tc>
        <w:tc>
          <w:tcPr>
            <w:tcW w:w="737" w:type="dxa"/>
            <w:vAlign w:val="center"/>
          </w:tcPr>
          <w:p w14:paraId="70BF9D0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51A602F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64566F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C02B071">
            <w:pPr>
              <w:spacing w:line="300" w:lineRule="exact"/>
              <w:jc w:val="center"/>
              <w:rPr>
                <w:rFonts w:ascii="方正书宋_GBK" w:eastAsia="方正书宋_GBK"/>
                <w:color w:val="auto"/>
              </w:rPr>
            </w:pPr>
            <w:r>
              <w:rPr>
                <w:rFonts w:ascii="方正书宋_GBK" w:eastAsia="方正书宋_GBK"/>
                <w:color w:val="auto"/>
              </w:rPr>
              <w:t>&lt;90%</w:t>
            </w:r>
          </w:p>
        </w:tc>
      </w:tr>
      <w:tr w14:paraId="744D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CD644A6">
            <w:pPr>
              <w:spacing w:line="300" w:lineRule="exact"/>
              <w:jc w:val="left"/>
              <w:rPr>
                <w:rFonts w:ascii="方正书宋_GBK" w:eastAsia="方正书宋_GBK"/>
                <w:b/>
                <w:color w:val="auto"/>
              </w:rPr>
            </w:pPr>
          </w:p>
        </w:tc>
        <w:tc>
          <w:tcPr>
            <w:tcW w:w="1276" w:type="dxa"/>
            <w:vMerge w:val="continue"/>
            <w:vAlign w:val="center"/>
          </w:tcPr>
          <w:p w14:paraId="4CC4B0C8">
            <w:pPr>
              <w:spacing w:line="300" w:lineRule="exact"/>
              <w:jc w:val="left"/>
              <w:rPr>
                <w:rFonts w:ascii="方正书宋_GBK" w:eastAsia="方正书宋_GBK"/>
                <w:color w:val="auto"/>
              </w:rPr>
            </w:pPr>
          </w:p>
        </w:tc>
        <w:tc>
          <w:tcPr>
            <w:tcW w:w="2976" w:type="dxa"/>
            <w:vMerge w:val="continue"/>
            <w:vAlign w:val="center"/>
          </w:tcPr>
          <w:p w14:paraId="2972885F">
            <w:pPr>
              <w:spacing w:line="300" w:lineRule="exact"/>
              <w:jc w:val="left"/>
              <w:rPr>
                <w:rFonts w:ascii="方正书宋_GBK" w:eastAsia="方正书宋_GBK"/>
                <w:color w:val="auto"/>
              </w:rPr>
            </w:pPr>
          </w:p>
        </w:tc>
        <w:tc>
          <w:tcPr>
            <w:tcW w:w="2976" w:type="dxa"/>
            <w:vMerge w:val="continue"/>
            <w:vAlign w:val="center"/>
          </w:tcPr>
          <w:p w14:paraId="48988DC4">
            <w:pPr>
              <w:spacing w:line="300" w:lineRule="exact"/>
              <w:jc w:val="left"/>
              <w:rPr>
                <w:rFonts w:ascii="方正书宋_GBK" w:eastAsia="方正书宋_GBK"/>
                <w:color w:val="auto"/>
              </w:rPr>
            </w:pPr>
          </w:p>
        </w:tc>
        <w:tc>
          <w:tcPr>
            <w:tcW w:w="1417" w:type="dxa"/>
            <w:vAlign w:val="center"/>
          </w:tcPr>
          <w:p w14:paraId="78926F51">
            <w:pPr>
              <w:spacing w:line="300" w:lineRule="exact"/>
              <w:jc w:val="left"/>
              <w:rPr>
                <w:rFonts w:ascii="方正书宋_GBK" w:eastAsia="方正书宋_GBK"/>
                <w:color w:val="auto"/>
              </w:rPr>
            </w:pPr>
            <w:r>
              <w:rPr>
                <w:rFonts w:hint="eastAsia" w:ascii="方正书宋_GBK" w:eastAsia="方正书宋_GBK"/>
                <w:color w:val="auto"/>
              </w:rPr>
              <w:t>预算内基本建设资金完成率</w:t>
            </w:r>
          </w:p>
        </w:tc>
        <w:tc>
          <w:tcPr>
            <w:tcW w:w="737" w:type="dxa"/>
            <w:vAlign w:val="center"/>
          </w:tcPr>
          <w:p w14:paraId="13CD1C1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36CFC22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36463E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B777F0B">
            <w:pPr>
              <w:spacing w:line="300" w:lineRule="exact"/>
              <w:jc w:val="center"/>
              <w:rPr>
                <w:rFonts w:ascii="方正书宋_GBK" w:eastAsia="方正书宋_GBK"/>
                <w:color w:val="auto"/>
              </w:rPr>
            </w:pPr>
            <w:r>
              <w:rPr>
                <w:rFonts w:ascii="方正书宋_GBK" w:eastAsia="方正书宋_GBK"/>
                <w:color w:val="auto"/>
              </w:rPr>
              <w:t>&lt;90%</w:t>
            </w:r>
          </w:p>
        </w:tc>
      </w:tr>
      <w:tr w14:paraId="355E7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19F547C">
            <w:pPr>
              <w:spacing w:line="300" w:lineRule="exact"/>
              <w:jc w:val="left"/>
              <w:rPr>
                <w:rFonts w:ascii="方正书宋_GBK" w:eastAsia="方正书宋_GBK"/>
                <w:b/>
                <w:color w:val="auto"/>
              </w:rPr>
            </w:pPr>
          </w:p>
        </w:tc>
        <w:tc>
          <w:tcPr>
            <w:tcW w:w="1276" w:type="dxa"/>
            <w:vMerge w:val="continue"/>
            <w:vAlign w:val="center"/>
          </w:tcPr>
          <w:p w14:paraId="1935C9C3">
            <w:pPr>
              <w:spacing w:line="300" w:lineRule="exact"/>
              <w:jc w:val="left"/>
              <w:rPr>
                <w:rFonts w:ascii="方正书宋_GBK" w:eastAsia="方正书宋_GBK"/>
                <w:color w:val="auto"/>
              </w:rPr>
            </w:pPr>
          </w:p>
        </w:tc>
        <w:tc>
          <w:tcPr>
            <w:tcW w:w="2976" w:type="dxa"/>
            <w:vMerge w:val="continue"/>
            <w:vAlign w:val="center"/>
          </w:tcPr>
          <w:p w14:paraId="78F47C67">
            <w:pPr>
              <w:spacing w:line="300" w:lineRule="exact"/>
              <w:jc w:val="left"/>
              <w:rPr>
                <w:rFonts w:ascii="方正书宋_GBK" w:eastAsia="方正书宋_GBK"/>
                <w:color w:val="auto"/>
              </w:rPr>
            </w:pPr>
          </w:p>
        </w:tc>
        <w:tc>
          <w:tcPr>
            <w:tcW w:w="2976" w:type="dxa"/>
            <w:vMerge w:val="continue"/>
            <w:vAlign w:val="center"/>
          </w:tcPr>
          <w:p w14:paraId="41759E37">
            <w:pPr>
              <w:spacing w:line="300" w:lineRule="exact"/>
              <w:jc w:val="left"/>
              <w:rPr>
                <w:rFonts w:ascii="方正书宋_GBK" w:eastAsia="方正书宋_GBK"/>
                <w:color w:val="auto"/>
              </w:rPr>
            </w:pPr>
          </w:p>
        </w:tc>
        <w:tc>
          <w:tcPr>
            <w:tcW w:w="1417" w:type="dxa"/>
            <w:vAlign w:val="center"/>
          </w:tcPr>
          <w:p w14:paraId="59C4C2AF">
            <w:pPr>
              <w:spacing w:line="300" w:lineRule="exact"/>
              <w:jc w:val="left"/>
              <w:rPr>
                <w:rFonts w:ascii="方正书宋_GBK" w:eastAsia="方正书宋_GBK"/>
                <w:color w:val="auto"/>
              </w:rPr>
            </w:pPr>
            <w:r>
              <w:rPr>
                <w:rFonts w:hint="eastAsia" w:ascii="方正书宋_GBK" w:eastAsia="方正书宋_GBK"/>
                <w:color w:val="auto"/>
              </w:rPr>
              <w:t>固定资产投资计划完成率</w:t>
            </w:r>
          </w:p>
        </w:tc>
        <w:tc>
          <w:tcPr>
            <w:tcW w:w="737" w:type="dxa"/>
            <w:vAlign w:val="center"/>
          </w:tcPr>
          <w:p w14:paraId="143CC40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6D504EA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C0284E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365B3E3">
            <w:pPr>
              <w:spacing w:line="300" w:lineRule="exact"/>
              <w:jc w:val="center"/>
              <w:rPr>
                <w:rFonts w:ascii="方正书宋_GBK" w:eastAsia="方正书宋_GBK"/>
                <w:color w:val="auto"/>
              </w:rPr>
            </w:pPr>
            <w:r>
              <w:rPr>
                <w:rFonts w:ascii="方正书宋_GBK" w:eastAsia="方正书宋_GBK"/>
                <w:color w:val="auto"/>
              </w:rPr>
              <w:t>&lt;90%</w:t>
            </w:r>
          </w:p>
        </w:tc>
      </w:tr>
      <w:tr w14:paraId="79A0B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5DDDB4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、组织实施全县重点项目和稽查</w:t>
            </w:r>
          </w:p>
        </w:tc>
        <w:tc>
          <w:tcPr>
            <w:tcW w:w="1276" w:type="dxa"/>
            <w:vAlign w:val="center"/>
          </w:tcPr>
          <w:p w14:paraId="2AF42DFF">
            <w:pPr>
              <w:spacing w:line="300" w:lineRule="exact"/>
              <w:jc w:val="left"/>
              <w:rPr>
                <w:rFonts w:ascii="方正书宋_GBK" w:eastAsia="方正书宋_GBK"/>
                <w:color w:val="auto"/>
              </w:rPr>
            </w:pPr>
            <w:r>
              <w:rPr>
                <w:rFonts w:ascii="方正书宋_GBK" w:eastAsia="方正书宋_GBK"/>
                <w:color w:val="auto"/>
              </w:rPr>
              <w:t>10.00</w:t>
            </w:r>
          </w:p>
        </w:tc>
        <w:tc>
          <w:tcPr>
            <w:tcW w:w="2976" w:type="dxa"/>
            <w:vAlign w:val="center"/>
          </w:tcPr>
          <w:p w14:paraId="550618A2">
            <w:pPr>
              <w:spacing w:line="300" w:lineRule="exact"/>
              <w:jc w:val="left"/>
              <w:rPr>
                <w:rFonts w:ascii="方正书宋_GBK" w:eastAsia="方正书宋_GBK"/>
                <w:color w:val="auto"/>
              </w:rPr>
            </w:pPr>
            <w:r>
              <w:rPr>
                <w:rFonts w:hint="eastAsia" w:ascii="方正书宋_GBK" w:eastAsia="方正书宋_GBK"/>
                <w:color w:val="auto"/>
              </w:rPr>
              <w:t>实施县级重点建设项目，编制全县重点建设项目年度工作计划并执行；按规定权限审批、核准、审核重大建设项目；组织开展对工作活动范围内的项目单位在前期手续、投资计划和资金下达、建设实施、建设管理、进度控制、资金和财务管理、竣工验收等方面实施情况的监督检查；建立投资项目信息报送制度。化工、煤炭建设项目工程质量监督管理；依法组织开展重点（重大）项目稽查，对市、县投资政策、投资计划执行情况的监督检查。</w:t>
            </w:r>
          </w:p>
        </w:tc>
        <w:tc>
          <w:tcPr>
            <w:tcW w:w="2976" w:type="dxa"/>
            <w:vAlign w:val="center"/>
          </w:tcPr>
          <w:p w14:paraId="4D764E70">
            <w:pPr>
              <w:spacing w:line="300" w:lineRule="exact"/>
              <w:jc w:val="left"/>
              <w:rPr>
                <w:rFonts w:ascii="方正书宋_GBK" w:eastAsia="方正书宋_GBK"/>
                <w:color w:val="auto"/>
              </w:rPr>
            </w:pPr>
            <w:r>
              <w:rPr>
                <w:rFonts w:hint="eastAsia" w:ascii="方正书宋_GBK" w:eastAsia="方正书宋_GBK"/>
                <w:color w:val="auto"/>
              </w:rPr>
              <w:t>加强重点项目谋划、协调，推动重点项目顺利实施。加强项目监管，推动项目顺利实施，处罚项目建设中重大突出违法问题。</w:t>
            </w:r>
          </w:p>
        </w:tc>
        <w:tc>
          <w:tcPr>
            <w:tcW w:w="1417" w:type="dxa"/>
            <w:vAlign w:val="center"/>
          </w:tcPr>
          <w:p w14:paraId="34A6A970">
            <w:pPr>
              <w:spacing w:line="300" w:lineRule="exact"/>
              <w:jc w:val="left"/>
              <w:rPr>
                <w:rFonts w:ascii="方正书宋_GBK" w:eastAsia="方正书宋_GBK"/>
                <w:color w:val="auto"/>
              </w:rPr>
            </w:pPr>
            <w:r>
              <w:rPr>
                <w:rFonts w:hint="eastAsia" w:ascii="方正书宋_GBK" w:eastAsia="方正书宋_GBK"/>
                <w:color w:val="auto"/>
              </w:rPr>
              <w:t>重点项目监督稽察覆盖率</w:t>
            </w:r>
          </w:p>
        </w:tc>
        <w:tc>
          <w:tcPr>
            <w:tcW w:w="737" w:type="dxa"/>
            <w:vAlign w:val="center"/>
          </w:tcPr>
          <w:p w14:paraId="042E86C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83C46B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vAlign w:val="center"/>
          </w:tcPr>
          <w:p w14:paraId="3597A05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4BFD86BD">
            <w:pPr>
              <w:spacing w:line="300" w:lineRule="exact"/>
              <w:jc w:val="center"/>
              <w:rPr>
                <w:rFonts w:ascii="方正书宋_GBK" w:eastAsia="方正书宋_GBK"/>
                <w:color w:val="auto"/>
              </w:rPr>
            </w:pPr>
            <w:r>
              <w:rPr>
                <w:rFonts w:ascii="方正书宋_GBK" w:eastAsia="方正书宋_GBK"/>
                <w:color w:val="auto"/>
              </w:rPr>
              <w:t>&lt;60%</w:t>
            </w:r>
          </w:p>
        </w:tc>
      </w:tr>
      <w:tr w14:paraId="242F7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C1DFA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、组织实施全县重点项目和稽查</w:t>
            </w:r>
          </w:p>
        </w:tc>
        <w:tc>
          <w:tcPr>
            <w:tcW w:w="1276" w:type="dxa"/>
            <w:vAlign w:val="center"/>
          </w:tcPr>
          <w:p w14:paraId="01F62B1E">
            <w:pPr>
              <w:spacing w:line="300" w:lineRule="exact"/>
              <w:jc w:val="left"/>
              <w:rPr>
                <w:rFonts w:ascii="方正书宋_GBK" w:eastAsia="方正书宋_GBK"/>
                <w:color w:val="auto"/>
              </w:rPr>
            </w:pPr>
          </w:p>
        </w:tc>
        <w:tc>
          <w:tcPr>
            <w:tcW w:w="2976" w:type="dxa"/>
            <w:vAlign w:val="center"/>
          </w:tcPr>
          <w:p w14:paraId="6B06FB71">
            <w:pPr>
              <w:spacing w:line="300" w:lineRule="exact"/>
              <w:jc w:val="left"/>
              <w:rPr>
                <w:rFonts w:ascii="方正书宋_GBK" w:eastAsia="方正书宋_GBK"/>
                <w:color w:val="auto"/>
              </w:rPr>
            </w:pPr>
            <w:r>
              <w:rPr>
                <w:rFonts w:hint="eastAsia" w:ascii="方正书宋_GBK" w:eastAsia="方正书宋_GBK"/>
                <w:color w:val="auto"/>
              </w:rPr>
              <w:t>实施县级重点建设项目，编制全县重点建设项目年度工作计划并执行；按规定权限审批、核准、审核重大建设项目；组织开展对工作活动范围内的项目单位在前期手续、投资计划和资金下达、建设实施、建设管理、进度控制、资金和财务管理、竣工验收等方面实施情况的监督检查；建立投资项目信息报送制度。化工、煤炭建设项目工程质量监督管理；依法组织开展重点（重大）项目稽查，对市、县投资政策、投资计划执行情况的监督检查。</w:t>
            </w:r>
          </w:p>
        </w:tc>
        <w:tc>
          <w:tcPr>
            <w:tcW w:w="2976" w:type="dxa"/>
            <w:vAlign w:val="center"/>
          </w:tcPr>
          <w:p w14:paraId="3321609E">
            <w:pPr>
              <w:spacing w:line="300" w:lineRule="exact"/>
              <w:jc w:val="left"/>
              <w:rPr>
                <w:rFonts w:ascii="方正书宋_GBK" w:eastAsia="方正书宋_GBK"/>
                <w:color w:val="auto"/>
              </w:rPr>
            </w:pPr>
            <w:r>
              <w:rPr>
                <w:rFonts w:hint="eastAsia" w:ascii="方正书宋_GBK" w:eastAsia="方正书宋_GBK"/>
                <w:color w:val="auto"/>
              </w:rPr>
              <w:t>加强重点项目谋划、协调，推动重点项目顺利实施。加强项目监管，推动项目顺利实施，处罚项目建设中重大突出违法问题。</w:t>
            </w:r>
          </w:p>
        </w:tc>
        <w:tc>
          <w:tcPr>
            <w:tcW w:w="1417" w:type="dxa"/>
            <w:vAlign w:val="center"/>
          </w:tcPr>
          <w:p w14:paraId="2434CE18">
            <w:pPr>
              <w:spacing w:line="300" w:lineRule="exact"/>
              <w:jc w:val="left"/>
              <w:rPr>
                <w:rFonts w:ascii="方正书宋_GBK" w:eastAsia="方正书宋_GBK"/>
                <w:color w:val="auto"/>
              </w:rPr>
            </w:pPr>
            <w:r>
              <w:rPr>
                <w:rFonts w:hint="eastAsia" w:ascii="方正书宋_GBK" w:eastAsia="方正书宋_GBK"/>
                <w:color w:val="auto"/>
              </w:rPr>
              <w:t>项目开工率</w:t>
            </w:r>
          </w:p>
        </w:tc>
        <w:tc>
          <w:tcPr>
            <w:tcW w:w="737" w:type="dxa"/>
            <w:vAlign w:val="center"/>
          </w:tcPr>
          <w:p w14:paraId="747BA6B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3A90A8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05039E6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3A39B48E">
            <w:pPr>
              <w:spacing w:line="300" w:lineRule="exact"/>
              <w:jc w:val="center"/>
              <w:rPr>
                <w:rFonts w:ascii="方正书宋_GBK" w:eastAsia="方正书宋_GBK"/>
                <w:color w:val="auto"/>
              </w:rPr>
            </w:pPr>
            <w:r>
              <w:rPr>
                <w:rFonts w:ascii="方正书宋_GBK" w:eastAsia="方正书宋_GBK"/>
                <w:color w:val="auto"/>
              </w:rPr>
              <w:t>&lt;80%</w:t>
            </w:r>
          </w:p>
        </w:tc>
      </w:tr>
      <w:tr w14:paraId="2C18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E47C564">
            <w:pPr>
              <w:spacing w:line="300" w:lineRule="exact"/>
              <w:jc w:val="left"/>
              <w:rPr>
                <w:rFonts w:ascii="方正书宋_GBK" w:eastAsia="方正书宋_GBK"/>
                <w:b/>
                <w:color w:val="auto"/>
              </w:rPr>
            </w:pPr>
            <w:r>
              <w:rPr>
                <w:rFonts w:hint="eastAsia" w:ascii="方正书宋_GBK" w:eastAsia="方正书宋_GBK"/>
                <w:b/>
                <w:color w:val="auto"/>
              </w:rPr>
              <w:t>七、发展和改革政务管理</w:t>
            </w:r>
          </w:p>
        </w:tc>
        <w:tc>
          <w:tcPr>
            <w:tcW w:w="1276" w:type="dxa"/>
            <w:vAlign w:val="center"/>
          </w:tcPr>
          <w:p w14:paraId="0B56265A">
            <w:pPr>
              <w:spacing w:line="300" w:lineRule="exact"/>
              <w:jc w:val="left"/>
              <w:rPr>
                <w:rFonts w:ascii="方正书宋_GBK" w:eastAsia="方正书宋_GBK"/>
                <w:color w:val="auto"/>
              </w:rPr>
            </w:pPr>
            <w:r>
              <w:rPr>
                <w:rFonts w:ascii="方正书宋_GBK" w:eastAsia="方正书宋_GBK"/>
                <w:color w:val="auto"/>
              </w:rPr>
              <w:t>27.08</w:t>
            </w:r>
          </w:p>
        </w:tc>
        <w:tc>
          <w:tcPr>
            <w:tcW w:w="2976" w:type="dxa"/>
            <w:vAlign w:val="center"/>
          </w:tcPr>
          <w:p w14:paraId="348ECADB">
            <w:pPr>
              <w:spacing w:line="300" w:lineRule="exact"/>
              <w:jc w:val="left"/>
              <w:rPr>
                <w:rFonts w:ascii="方正书宋_GBK" w:eastAsia="方正书宋_GBK"/>
                <w:color w:val="auto"/>
              </w:rPr>
            </w:pPr>
            <w:r>
              <w:rPr>
                <w:rFonts w:hint="eastAsia" w:ascii="方正书宋_GBK" w:eastAsia="方正书宋_GBK"/>
                <w:color w:val="auto"/>
              </w:rPr>
              <w:t>保障发展改革一般性日常业务开展和机关事务的基本运转。</w:t>
            </w:r>
          </w:p>
        </w:tc>
        <w:tc>
          <w:tcPr>
            <w:tcW w:w="2976" w:type="dxa"/>
            <w:vAlign w:val="center"/>
          </w:tcPr>
          <w:p w14:paraId="6824C9C2">
            <w:pPr>
              <w:spacing w:line="300" w:lineRule="exact"/>
              <w:jc w:val="left"/>
              <w:rPr>
                <w:rFonts w:ascii="方正书宋_GBK" w:eastAsia="方正书宋_GBK"/>
                <w:color w:val="auto"/>
              </w:rPr>
            </w:pPr>
            <w:r>
              <w:rPr>
                <w:rFonts w:hint="eastAsia" w:ascii="方正书宋_GBK" w:eastAsia="方正书宋_GBK"/>
                <w:color w:val="auto"/>
              </w:rPr>
              <w:t>保障发展改革一般性日常业务开展和机关事务的基本运转。</w:t>
            </w:r>
          </w:p>
        </w:tc>
        <w:tc>
          <w:tcPr>
            <w:tcW w:w="1417" w:type="dxa"/>
            <w:vAlign w:val="center"/>
          </w:tcPr>
          <w:p w14:paraId="76E7F4EA">
            <w:pPr>
              <w:spacing w:line="300" w:lineRule="exact"/>
              <w:jc w:val="left"/>
              <w:rPr>
                <w:rFonts w:ascii="方正书宋_GBK" w:eastAsia="方正书宋_GBK"/>
                <w:color w:val="auto"/>
              </w:rPr>
            </w:pPr>
          </w:p>
        </w:tc>
        <w:tc>
          <w:tcPr>
            <w:tcW w:w="737" w:type="dxa"/>
            <w:vAlign w:val="center"/>
          </w:tcPr>
          <w:p w14:paraId="14CF0BFE">
            <w:pPr>
              <w:spacing w:line="300" w:lineRule="exact"/>
              <w:jc w:val="center"/>
              <w:rPr>
                <w:rFonts w:ascii="方正书宋_GBK" w:eastAsia="方正书宋_GBK"/>
                <w:color w:val="auto"/>
              </w:rPr>
            </w:pPr>
          </w:p>
        </w:tc>
        <w:tc>
          <w:tcPr>
            <w:tcW w:w="737" w:type="dxa"/>
            <w:vAlign w:val="center"/>
          </w:tcPr>
          <w:p w14:paraId="17BD9E38">
            <w:pPr>
              <w:spacing w:line="300" w:lineRule="exact"/>
              <w:jc w:val="center"/>
              <w:rPr>
                <w:rFonts w:ascii="方正书宋_GBK" w:eastAsia="方正书宋_GBK"/>
                <w:color w:val="auto"/>
              </w:rPr>
            </w:pPr>
          </w:p>
        </w:tc>
        <w:tc>
          <w:tcPr>
            <w:tcW w:w="737" w:type="dxa"/>
            <w:vAlign w:val="center"/>
          </w:tcPr>
          <w:p w14:paraId="62D0D8C6">
            <w:pPr>
              <w:spacing w:line="300" w:lineRule="exact"/>
              <w:jc w:val="center"/>
              <w:rPr>
                <w:rFonts w:ascii="方正书宋_GBK" w:eastAsia="方正书宋_GBK"/>
                <w:color w:val="auto"/>
              </w:rPr>
            </w:pPr>
          </w:p>
        </w:tc>
        <w:tc>
          <w:tcPr>
            <w:tcW w:w="737" w:type="dxa"/>
            <w:vAlign w:val="center"/>
          </w:tcPr>
          <w:p w14:paraId="716B72DD">
            <w:pPr>
              <w:spacing w:line="300" w:lineRule="exact"/>
              <w:jc w:val="center"/>
              <w:rPr>
                <w:rFonts w:ascii="方正书宋_GBK" w:eastAsia="方正书宋_GBK"/>
                <w:color w:val="auto"/>
              </w:rPr>
            </w:pPr>
          </w:p>
        </w:tc>
      </w:tr>
      <w:tr w14:paraId="6B872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6A9BE5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、县政府购买行业协会服务</w:t>
            </w:r>
          </w:p>
        </w:tc>
        <w:tc>
          <w:tcPr>
            <w:tcW w:w="1276" w:type="dxa"/>
            <w:vAlign w:val="center"/>
          </w:tcPr>
          <w:p w14:paraId="40F13019">
            <w:pPr>
              <w:spacing w:line="300" w:lineRule="exact"/>
              <w:jc w:val="left"/>
              <w:rPr>
                <w:rFonts w:ascii="方正书宋_GBK" w:eastAsia="方正书宋_GBK"/>
                <w:color w:val="auto"/>
              </w:rPr>
            </w:pPr>
          </w:p>
        </w:tc>
        <w:tc>
          <w:tcPr>
            <w:tcW w:w="2976" w:type="dxa"/>
            <w:vAlign w:val="center"/>
          </w:tcPr>
          <w:p w14:paraId="74531F88">
            <w:pPr>
              <w:spacing w:line="300" w:lineRule="exact"/>
              <w:jc w:val="left"/>
              <w:rPr>
                <w:rFonts w:ascii="方正书宋_GBK" w:eastAsia="方正书宋_GBK"/>
                <w:color w:val="auto"/>
              </w:rPr>
            </w:pPr>
            <w:r>
              <w:rPr>
                <w:rFonts w:hint="eastAsia" w:ascii="方正书宋_GBK" w:eastAsia="方正书宋_GBK"/>
                <w:color w:val="auto"/>
              </w:rPr>
              <w:t>县政府购买行业协会服务</w:t>
            </w:r>
          </w:p>
        </w:tc>
        <w:tc>
          <w:tcPr>
            <w:tcW w:w="2976" w:type="dxa"/>
            <w:vAlign w:val="center"/>
          </w:tcPr>
          <w:p w14:paraId="0247D454">
            <w:pPr>
              <w:spacing w:line="300" w:lineRule="exact"/>
              <w:jc w:val="left"/>
              <w:rPr>
                <w:rFonts w:ascii="方正书宋_GBK" w:eastAsia="方正书宋_GBK"/>
                <w:color w:val="auto"/>
              </w:rPr>
            </w:pPr>
          </w:p>
        </w:tc>
        <w:tc>
          <w:tcPr>
            <w:tcW w:w="1417" w:type="dxa"/>
            <w:vAlign w:val="center"/>
          </w:tcPr>
          <w:p w14:paraId="3AA01A94">
            <w:pPr>
              <w:spacing w:line="300" w:lineRule="exact"/>
              <w:jc w:val="left"/>
              <w:rPr>
                <w:rFonts w:ascii="方正书宋_GBK" w:eastAsia="方正书宋_GBK"/>
                <w:color w:val="auto"/>
              </w:rPr>
            </w:pPr>
            <w:r>
              <w:rPr>
                <w:rFonts w:hint="eastAsia" w:ascii="方正书宋_GBK" w:eastAsia="方正书宋_GBK"/>
                <w:color w:val="auto"/>
              </w:rPr>
              <w:t>政府购买行业协会服务评价合格率</w:t>
            </w:r>
          </w:p>
        </w:tc>
        <w:tc>
          <w:tcPr>
            <w:tcW w:w="737" w:type="dxa"/>
            <w:vAlign w:val="center"/>
          </w:tcPr>
          <w:p w14:paraId="16E621F9">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97A5A9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797D27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B5872C9">
            <w:pPr>
              <w:spacing w:line="300" w:lineRule="exact"/>
              <w:jc w:val="center"/>
              <w:rPr>
                <w:rFonts w:ascii="方正书宋_GBK" w:eastAsia="方正书宋_GBK"/>
                <w:color w:val="auto"/>
              </w:rPr>
            </w:pPr>
            <w:r>
              <w:rPr>
                <w:rFonts w:ascii="方正书宋_GBK" w:eastAsia="方正书宋_GBK"/>
                <w:color w:val="auto"/>
              </w:rPr>
              <w:t>&lt;80%</w:t>
            </w:r>
          </w:p>
        </w:tc>
      </w:tr>
      <w:tr w14:paraId="59F07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0F157C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、综合业务管理</w:t>
            </w:r>
          </w:p>
        </w:tc>
        <w:tc>
          <w:tcPr>
            <w:tcW w:w="1276" w:type="dxa"/>
            <w:vMerge w:val="restart"/>
            <w:vAlign w:val="center"/>
          </w:tcPr>
          <w:p w14:paraId="1E06C27C">
            <w:pPr>
              <w:spacing w:line="300" w:lineRule="exact"/>
              <w:jc w:val="left"/>
              <w:rPr>
                <w:rFonts w:ascii="方正书宋_GBK" w:eastAsia="方正书宋_GBK"/>
                <w:color w:val="auto"/>
              </w:rPr>
            </w:pPr>
            <w:r>
              <w:rPr>
                <w:rFonts w:ascii="方正书宋_GBK" w:eastAsia="方正书宋_GBK"/>
                <w:color w:val="auto"/>
              </w:rPr>
              <w:t>27.08</w:t>
            </w:r>
          </w:p>
        </w:tc>
        <w:tc>
          <w:tcPr>
            <w:tcW w:w="2976" w:type="dxa"/>
            <w:vMerge w:val="restart"/>
            <w:vAlign w:val="center"/>
          </w:tcPr>
          <w:p w14:paraId="6F1BCC90">
            <w:pPr>
              <w:spacing w:line="300" w:lineRule="exact"/>
              <w:jc w:val="left"/>
              <w:rPr>
                <w:rFonts w:ascii="方正书宋_GBK" w:eastAsia="方正书宋_GBK"/>
                <w:color w:val="auto"/>
              </w:rPr>
            </w:pPr>
            <w:r>
              <w:rPr>
                <w:rFonts w:hint="eastAsia" w:ascii="方正书宋_GBK" w:eastAsia="方正书宋_GBK"/>
                <w:color w:val="auto"/>
              </w:rPr>
              <w:t>负责全县依法必须招标项目的招标投标公告发布、方案核准以及评标专家库、招标代理机构等实施监督管理；按照县政府政策要求，加强行业协会管理。</w:t>
            </w:r>
          </w:p>
        </w:tc>
        <w:tc>
          <w:tcPr>
            <w:tcW w:w="2976" w:type="dxa"/>
            <w:vMerge w:val="restart"/>
            <w:vAlign w:val="center"/>
          </w:tcPr>
          <w:p w14:paraId="7709071C">
            <w:pPr>
              <w:spacing w:line="300" w:lineRule="exact"/>
              <w:jc w:val="left"/>
              <w:rPr>
                <w:rFonts w:ascii="方正书宋_GBK" w:eastAsia="方正书宋_GBK"/>
                <w:color w:val="auto"/>
              </w:rPr>
            </w:pPr>
            <w:r>
              <w:rPr>
                <w:rFonts w:hint="eastAsia" w:ascii="方正书宋_GBK" w:eastAsia="方正书宋_GBK"/>
                <w:color w:val="auto"/>
              </w:rPr>
              <w:t>招投标管理制度完善，操作实施规范，应依法必须招投标项目覆盖全面</w:t>
            </w:r>
          </w:p>
        </w:tc>
        <w:tc>
          <w:tcPr>
            <w:tcW w:w="1417" w:type="dxa"/>
            <w:vAlign w:val="center"/>
          </w:tcPr>
          <w:p w14:paraId="404A6D0B">
            <w:pPr>
              <w:spacing w:line="300" w:lineRule="exact"/>
              <w:jc w:val="left"/>
              <w:rPr>
                <w:rFonts w:ascii="方正书宋_GBK" w:eastAsia="方正书宋_GBK"/>
                <w:color w:val="auto"/>
              </w:rPr>
            </w:pPr>
            <w:r>
              <w:rPr>
                <w:rFonts w:hint="eastAsia" w:ascii="方正书宋_GBK" w:eastAsia="方正书宋_GBK"/>
                <w:color w:val="auto"/>
              </w:rPr>
              <w:t>综合业务管理工作完成率</w:t>
            </w:r>
          </w:p>
        </w:tc>
        <w:tc>
          <w:tcPr>
            <w:tcW w:w="737" w:type="dxa"/>
            <w:vAlign w:val="center"/>
          </w:tcPr>
          <w:p w14:paraId="318A3E0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70BD04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B1AA8A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EED0CA2">
            <w:pPr>
              <w:spacing w:line="300" w:lineRule="exact"/>
              <w:jc w:val="center"/>
              <w:rPr>
                <w:rFonts w:ascii="方正书宋_GBK" w:eastAsia="方正书宋_GBK"/>
                <w:color w:val="auto"/>
              </w:rPr>
            </w:pPr>
            <w:r>
              <w:rPr>
                <w:rFonts w:ascii="方正书宋_GBK" w:eastAsia="方正书宋_GBK"/>
                <w:color w:val="auto"/>
              </w:rPr>
              <w:t>&lt;90%</w:t>
            </w:r>
          </w:p>
        </w:tc>
      </w:tr>
      <w:tr w14:paraId="2438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2C678C3">
            <w:pPr>
              <w:spacing w:line="300" w:lineRule="exact"/>
              <w:jc w:val="left"/>
              <w:rPr>
                <w:rFonts w:ascii="方正书宋_GBK" w:eastAsia="方正书宋_GBK"/>
                <w:b/>
                <w:color w:val="auto"/>
              </w:rPr>
            </w:pPr>
          </w:p>
        </w:tc>
        <w:tc>
          <w:tcPr>
            <w:tcW w:w="1276" w:type="dxa"/>
            <w:vMerge w:val="continue"/>
            <w:vAlign w:val="center"/>
          </w:tcPr>
          <w:p w14:paraId="6B78442A">
            <w:pPr>
              <w:spacing w:line="300" w:lineRule="exact"/>
              <w:jc w:val="left"/>
              <w:rPr>
                <w:rFonts w:ascii="方正书宋_GBK" w:eastAsia="方正书宋_GBK"/>
                <w:color w:val="auto"/>
              </w:rPr>
            </w:pPr>
          </w:p>
        </w:tc>
        <w:tc>
          <w:tcPr>
            <w:tcW w:w="2976" w:type="dxa"/>
            <w:vMerge w:val="continue"/>
            <w:vAlign w:val="center"/>
          </w:tcPr>
          <w:p w14:paraId="27072F77">
            <w:pPr>
              <w:spacing w:line="300" w:lineRule="exact"/>
              <w:jc w:val="left"/>
              <w:rPr>
                <w:rFonts w:ascii="方正书宋_GBK" w:eastAsia="方正书宋_GBK"/>
                <w:color w:val="auto"/>
              </w:rPr>
            </w:pPr>
          </w:p>
        </w:tc>
        <w:tc>
          <w:tcPr>
            <w:tcW w:w="2976" w:type="dxa"/>
            <w:vMerge w:val="continue"/>
            <w:vAlign w:val="center"/>
          </w:tcPr>
          <w:p w14:paraId="64331505">
            <w:pPr>
              <w:spacing w:line="300" w:lineRule="exact"/>
              <w:jc w:val="left"/>
              <w:rPr>
                <w:rFonts w:ascii="方正书宋_GBK" w:eastAsia="方正书宋_GBK"/>
                <w:color w:val="auto"/>
              </w:rPr>
            </w:pPr>
          </w:p>
        </w:tc>
        <w:tc>
          <w:tcPr>
            <w:tcW w:w="1417" w:type="dxa"/>
            <w:vAlign w:val="center"/>
          </w:tcPr>
          <w:p w14:paraId="250D5746">
            <w:pPr>
              <w:spacing w:line="300" w:lineRule="exact"/>
              <w:jc w:val="left"/>
              <w:rPr>
                <w:rFonts w:ascii="方正书宋_GBK" w:eastAsia="方正书宋_GBK"/>
                <w:color w:val="auto"/>
              </w:rPr>
            </w:pPr>
            <w:r>
              <w:rPr>
                <w:rFonts w:hint="eastAsia" w:ascii="方正书宋_GBK" w:eastAsia="方正书宋_GBK"/>
                <w:color w:val="auto"/>
              </w:rPr>
              <w:t>年内督导企业个数</w:t>
            </w:r>
          </w:p>
        </w:tc>
        <w:tc>
          <w:tcPr>
            <w:tcW w:w="737" w:type="dxa"/>
            <w:vAlign w:val="center"/>
          </w:tcPr>
          <w:p w14:paraId="6B0FFA3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vAlign w:val="center"/>
          </w:tcPr>
          <w:p w14:paraId="53B2D72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w:t>
            </w:r>
          </w:p>
        </w:tc>
        <w:tc>
          <w:tcPr>
            <w:tcW w:w="737" w:type="dxa"/>
            <w:vAlign w:val="center"/>
          </w:tcPr>
          <w:p w14:paraId="7230889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vAlign w:val="center"/>
          </w:tcPr>
          <w:p w14:paraId="11385F9A">
            <w:pPr>
              <w:spacing w:line="300" w:lineRule="exact"/>
              <w:jc w:val="center"/>
              <w:rPr>
                <w:rFonts w:ascii="方正书宋_GBK" w:eastAsia="方正书宋_GBK"/>
                <w:color w:val="auto"/>
              </w:rPr>
            </w:pPr>
            <w:r>
              <w:rPr>
                <w:rFonts w:ascii="方正书宋_GBK" w:eastAsia="方正书宋_GBK"/>
                <w:color w:val="auto"/>
              </w:rPr>
              <w:t>&lt;8</w:t>
            </w:r>
          </w:p>
        </w:tc>
      </w:tr>
      <w:tr w14:paraId="2781F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EC7929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、综合事务管理</w:t>
            </w:r>
          </w:p>
        </w:tc>
        <w:tc>
          <w:tcPr>
            <w:tcW w:w="1276" w:type="dxa"/>
            <w:vAlign w:val="center"/>
          </w:tcPr>
          <w:p w14:paraId="3AF9E804">
            <w:pPr>
              <w:spacing w:line="300" w:lineRule="exact"/>
              <w:jc w:val="left"/>
              <w:rPr>
                <w:rFonts w:ascii="方正书宋_GBK" w:eastAsia="方正书宋_GBK"/>
                <w:color w:val="auto"/>
              </w:rPr>
            </w:pPr>
          </w:p>
        </w:tc>
        <w:tc>
          <w:tcPr>
            <w:tcW w:w="2976" w:type="dxa"/>
            <w:vAlign w:val="center"/>
          </w:tcPr>
          <w:p w14:paraId="42AABA42">
            <w:pPr>
              <w:spacing w:line="300" w:lineRule="exact"/>
              <w:jc w:val="left"/>
              <w:rPr>
                <w:rFonts w:ascii="方正书宋_GBK" w:eastAsia="方正书宋_GBK"/>
                <w:color w:val="auto"/>
              </w:rPr>
            </w:pPr>
            <w:r>
              <w:rPr>
                <w:rFonts w:hint="eastAsia" w:ascii="方正书宋_GBK" w:eastAsia="方正书宋_GBK"/>
                <w:color w:val="auto"/>
              </w:rPr>
              <w:t>发展改革工作运转保障，包括会议组织、政务督办、档案管理、信访接待、政务信息、行政复议、对外宣传、干部培训、课题研究、调研活动等行政事务；开展党风廉政建设、政府信息公开、行政许可事项受理，信息化建设等管理。</w:t>
            </w:r>
          </w:p>
        </w:tc>
        <w:tc>
          <w:tcPr>
            <w:tcW w:w="2976" w:type="dxa"/>
            <w:vAlign w:val="center"/>
          </w:tcPr>
          <w:p w14:paraId="38B69B3D">
            <w:pPr>
              <w:spacing w:line="300" w:lineRule="exact"/>
              <w:jc w:val="left"/>
              <w:rPr>
                <w:rFonts w:ascii="方正书宋_GBK" w:eastAsia="方正书宋_GBK"/>
                <w:color w:val="auto"/>
              </w:rPr>
            </w:pPr>
            <w:r>
              <w:rPr>
                <w:rFonts w:hint="eastAsia" w:ascii="方正书宋_GBK" w:eastAsia="方正书宋_GBK"/>
                <w:color w:val="auto"/>
              </w:rPr>
              <w:t>保障发展改革工作正常开展</w:t>
            </w:r>
          </w:p>
        </w:tc>
        <w:tc>
          <w:tcPr>
            <w:tcW w:w="1417" w:type="dxa"/>
            <w:vAlign w:val="center"/>
          </w:tcPr>
          <w:p w14:paraId="0E04AF27">
            <w:pPr>
              <w:spacing w:line="300" w:lineRule="exact"/>
              <w:jc w:val="left"/>
              <w:rPr>
                <w:rFonts w:ascii="方正书宋_GBK" w:eastAsia="方正书宋_GBK"/>
                <w:color w:val="auto"/>
              </w:rPr>
            </w:pPr>
            <w:r>
              <w:rPr>
                <w:rFonts w:hint="eastAsia" w:ascii="方正书宋_GBK" w:eastAsia="方正书宋_GBK"/>
                <w:color w:val="auto"/>
              </w:rPr>
              <w:t>综合事务管理工作完成率</w:t>
            </w:r>
          </w:p>
        </w:tc>
        <w:tc>
          <w:tcPr>
            <w:tcW w:w="737" w:type="dxa"/>
            <w:vAlign w:val="center"/>
          </w:tcPr>
          <w:p w14:paraId="53D24594">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AEC3D2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04E4A7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C2DE83E">
            <w:pPr>
              <w:spacing w:line="300" w:lineRule="exact"/>
              <w:jc w:val="center"/>
              <w:rPr>
                <w:rFonts w:ascii="方正书宋_GBK" w:eastAsia="方正书宋_GBK"/>
                <w:color w:val="auto"/>
              </w:rPr>
            </w:pPr>
            <w:r>
              <w:rPr>
                <w:rFonts w:ascii="方正书宋_GBK" w:eastAsia="方正书宋_GBK"/>
                <w:color w:val="auto"/>
              </w:rPr>
              <w:t>&lt;90%</w:t>
            </w:r>
          </w:p>
        </w:tc>
      </w:tr>
    </w:tbl>
    <w:p w14:paraId="0373FB4B">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3498999F">
      <w:pPr>
        <w:autoSpaceDE w:val="0"/>
        <w:autoSpaceDN w:val="0"/>
        <w:adjustRightInd w:val="0"/>
        <w:ind w:left="198" w:firstLine="643" w:firstLineChars="200"/>
        <w:jc w:val="left"/>
        <w:rPr>
          <w:rFonts w:ascii="Times New Roman" w:hAnsi="Times New Roman" w:eastAsia="仿宋" w:cs="Times New Roman"/>
          <w:b/>
          <w:color w:val="auto"/>
          <w:sz w:val="32"/>
          <w:szCs w:val="32"/>
        </w:rPr>
      </w:pPr>
    </w:p>
    <w:p w14:paraId="3D2024EB">
      <w:pPr>
        <w:jc w:val="center"/>
        <w:outlineLvl w:val="0"/>
        <w:rPr>
          <w:rFonts w:ascii="方正小标宋_GBK" w:hAnsi="Times New Roman" w:eastAsia="方正小标宋_GBK" w:cs="Times New Roman"/>
          <w:color w:val="auto"/>
          <w:sz w:val="32"/>
          <w:szCs w:val="24"/>
        </w:rPr>
      </w:pPr>
    </w:p>
    <w:p w14:paraId="22841ADF">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30C86BAB">
      <w:pPr>
        <w:ind w:firstLine="640" w:firstLineChars="200"/>
        <w:outlineLvl w:val="0"/>
        <w:rPr>
          <w:rFonts w:ascii="Times New Roman" w:hAnsi="Times New Roman" w:eastAsia="仿宋" w:cs="Times New Roman"/>
          <w:color w:val="auto"/>
          <w:sz w:val="32"/>
          <w:szCs w:val="24"/>
        </w:rPr>
      </w:pPr>
      <w:bookmarkStart w:id="1" w:name="_Toc471398468"/>
      <w:r>
        <w:rPr>
          <w:rFonts w:ascii="Times New Roman" w:hAnsi="Times New Roman" w:eastAsia="仿宋" w:cs="Times New Roman"/>
          <w:color w:val="auto"/>
          <w:sz w:val="32"/>
          <w:szCs w:val="24"/>
        </w:rPr>
        <w:t xml:space="preserve"> 2019</w:t>
      </w:r>
      <w:r>
        <w:rPr>
          <w:rFonts w:hint="eastAsia" w:ascii="Times New Roman" w:hAnsi="Times New Roman" w:eastAsia="仿宋" w:cs="Times New Roman"/>
          <w:color w:val="auto"/>
          <w:sz w:val="32"/>
          <w:szCs w:val="24"/>
        </w:rPr>
        <w:t>年，我部门安排政府采购预算</w:t>
      </w:r>
      <w:r>
        <w:rPr>
          <w:rFonts w:ascii="Times New Roman" w:hAnsi="Times New Roman" w:eastAsia="仿宋" w:cs="Times New Roman"/>
          <w:color w:val="auto"/>
          <w:sz w:val="32"/>
          <w:szCs w:val="24"/>
        </w:rPr>
        <w:t>7</w:t>
      </w:r>
      <w:r>
        <w:rPr>
          <w:rFonts w:hint="eastAsia" w:ascii="Times New Roman" w:hAnsi="Times New Roman" w:eastAsia="仿宋" w:cs="Times New Roman"/>
          <w:color w:val="auto"/>
          <w:sz w:val="32"/>
          <w:szCs w:val="24"/>
        </w:rPr>
        <w:t>万元。具体内容见下表。</w:t>
      </w:r>
      <w:bookmarkEnd w:id="1"/>
    </w:p>
    <w:p w14:paraId="32409058">
      <w:pPr>
        <w:spacing w:line="300" w:lineRule="exact"/>
        <w:jc w:val="left"/>
        <w:outlineLvl w:val="0"/>
        <w:rPr>
          <w:color w:val="auto"/>
        </w:rPr>
      </w:pPr>
    </w:p>
    <w:p w14:paraId="269CE2E6">
      <w:pPr>
        <w:jc w:val="center"/>
        <w:outlineLvl w:val="0"/>
        <w:rPr>
          <w:rFonts w:ascii="方正小标宋_GBK" w:eastAsia="方正小标宋_GBK"/>
          <w:color w:val="auto"/>
          <w:sz w:val="32"/>
        </w:rPr>
      </w:pPr>
      <w:bookmarkStart w:id="2" w:name="_Toc536172411"/>
      <w:r>
        <w:rPr>
          <w:rFonts w:hint="eastAsia" w:ascii="方正小标宋_GBK" w:eastAsia="方正小标宋_GBK"/>
          <w:color w:val="auto"/>
          <w:sz w:val="32"/>
        </w:rPr>
        <w:t>部门政府采购预算</w:t>
      </w:r>
      <w:bookmarkEnd w:id="2"/>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0EABB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1726C67C">
            <w:pPr>
              <w:spacing w:line="300" w:lineRule="exact"/>
              <w:jc w:val="left"/>
              <w:rPr>
                <w:rFonts w:ascii="方正小标宋_GBK" w:eastAsia="方正小标宋_GBK"/>
                <w:color w:val="auto"/>
                <w:sz w:val="24"/>
              </w:rPr>
            </w:pPr>
            <w:r>
              <w:rPr>
                <w:rFonts w:ascii="方正小标宋_GBK" w:eastAsia="方正小标宋_GBK"/>
                <w:color w:val="auto"/>
                <w:sz w:val="24"/>
              </w:rPr>
              <w:t>303</w:t>
            </w:r>
            <w:r>
              <w:rPr>
                <w:rFonts w:hint="eastAsia" w:ascii="方正小标宋_GBK" w:eastAsia="方正小标宋_GBK"/>
                <w:color w:val="auto"/>
                <w:sz w:val="24"/>
              </w:rPr>
              <w:t>曲阳县发展改革局</w:t>
            </w:r>
          </w:p>
        </w:tc>
        <w:tc>
          <w:tcPr>
            <w:tcW w:w="6693" w:type="dxa"/>
            <w:gridSpan w:val="7"/>
            <w:tcBorders>
              <w:top w:val="single" w:color="FFFFFF" w:sz="6" w:space="0"/>
              <w:left w:val="single" w:color="FFFFFF" w:sz="6" w:space="0"/>
              <w:right w:val="single" w:color="FFFFFF" w:sz="6" w:space="0"/>
            </w:tcBorders>
            <w:vAlign w:val="center"/>
          </w:tcPr>
          <w:p w14:paraId="5CAD71E5">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13804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06F4C963">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974" w:type="dxa"/>
            <w:vMerge w:val="restart"/>
            <w:vAlign w:val="center"/>
          </w:tcPr>
          <w:p w14:paraId="373EF243">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986" w:type="dxa"/>
            <w:vMerge w:val="restart"/>
            <w:vAlign w:val="center"/>
          </w:tcPr>
          <w:p w14:paraId="054F67DC">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60" w:type="dxa"/>
            <w:vMerge w:val="restart"/>
            <w:vAlign w:val="center"/>
          </w:tcPr>
          <w:p w14:paraId="0A326988">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760" w:type="dxa"/>
            <w:vMerge w:val="restart"/>
            <w:vAlign w:val="center"/>
          </w:tcPr>
          <w:p w14:paraId="6D1B20BA">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48" w:type="dxa"/>
            <w:vMerge w:val="restart"/>
            <w:vAlign w:val="center"/>
          </w:tcPr>
          <w:p w14:paraId="2BA39365">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693" w:type="dxa"/>
            <w:gridSpan w:val="7"/>
            <w:vAlign w:val="center"/>
          </w:tcPr>
          <w:p w14:paraId="1E0AA144">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1550F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36CED8E2">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99" w:type="dxa"/>
            <w:vMerge w:val="restart"/>
            <w:vAlign w:val="center"/>
          </w:tcPr>
          <w:p w14:paraId="26BD781E">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974" w:type="dxa"/>
            <w:vMerge w:val="continue"/>
            <w:vAlign w:val="center"/>
          </w:tcPr>
          <w:p w14:paraId="1792C5EA">
            <w:pPr>
              <w:spacing w:line="300" w:lineRule="exact"/>
              <w:jc w:val="left"/>
              <w:outlineLvl w:val="0"/>
              <w:rPr>
                <w:color w:val="auto"/>
              </w:rPr>
            </w:pPr>
          </w:p>
        </w:tc>
        <w:tc>
          <w:tcPr>
            <w:tcW w:w="986" w:type="dxa"/>
            <w:vMerge w:val="continue"/>
            <w:vAlign w:val="center"/>
          </w:tcPr>
          <w:p w14:paraId="072CD1EF">
            <w:pPr>
              <w:spacing w:line="300" w:lineRule="exact"/>
              <w:jc w:val="left"/>
              <w:outlineLvl w:val="0"/>
              <w:rPr>
                <w:color w:val="auto"/>
              </w:rPr>
            </w:pPr>
          </w:p>
        </w:tc>
        <w:tc>
          <w:tcPr>
            <w:tcW w:w="760" w:type="dxa"/>
            <w:vMerge w:val="continue"/>
            <w:vAlign w:val="center"/>
          </w:tcPr>
          <w:p w14:paraId="17A3CE67">
            <w:pPr>
              <w:spacing w:line="300" w:lineRule="exact"/>
              <w:jc w:val="left"/>
              <w:outlineLvl w:val="0"/>
              <w:rPr>
                <w:color w:val="auto"/>
              </w:rPr>
            </w:pPr>
          </w:p>
        </w:tc>
        <w:tc>
          <w:tcPr>
            <w:tcW w:w="760" w:type="dxa"/>
            <w:vMerge w:val="continue"/>
            <w:vAlign w:val="center"/>
          </w:tcPr>
          <w:p w14:paraId="1F3E3B1F">
            <w:pPr>
              <w:spacing w:line="300" w:lineRule="exact"/>
              <w:jc w:val="left"/>
              <w:outlineLvl w:val="0"/>
              <w:rPr>
                <w:color w:val="auto"/>
              </w:rPr>
            </w:pPr>
          </w:p>
        </w:tc>
        <w:tc>
          <w:tcPr>
            <w:tcW w:w="848" w:type="dxa"/>
            <w:vMerge w:val="continue"/>
            <w:vAlign w:val="center"/>
          </w:tcPr>
          <w:p w14:paraId="039AA2FC">
            <w:pPr>
              <w:spacing w:line="300" w:lineRule="exact"/>
              <w:jc w:val="left"/>
              <w:outlineLvl w:val="0"/>
              <w:rPr>
                <w:color w:val="auto"/>
              </w:rPr>
            </w:pPr>
          </w:p>
        </w:tc>
        <w:tc>
          <w:tcPr>
            <w:tcW w:w="961" w:type="dxa"/>
            <w:vMerge w:val="restart"/>
            <w:vAlign w:val="center"/>
          </w:tcPr>
          <w:p w14:paraId="4AC9F328">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811" w:type="dxa"/>
            <w:gridSpan w:val="5"/>
            <w:vAlign w:val="center"/>
          </w:tcPr>
          <w:p w14:paraId="383530ED">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921" w:type="dxa"/>
            <w:vMerge w:val="restart"/>
            <w:vAlign w:val="center"/>
          </w:tcPr>
          <w:p w14:paraId="2FD45A7E">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2A90C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136294B0">
            <w:pPr>
              <w:spacing w:line="300" w:lineRule="exact"/>
              <w:jc w:val="left"/>
              <w:outlineLvl w:val="0"/>
              <w:rPr>
                <w:color w:val="auto"/>
              </w:rPr>
            </w:pPr>
          </w:p>
        </w:tc>
        <w:tc>
          <w:tcPr>
            <w:tcW w:w="1099" w:type="dxa"/>
            <w:vMerge w:val="continue"/>
            <w:vAlign w:val="center"/>
          </w:tcPr>
          <w:p w14:paraId="2F76FB59">
            <w:pPr>
              <w:spacing w:line="300" w:lineRule="exact"/>
              <w:jc w:val="left"/>
              <w:outlineLvl w:val="0"/>
              <w:rPr>
                <w:color w:val="auto"/>
              </w:rPr>
            </w:pPr>
          </w:p>
        </w:tc>
        <w:tc>
          <w:tcPr>
            <w:tcW w:w="974" w:type="dxa"/>
            <w:vMerge w:val="continue"/>
            <w:vAlign w:val="center"/>
          </w:tcPr>
          <w:p w14:paraId="6B66DA5E">
            <w:pPr>
              <w:spacing w:line="300" w:lineRule="exact"/>
              <w:jc w:val="left"/>
              <w:outlineLvl w:val="0"/>
              <w:rPr>
                <w:color w:val="auto"/>
              </w:rPr>
            </w:pPr>
          </w:p>
        </w:tc>
        <w:tc>
          <w:tcPr>
            <w:tcW w:w="986" w:type="dxa"/>
            <w:vMerge w:val="continue"/>
            <w:vAlign w:val="center"/>
          </w:tcPr>
          <w:p w14:paraId="2E2236E7">
            <w:pPr>
              <w:spacing w:line="300" w:lineRule="exact"/>
              <w:jc w:val="left"/>
              <w:outlineLvl w:val="0"/>
              <w:rPr>
                <w:color w:val="auto"/>
              </w:rPr>
            </w:pPr>
          </w:p>
        </w:tc>
        <w:tc>
          <w:tcPr>
            <w:tcW w:w="760" w:type="dxa"/>
            <w:vMerge w:val="continue"/>
            <w:vAlign w:val="center"/>
          </w:tcPr>
          <w:p w14:paraId="225DB25D">
            <w:pPr>
              <w:spacing w:line="300" w:lineRule="exact"/>
              <w:jc w:val="left"/>
              <w:outlineLvl w:val="0"/>
              <w:rPr>
                <w:color w:val="auto"/>
              </w:rPr>
            </w:pPr>
          </w:p>
        </w:tc>
        <w:tc>
          <w:tcPr>
            <w:tcW w:w="760" w:type="dxa"/>
            <w:vMerge w:val="continue"/>
            <w:vAlign w:val="center"/>
          </w:tcPr>
          <w:p w14:paraId="6B04C0F2">
            <w:pPr>
              <w:spacing w:line="300" w:lineRule="exact"/>
              <w:jc w:val="left"/>
              <w:outlineLvl w:val="0"/>
              <w:rPr>
                <w:color w:val="auto"/>
              </w:rPr>
            </w:pPr>
          </w:p>
        </w:tc>
        <w:tc>
          <w:tcPr>
            <w:tcW w:w="848" w:type="dxa"/>
            <w:vMerge w:val="continue"/>
            <w:vAlign w:val="center"/>
          </w:tcPr>
          <w:p w14:paraId="7E87B560">
            <w:pPr>
              <w:spacing w:line="300" w:lineRule="exact"/>
              <w:jc w:val="left"/>
              <w:outlineLvl w:val="0"/>
              <w:rPr>
                <w:color w:val="auto"/>
              </w:rPr>
            </w:pPr>
          </w:p>
        </w:tc>
        <w:tc>
          <w:tcPr>
            <w:tcW w:w="961" w:type="dxa"/>
            <w:vMerge w:val="continue"/>
            <w:vAlign w:val="center"/>
          </w:tcPr>
          <w:p w14:paraId="68F43A53">
            <w:pPr>
              <w:spacing w:line="300" w:lineRule="exact"/>
              <w:jc w:val="left"/>
              <w:outlineLvl w:val="0"/>
              <w:rPr>
                <w:color w:val="auto"/>
              </w:rPr>
            </w:pPr>
          </w:p>
        </w:tc>
        <w:tc>
          <w:tcPr>
            <w:tcW w:w="961" w:type="dxa"/>
            <w:vAlign w:val="center"/>
          </w:tcPr>
          <w:p w14:paraId="0DD6B6BF">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61" w:type="dxa"/>
            <w:vAlign w:val="center"/>
          </w:tcPr>
          <w:p w14:paraId="5857CD71">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61" w:type="dxa"/>
            <w:vAlign w:val="center"/>
          </w:tcPr>
          <w:p w14:paraId="6149D688">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64" w:type="dxa"/>
            <w:vAlign w:val="center"/>
          </w:tcPr>
          <w:p w14:paraId="4A013E92">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64" w:type="dxa"/>
            <w:vAlign w:val="center"/>
          </w:tcPr>
          <w:p w14:paraId="449DC0B0">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921" w:type="dxa"/>
            <w:vMerge w:val="continue"/>
            <w:vAlign w:val="center"/>
          </w:tcPr>
          <w:p w14:paraId="1E2C98AC">
            <w:pPr>
              <w:spacing w:line="300" w:lineRule="exact"/>
              <w:jc w:val="left"/>
              <w:outlineLvl w:val="0"/>
              <w:rPr>
                <w:color w:val="auto"/>
              </w:rPr>
            </w:pPr>
          </w:p>
        </w:tc>
      </w:tr>
      <w:tr w14:paraId="7EEA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4DAAB18">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99" w:type="dxa"/>
            <w:vAlign w:val="center"/>
          </w:tcPr>
          <w:p w14:paraId="03575143">
            <w:pPr>
              <w:spacing w:line="300" w:lineRule="exact"/>
              <w:jc w:val="right"/>
              <w:rPr>
                <w:rFonts w:ascii="方正书宋_GBK" w:eastAsia="方正书宋_GBK"/>
                <w:b/>
                <w:color w:val="auto"/>
              </w:rPr>
            </w:pPr>
          </w:p>
        </w:tc>
        <w:tc>
          <w:tcPr>
            <w:tcW w:w="974" w:type="dxa"/>
            <w:vAlign w:val="center"/>
          </w:tcPr>
          <w:p w14:paraId="55B3FEA9">
            <w:pPr>
              <w:spacing w:line="300" w:lineRule="exact"/>
              <w:jc w:val="left"/>
              <w:rPr>
                <w:rFonts w:ascii="方正书宋_GBK" w:eastAsia="方正书宋_GBK"/>
                <w:b/>
                <w:color w:val="auto"/>
              </w:rPr>
            </w:pPr>
          </w:p>
        </w:tc>
        <w:tc>
          <w:tcPr>
            <w:tcW w:w="986" w:type="dxa"/>
            <w:vAlign w:val="center"/>
          </w:tcPr>
          <w:p w14:paraId="39B6F203">
            <w:pPr>
              <w:spacing w:line="300" w:lineRule="exact"/>
              <w:jc w:val="left"/>
              <w:rPr>
                <w:rFonts w:ascii="方正书宋_GBK" w:eastAsia="方正书宋_GBK"/>
                <w:b/>
                <w:color w:val="auto"/>
              </w:rPr>
            </w:pPr>
          </w:p>
        </w:tc>
        <w:tc>
          <w:tcPr>
            <w:tcW w:w="760" w:type="dxa"/>
            <w:vAlign w:val="center"/>
          </w:tcPr>
          <w:p w14:paraId="423F0159">
            <w:pPr>
              <w:spacing w:line="300" w:lineRule="exact"/>
              <w:jc w:val="left"/>
              <w:rPr>
                <w:rFonts w:ascii="方正书宋_GBK" w:eastAsia="方正书宋_GBK"/>
                <w:b/>
                <w:color w:val="auto"/>
              </w:rPr>
            </w:pPr>
          </w:p>
        </w:tc>
        <w:tc>
          <w:tcPr>
            <w:tcW w:w="760" w:type="dxa"/>
            <w:vAlign w:val="center"/>
          </w:tcPr>
          <w:p w14:paraId="52E13B53">
            <w:pPr>
              <w:spacing w:line="300" w:lineRule="exact"/>
              <w:jc w:val="right"/>
              <w:rPr>
                <w:rFonts w:ascii="方正书宋_GBK" w:eastAsia="方正书宋_GBK"/>
                <w:b/>
                <w:color w:val="auto"/>
              </w:rPr>
            </w:pPr>
          </w:p>
        </w:tc>
        <w:tc>
          <w:tcPr>
            <w:tcW w:w="848" w:type="dxa"/>
            <w:vAlign w:val="center"/>
          </w:tcPr>
          <w:p w14:paraId="6B28A644">
            <w:pPr>
              <w:spacing w:line="300" w:lineRule="exact"/>
              <w:jc w:val="right"/>
              <w:rPr>
                <w:rFonts w:ascii="方正书宋_GBK" w:eastAsia="方正书宋_GBK"/>
                <w:b/>
                <w:color w:val="auto"/>
              </w:rPr>
            </w:pPr>
          </w:p>
        </w:tc>
        <w:tc>
          <w:tcPr>
            <w:tcW w:w="961" w:type="dxa"/>
            <w:vAlign w:val="center"/>
          </w:tcPr>
          <w:p w14:paraId="5D17B0B5">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6C1D7F83">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092704E7">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7F13BE44">
            <w:pPr>
              <w:spacing w:line="300" w:lineRule="exact"/>
              <w:jc w:val="right"/>
              <w:rPr>
                <w:rFonts w:ascii="方正书宋_GBK" w:eastAsia="方正书宋_GBK"/>
                <w:b/>
                <w:color w:val="auto"/>
              </w:rPr>
            </w:pPr>
          </w:p>
        </w:tc>
        <w:tc>
          <w:tcPr>
            <w:tcW w:w="964" w:type="dxa"/>
            <w:vAlign w:val="center"/>
          </w:tcPr>
          <w:p w14:paraId="7F1B37AA">
            <w:pPr>
              <w:spacing w:line="300" w:lineRule="exact"/>
              <w:jc w:val="right"/>
              <w:rPr>
                <w:rFonts w:ascii="方正书宋_GBK" w:eastAsia="方正书宋_GBK"/>
                <w:b/>
                <w:color w:val="auto"/>
              </w:rPr>
            </w:pPr>
          </w:p>
        </w:tc>
        <w:tc>
          <w:tcPr>
            <w:tcW w:w="964" w:type="dxa"/>
            <w:vAlign w:val="center"/>
          </w:tcPr>
          <w:p w14:paraId="442A370A">
            <w:pPr>
              <w:spacing w:line="300" w:lineRule="exact"/>
              <w:jc w:val="right"/>
              <w:rPr>
                <w:rFonts w:ascii="方正书宋_GBK" w:eastAsia="方正书宋_GBK"/>
                <w:b/>
                <w:color w:val="auto"/>
              </w:rPr>
            </w:pPr>
          </w:p>
        </w:tc>
        <w:tc>
          <w:tcPr>
            <w:tcW w:w="921" w:type="dxa"/>
            <w:vAlign w:val="center"/>
          </w:tcPr>
          <w:p w14:paraId="25D1D774">
            <w:pPr>
              <w:spacing w:line="300" w:lineRule="exact"/>
              <w:jc w:val="right"/>
              <w:rPr>
                <w:rFonts w:ascii="方正书宋_GBK" w:eastAsia="方正书宋_GBK"/>
                <w:b/>
                <w:color w:val="auto"/>
              </w:rPr>
            </w:pPr>
          </w:p>
        </w:tc>
      </w:tr>
      <w:tr w14:paraId="5CACE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A24DA7E">
            <w:pPr>
              <w:spacing w:line="300" w:lineRule="exact"/>
              <w:jc w:val="center"/>
              <w:rPr>
                <w:rFonts w:ascii="方正书宋_GBK" w:eastAsia="方正书宋_GBK"/>
                <w:b/>
                <w:color w:val="auto"/>
              </w:rPr>
            </w:pPr>
            <w:r>
              <w:rPr>
                <w:rFonts w:hint="eastAsia" w:ascii="方正书宋_GBK" w:eastAsia="方正书宋_GBK"/>
                <w:b/>
                <w:color w:val="auto"/>
              </w:rPr>
              <w:t>曲阳县发展改革局小计</w:t>
            </w:r>
          </w:p>
        </w:tc>
        <w:tc>
          <w:tcPr>
            <w:tcW w:w="1099" w:type="dxa"/>
            <w:vAlign w:val="center"/>
          </w:tcPr>
          <w:p w14:paraId="48D746CB">
            <w:pPr>
              <w:spacing w:line="300" w:lineRule="exact"/>
              <w:jc w:val="right"/>
              <w:rPr>
                <w:rFonts w:ascii="方正书宋_GBK" w:eastAsia="方正书宋_GBK"/>
                <w:b/>
                <w:color w:val="auto"/>
              </w:rPr>
            </w:pPr>
          </w:p>
        </w:tc>
        <w:tc>
          <w:tcPr>
            <w:tcW w:w="974" w:type="dxa"/>
            <w:vAlign w:val="center"/>
          </w:tcPr>
          <w:p w14:paraId="243719FC">
            <w:pPr>
              <w:spacing w:line="300" w:lineRule="exact"/>
              <w:jc w:val="left"/>
              <w:rPr>
                <w:rFonts w:ascii="方正书宋_GBK" w:eastAsia="方正书宋_GBK"/>
                <w:b/>
                <w:color w:val="auto"/>
              </w:rPr>
            </w:pPr>
          </w:p>
        </w:tc>
        <w:tc>
          <w:tcPr>
            <w:tcW w:w="986" w:type="dxa"/>
            <w:vAlign w:val="center"/>
          </w:tcPr>
          <w:p w14:paraId="35EAA405">
            <w:pPr>
              <w:spacing w:line="300" w:lineRule="exact"/>
              <w:jc w:val="left"/>
              <w:rPr>
                <w:rFonts w:ascii="方正书宋_GBK" w:eastAsia="方正书宋_GBK"/>
                <w:b/>
                <w:color w:val="auto"/>
              </w:rPr>
            </w:pPr>
          </w:p>
        </w:tc>
        <w:tc>
          <w:tcPr>
            <w:tcW w:w="760" w:type="dxa"/>
            <w:vAlign w:val="center"/>
          </w:tcPr>
          <w:p w14:paraId="74C717D2">
            <w:pPr>
              <w:spacing w:line="300" w:lineRule="exact"/>
              <w:jc w:val="left"/>
              <w:rPr>
                <w:rFonts w:ascii="方正书宋_GBK" w:eastAsia="方正书宋_GBK"/>
                <w:b/>
                <w:color w:val="auto"/>
              </w:rPr>
            </w:pPr>
          </w:p>
        </w:tc>
        <w:tc>
          <w:tcPr>
            <w:tcW w:w="760" w:type="dxa"/>
            <w:vAlign w:val="center"/>
          </w:tcPr>
          <w:p w14:paraId="64405138">
            <w:pPr>
              <w:spacing w:line="300" w:lineRule="exact"/>
              <w:jc w:val="right"/>
              <w:rPr>
                <w:rFonts w:ascii="方正书宋_GBK" w:eastAsia="方正书宋_GBK"/>
                <w:b/>
                <w:color w:val="auto"/>
              </w:rPr>
            </w:pPr>
          </w:p>
        </w:tc>
        <w:tc>
          <w:tcPr>
            <w:tcW w:w="848" w:type="dxa"/>
            <w:vAlign w:val="center"/>
          </w:tcPr>
          <w:p w14:paraId="3D7CF895">
            <w:pPr>
              <w:spacing w:line="300" w:lineRule="exact"/>
              <w:jc w:val="right"/>
              <w:rPr>
                <w:rFonts w:ascii="方正书宋_GBK" w:eastAsia="方正书宋_GBK"/>
                <w:b/>
                <w:color w:val="auto"/>
              </w:rPr>
            </w:pPr>
          </w:p>
        </w:tc>
        <w:tc>
          <w:tcPr>
            <w:tcW w:w="961" w:type="dxa"/>
            <w:vAlign w:val="center"/>
          </w:tcPr>
          <w:p w14:paraId="341F5989">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79AB9F8D">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14EF7FFA">
            <w:pPr>
              <w:spacing w:line="300" w:lineRule="exact"/>
              <w:jc w:val="right"/>
              <w:rPr>
                <w:rFonts w:ascii="方正书宋_GBK" w:eastAsia="方正书宋_GBK"/>
                <w:b/>
                <w:color w:val="auto"/>
              </w:rPr>
            </w:pPr>
            <w:r>
              <w:rPr>
                <w:rFonts w:ascii="方正书宋_GBK" w:eastAsia="方正书宋_GBK"/>
                <w:b/>
                <w:color w:val="auto"/>
              </w:rPr>
              <w:t>7.00</w:t>
            </w:r>
          </w:p>
        </w:tc>
        <w:tc>
          <w:tcPr>
            <w:tcW w:w="961" w:type="dxa"/>
            <w:vAlign w:val="center"/>
          </w:tcPr>
          <w:p w14:paraId="25ECFE26">
            <w:pPr>
              <w:spacing w:line="300" w:lineRule="exact"/>
              <w:jc w:val="right"/>
              <w:rPr>
                <w:rFonts w:ascii="方正书宋_GBK" w:eastAsia="方正书宋_GBK"/>
                <w:b/>
                <w:color w:val="auto"/>
              </w:rPr>
            </w:pPr>
          </w:p>
        </w:tc>
        <w:tc>
          <w:tcPr>
            <w:tcW w:w="964" w:type="dxa"/>
            <w:vAlign w:val="center"/>
          </w:tcPr>
          <w:p w14:paraId="53B2C44C">
            <w:pPr>
              <w:spacing w:line="300" w:lineRule="exact"/>
              <w:jc w:val="right"/>
              <w:rPr>
                <w:rFonts w:ascii="方正书宋_GBK" w:eastAsia="方正书宋_GBK"/>
                <w:b/>
                <w:color w:val="auto"/>
              </w:rPr>
            </w:pPr>
          </w:p>
        </w:tc>
        <w:tc>
          <w:tcPr>
            <w:tcW w:w="964" w:type="dxa"/>
            <w:vAlign w:val="center"/>
          </w:tcPr>
          <w:p w14:paraId="1A863DEA">
            <w:pPr>
              <w:spacing w:line="300" w:lineRule="exact"/>
              <w:jc w:val="right"/>
              <w:rPr>
                <w:rFonts w:ascii="方正书宋_GBK" w:eastAsia="方正书宋_GBK"/>
                <w:b/>
                <w:color w:val="auto"/>
              </w:rPr>
            </w:pPr>
          </w:p>
        </w:tc>
        <w:tc>
          <w:tcPr>
            <w:tcW w:w="921" w:type="dxa"/>
            <w:vAlign w:val="center"/>
          </w:tcPr>
          <w:p w14:paraId="480D3558">
            <w:pPr>
              <w:spacing w:line="300" w:lineRule="exact"/>
              <w:jc w:val="right"/>
              <w:rPr>
                <w:rFonts w:ascii="方正书宋_GBK" w:eastAsia="方正书宋_GBK"/>
                <w:b/>
                <w:color w:val="auto"/>
              </w:rPr>
            </w:pPr>
          </w:p>
        </w:tc>
      </w:tr>
      <w:tr w14:paraId="0059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4FD606FE">
            <w:pPr>
              <w:spacing w:line="300" w:lineRule="exact"/>
              <w:jc w:val="left"/>
              <w:rPr>
                <w:rFonts w:ascii="方正书宋_GBK" w:eastAsia="方正书宋_GBK"/>
                <w:color w:val="auto"/>
              </w:rPr>
            </w:pPr>
            <w:r>
              <w:rPr>
                <w:rFonts w:hint="eastAsia" w:ascii="方正书宋_GBK" w:eastAsia="方正书宋_GBK"/>
                <w:color w:val="auto"/>
              </w:rPr>
              <w:t>项目协调跑办专项经费</w:t>
            </w:r>
          </w:p>
        </w:tc>
        <w:tc>
          <w:tcPr>
            <w:tcW w:w="1099" w:type="dxa"/>
            <w:vAlign w:val="center"/>
          </w:tcPr>
          <w:p w14:paraId="151F5538">
            <w:pPr>
              <w:spacing w:line="300" w:lineRule="exact"/>
              <w:jc w:val="right"/>
              <w:rPr>
                <w:rFonts w:ascii="方正书宋_GBK" w:eastAsia="方正书宋_GBK"/>
                <w:color w:val="auto"/>
              </w:rPr>
            </w:pPr>
            <w:r>
              <w:rPr>
                <w:rFonts w:ascii="方正书宋_GBK" w:eastAsia="方正书宋_GBK"/>
                <w:color w:val="auto"/>
              </w:rPr>
              <w:t>19.00</w:t>
            </w:r>
          </w:p>
        </w:tc>
        <w:tc>
          <w:tcPr>
            <w:tcW w:w="974" w:type="dxa"/>
            <w:vAlign w:val="center"/>
          </w:tcPr>
          <w:p w14:paraId="69E94A69">
            <w:pPr>
              <w:spacing w:line="300" w:lineRule="exact"/>
              <w:jc w:val="left"/>
              <w:rPr>
                <w:rFonts w:ascii="方正书宋_GBK" w:eastAsia="方正书宋_GBK"/>
                <w:color w:val="auto"/>
              </w:rPr>
            </w:pPr>
            <w:r>
              <w:rPr>
                <w:rFonts w:hint="eastAsia" w:ascii="方正书宋_GBK" w:eastAsia="方正书宋_GBK"/>
                <w:color w:val="auto"/>
              </w:rPr>
              <w:t>电信和其他信息传输服务</w:t>
            </w:r>
          </w:p>
        </w:tc>
        <w:tc>
          <w:tcPr>
            <w:tcW w:w="986" w:type="dxa"/>
            <w:vAlign w:val="center"/>
          </w:tcPr>
          <w:p w14:paraId="6B347284">
            <w:pPr>
              <w:spacing w:line="300" w:lineRule="exact"/>
              <w:jc w:val="left"/>
              <w:rPr>
                <w:rFonts w:ascii="方正书宋_GBK" w:eastAsia="方正书宋_GBK"/>
                <w:color w:val="auto"/>
              </w:rPr>
            </w:pPr>
            <w:r>
              <w:rPr>
                <w:rFonts w:ascii="方正书宋_GBK" w:eastAsia="方正书宋_GBK"/>
                <w:color w:val="auto"/>
              </w:rPr>
              <w:t>C03</w:t>
            </w:r>
          </w:p>
        </w:tc>
        <w:tc>
          <w:tcPr>
            <w:tcW w:w="760" w:type="dxa"/>
            <w:vAlign w:val="center"/>
          </w:tcPr>
          <w:p w14:paraId="6A3291B3">
            <w:pPr>
              <w:spacing w:line="300" w:lineRule="exact"/>
              <w:jc w:val="left"/>
              <w:rPr>
                <w:rFonts w:ascii="方正书宋_GBK" w:eastAsia="方正书宋_GBK"/>
                <w:color w:val="auto"/>
              </w:rPr>
            </w:pPr>
          </w:p>
        </w:tc>
        <w:tc>
          <w:tcPr>
            <w:tcW w:w="760" w:type="dxa"/>
            <w:vAlign w:val="center"/>
          </w:tcPr>
          <w:p w14:paraId="1DF3F2C4">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77BBCE48">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60B32587">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6A0A5D77">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77FFE18B">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45057E87">
            <w:pPr>
              <w:spacing w:line="300" w:lineRule="exact"/>
              <w:jc w:val="right"/>
              <w:rPr>
                <w:rFonts w:ascii="方正书宋_GBK" w:eastAsia="方正书宋_GBK"/>
                <w:color w:val="auto"/>
              </w:rPr>
            </w:pPr>
          </w:p>
        </w:tc>
        <w:tc>
          <w:tcPr>
            <w:tcW w:w="964" w:type="dxa"/>
            <w:vAlign w:val="center"/>
          </w:tcPr>
          <w:p w14:paraId="60ACCC5F">
            <w:pPr>
              <w:spacing w:line="300" w:lineRule="exact"/>
              <w:jc w:val="right"/>
              <w:rPr>
                <w:rFonts w:ascii="方正书宋_GBK" w:eastAsia="方正书宋_GBK"/>
                <w:color w:val="auto"/>
              </w:rPr>
            </w:pPr>
          </w:p>
        </w:tc>
        <w:tc>
          <w:tcPr>
            <w:tcW w:w="964" w:type="dxa"/>
            <w:vAlign w:val="center"/>
          </w:tcPr>
          <w:p w14:paraId="26632807">
            <w:pPr>
              <w:spacing w:line="300" w:lineRule="exact"/>
              <w:jc w:val="right"/>
              <w:rPr>
                <w:rFonts w:ascii="方正书宋_GBK" w:eastAsia="方正书宋_GBK"/>
                <w:color w:val="auto"/>
              </w:rPr>
            </w:pPr>
          </w:p>
        </w:tc>
        <w:tc>
          <w:tcPr>
            <w:tcW w:w="921" w:type="dxa"/>
            <w:vAlign w:val="center"/>
          </w:tcPr>
          <w:p w14:paraId="49F4DC62">
            <w:pPr>
              <w:spacing w:line="300" w:lineRule="exact"/>
              <w:jc w:val="right"/>
              <w:rPr>
                <w:rFonts w:ascii="方正书宋_GBK" w:eastAsia="方正书宋_GBK"/>
                <w:color w:val="auto"/>
              </w:rPr>
            </w:pPr>
          </w:p>
        </w:tc>
      </w:tr>
      <w:tr w14:paraId="1142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8" w:type="dxa"/>
            <w:vAlign w:val="center"/>
          </w:tcPr>
          <w:p w14:paraId="59F2DBE2">
            <w:pPr>
              <w:spacing w:line="300" w:lineRule="exact"/>
              <w:jc w:val="left"/>
              <w:rPr>
                <w:rFonts w:ascii="方正书宋_GBK" w:eastAsia="方正书宋_GBK"/>
                <w:color w:val="auto"/>
              </w:rPr>
            </w:pPr>
            <w:r>
              <w:rPr>
                <w:rFonts w:hint="eastAsia" w:ascii="方正书宋_GBK" w:eastAsia="方正书宋_GBK"/>
                <w:color w:val="auto"/>
              </w:rPr>
              <w:t>双创双服领导小组办公室经费</w:t>
            </w:r>
          </w:p>
        </w:tc>
        <w:tc>
          <w:tcPr>
            <w:tcW w:w="1099" w:type="dxa"/>
            <w:vAlign w:val="center"/>
          </w:tcPr>
          <w:p w14:paraId="339AE12A">
            <w:pPr>
              <w:spacing w:line="300" w:lineRule="exact"/>
              <w:jc w:val="right"/>
              <w:rPr>
                <w:rFonts w:ascii="方正书宋_GBK" w:eastAsia="方正书宋_GBK"/>
                <w:color w:val="auto"/>
              </w:rPr>
            </w:pPr>
            <w:r>
              <w:rPr>
                <w:rFonts w:ascii="方正书宋_GBK" w:eastAsia="方正书宋_GBK"/>
                <w:color w:val="auto"/>
              </w:rPr>
              <w:t>5.00</w:t>
            </w:r>
          </w:p>
        </w:tc>
        <w:tc>
          <w:tcPr>
            <w:tcW w:w="974" w:type="dxa"/>
            <w:vAlign w:val="center"/>
          </w:tcPr>
          <w:p w14:paraId="497D8BEA">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986" w:type="dxa"/>
            <w:vAlign w:val="center"/>
          </w:tcPr>
          <w:p w14:paraId="0E58BA0B">
            <w:pPr>
              <w:spacing w:line="300" w:lineRule="exact"/>
              <w:jc w:val="left"/>
              <w:rPr>
                <w:rFonts w:ascii="方正书宋_GBK" w:eastAsia="方正书宋_GBK"/>
                <w:color w:val="auto"/>
              </w:rPr>
            </w:pPr>
            <w:r>
              <w:rPr>
                <w:rFonts w:ascii="方正书宋_GBK" w:eastAsia="方正书宋_GBK"/>
                <w:color w:val="auto"/>
              </w:rPr>
              <w:t>C0806</w:t>
            </w:r>
          </w:p>
        </w:tc>
        <w:tc>
          <w:tcPr>
            <w:tcW w:w="760" w:type="dxa"/>
            <w:vAlign w:val="center"/>
          </w:tcPr>
          <w:p w14:paraId="7E29683F">
            <w:pPr>
              <w:spacing w:line="300" w:lineRule="exact"/>
              <w:jc w:val="left"/>
              <w:rPr>
                <w:rFonts w:ascii="方正书宋_GBK" w:eastAsia="方正书宋_GBK"/>
                <w:color w:val="auto"/>
              </w:rPr>
            </w:pPr>
          </w:p>
        </w:tc>
        <w:tc>
          <w:tcPr>
            <w:tcW w:w="760" w:type="dxa"/>
            <w:vAlign w:val="center"/>
          </w:tcPr>
          <w:p w14:paraId="1D9B3C98">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705E69D7">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1AA72A63">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622CA1D9">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5FED20E7">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65EDF1C0">
            <w:pPr>
              <w:spacing w:line="300" w:lineRule="exact"/>
              <w:jc w:val="right"/>
              <w:rPr>
                <w:rFonts w:ascii="方正书宋_GBK" w:eastAsia="方正书宋_GBK"/>
                <w:color w:val="auto"/>
              </w:rPr>
            </w:pPr>
          </w:p>
        </w:tc>
        <w:tc>
          <w:tcPr>
            <w:tcW w:w="964" w:type="dxa"/>
            <w:vAlign w:val="center"/>
          </w:tcPr>
          <w:p w14:paraId="218E7270">
            <w:pPr>
              <w:spacing w:line="300" w:lineRule="exact"/>
              <w:jc w:val="right"/>
              <w:rPr>
                <w:rFonts w:ascii="方正书宋_GBK" w:eastAsia="方正书宋_GBK"/>
                <w:color w:val="auto"/>
              </w:rPr>
            </w:pPr>
          </w:p>
        </w:tc>
        <w:tc>
          <w:tcPr>
            <w:tcW w:w="964" w:type="dxa"/>
            <w:vAlign w:val="center"/>
          </w:tcPr>
          <w:p w14:paraId="5E99DAD9">
            <w:pPr>
              <w:spacing w:line="300" w:lineRule="exact"/>
              <w:jc w:val="right"/>
              <w:rPr>
                <w:rFonts w:ascii="方正书宋_GBK" w:eastAsia="方正书宋_GBK"/>
                <w:color w:val="auto"/>
              </w:rPr>
            </w:pPr>
          </w:p>
        </w:tc>
        <w:tc>
          <w:tcPr>
            <w:tcW w:w="921" w:type="dxa"/>
            <w:vAlign w:val="center"/>
          </w:tcPr>
          <w:p w14:paraId="2E986E3E">
            <w:pPr>
              <w:spacing w:line="300" w:lineRule="exact"/>
              <w:jc w:val="right"/>
              <w:rPr>
                <w:rFonts w:ascii="方正书宋_GBK" w:eastAsia="方正书宋_GBK"/>
                <w:color w:val="auto"/>
              </w:rPr>
            </w:pPr>
          </w:p>
        </w:tc>
      </w:tr>
      <w:tr w14:paraId="35A6A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7F8F6969">
            <w:pPr>
              <w:spacing w:line="300" w:lineRule="exact"/>
              <w:jc w:val="left"/>
              <w:rPr>
                <w:rFonts w:ascii="方正书宋_GBK" w:eastAsia="方正书宋_GBK"/>
                <w:color w:val="auto"/>
              </w:rPr>
            </w:pPr>
            <w:r>
              <w:rPr>
                <w:rFonts w:hint="eastAsia" w:ascii="方正书宋_GBK" w:eastAsia="方正书宋_GBK"/>
                <w:color w:val="auto"/>
              </w:rPr>
              <w:t>双创双服领导小组办公室经费</w:t>
            </w:r>
          </w:p>
        </w:tc>
        <w:tc>
          <w:tcPr>
            <w:tcW w:w="1099" w:type="dxa"/>
            <w:vAlign w:val="center"/>
          </w:tcPr>
          <w:p w14:paraId="0A3CA037">
            <w:pPr>
              <w:spacing w:line="300" w:lineRule="exact"/>
              <w:jc w:val="right"/>
              <w:rPr>
                <w:rFonts w:ascii="方正书宋_GBK" w:eastAsia="方正书宋_GBK"/>
                <w:color w:val="auto"/>
              </w:rPr>
            </w:pPr>
            <w:r>
              <w:rPr>
                <w:rFonts w:ascii="方正书宋_GBK" w:eastAsia="方正书宋_GBK"/>
                <w:color w:val="auto"/>
              </w:rPr>
              <w:t>5.00</w:t>
            </w:r>
          </w:p>
        </w:tc>
        <w:tc>
          <w:tcPr>
            <w:tcW w:w="974" w:type="dxa"/>
            <w:vAlign w:val="center"/>
          </w:tcPr>
          <w:p w14:paraId="344579A2">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986" w:type="dxa"/>
            <w:vAlign w:val="center"/>
          </w:tcPr>
          <w:p w14:paraId="0843B914">
            <w:pPr>
              <w:spacing w:line="300" w:lineRule="exact"/>
              <w:jc w:val="left"/>
              <w:rPr>
                <w:rFonts w:ascii="方正书宋_GBK" w:eastAsia="方正书宋_GBK"/>
                <w:color w:val="auto"/>
              </w:rPr>
            </w:pPr>
            <w:r>
              <w:rPr>
                <w:rFonts w:ascii="方正书宋_GBK" w:eastAsia="方正书宋_GBK"/>
                <w:color w:val="auto"/>
              </w:rPr>
              <w:t>C0814</w:t>
            </w:r>
          </w:p>
        </w:tc>
        <w:tc>
          <w:tcPr>
            <w:tcW w:w="760" w:type="dxa"/>
            <w:vAlign w:val="center"/>
          </w:tcPr>
          <w:p w14:paraId="042C2B47">
            <w:pPr>
              <w:spacing w:line="300" w:lineRule="exact"/>
              <w:jc w:val="left"/>
              <w:rPr>
                <w:rFonts w:ascii="方正书宋_GBK" w:eastAsia="方正书宋_GBK"/>
                <w:color w:val="auto"/>
              </w:rPr>
            </w:pPr>
          </w:p>
        </w:tc>
        <w:tc>
          <w:tcPr>
            <w:tcW w:w="760" w:type="dxa"/>
            <w:vAlign w:val="center"/>
          </w:tcPr>
          <w:p w14:paraId="0826109E">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08CC2C64">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4E3D910B">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3BE0AC50">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61CBD892">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43095B03">
            <w:pPr>
              <w:spacing w:line="300" w:lineRule="exact"/>
              <w:jc w:val="right"/>
              <w:rPr>
                <w:rFonts w:ascii="方正书宋_GBK" w:eastAsia="方正书宋_GBK"/>
                <w:color w:val="auto"/>
              </w:rPr>
            </w:pPr>
          </w:p>
        </w:tc>
        <w:tc>
          <w:tcPr>
            <w:tcW w:w="964" w:type="dxa"/>
            <w:vAlign w:val="center"/>
          </w:tcPr>
          <w:p w14:paraId="7214D115">
            <w:pPr>
              <w:spacing w:line="300" w:lineRule="exact"/>
              <w:jc w:val="right"/>
              <w:rPr>
                <w:rFonts w:ascii="方正书宋_GBK" w:eastAsia="方正书宋_GBK"/>
                <w:color w:val="auto"/>
              </w:rPr>
            </w:pPr>
          </w:p>
        </w:tc>
        <w:tc>
          <w:tcPr>
            <w:tcW w:w="964" w:type="dxa"/>
            <w:vAlign w:val="center"/>
          </w:tcPr>
          <w:p w14:paraId="2CA9144D">
            <w:pPr>
              <w:spacing w:line="300" w:lineRule="exact"/>
              <w:jc w:val="right"/>
              <w:rPr>
                <w:rFonts w:ascii="方正书宋_GBK" w:eastAsia="方正书宋_GBK"/>
                <w:color w:val="auto"/>
              </w:rPr>
            </w:pPr>
          </w:p>
        </w:tc>
        <w:tc>
          <w:tcPr>
            <w:tcW w:w="921" w:type="dxa"/>
            <w:vAlign w:val="center"/>
          </w:tcPr>
          <w:p w14:paraId="753F9081">
            <w:pPr>
              <w:spacing w:line="300" w:lineRule="exact"/>
              <w:jc w:val="right"/>
              <w:rPr>
                <w:rFonts w:ascii="方正书宋_GBK" w:eastAsia="方正书宋_GBK"/>
                <w:color w:val="auto"/>
              </w:rPr>
            </w:pPr>
          </w:p>
        </w:tc>
      </w:tr>
    </w:tbl>
    <w:p w14:paraId="64ADE3D6">
      <w:pPr>
        <w:spacing w:line="300" w:lineRule="exact"/>
        <w:jc w:val="left"/>
        <w:outlineLvl w:val="0"/>
        <w:rPr>
          <w:color w:val="auto"/>
        </w:rPr>
        <w:sectPr>
          <w:pgSz w:w="16839" w:h="11907" w:orient="landscape"/>
          <w:pgMar w:top="1361" w:right="1020" w:bottom="1361" w:left="1020" w:header="851" w:footer="992" w:gutter="0"/>
          <w:cols w:space="720" w:num="1"/>
          <w:docGrid w:type="lines" w:linePitch="312" w:charSpace="0"/>
        </w:sectPr>
      </w:pPr>
    </w:p>
    <w:p w14:paraId="6C67D871">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0A8AA6E9">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曲阳县发展改革局上年末固定资产金额为</w:t>
      </w:r>
      <w:r>
        <w:rPr>
          <w:rFonts w:ascii="Times New Roman" w:hAnsi="Times New Roman" w:eastAsia="仿宋" w:cs="Times New Roman"/>
          <w:color w:val="auto"/>
          <w:sz w:val="32"/>
          <w:szCs w:val="32"/>
        </w:rPr>
        <w:t>32.7340</w:t>
      </w:r>
      <w:r>
        <w:rPr>
          <w:rFonts w:hint="eastAsia" w:ascii="Times New Roman" w:hAnsi="Times New Roman" w:eastAsia="仿宋" w:cs="Times New Roman"/>
          <w:color w:val="auto"/>
          <w:sz w:val="32"/>
          <w:szCs w:val="32"/>
        </w:rPr>
        <w:t>万元（详见下表），本年度</w:t>
      </w:r>
      <w:r>
        <w:rPr>
          <w:rFonts w:hint="eastAsia" w:ascii="Times New Roman" w:hAnsi="Times New Roman" w:eastAsia="仿宋" w:cs="Times New Roman"/>
          <w:color w:val="auto"/>
          <w:sz w:val="32"/>
          <w:szCs w:val="32"/>
          <w:lang w:eastAsia="zh-CN"/>
        </w:rPr>
        <w:t>我</w:t>
      </w:r>
      <w:r>
        <w:rPr>
          <w:rFonts w:hint="eastAsia" w:ascii="Times New Roman" w:hAnsi="Times New Roman" w:eastAsia="仿宋" w:cs="Times New Roman"/>
          <w:color w:val="auto"/>
          <w:sz w:val="32"/>
          <w:szCs w:val="32"/>
        </w:rPr>
        <w:t>单位拟购置固定资产总额为</w:t>
      </w:r>
      <w:r>
        <w:rPr>
          <w:rFonts w:ascii="Times New Roman" w:hAnsi="Times New Roman" w:eastAsia="仿宋" w:cs="Times New Roman"/>
          <w:color w:val="auto"/>
          <w:sz w:val="32"/>
          <w:szCs w:val="32"/>
        </w:rPr>
        <w:t>7</w:t>
      </w:r>
      <w:r>
        <w:rPr>
          <w:rFonts w:hint="eastAsia" w:ascii="Times New Roman" w:hAnsi="Times New Roman" w:eastAsia="仿宋" w:cs="Times New Roman"/>
          <w:color w:val="auto"/>
          <w:sz w:val="32"/>
          <w:szCs w:val="32"/>
        </w:rPr>
        <w:t>万元，已列入政府采购预算，详见政府采购预算表。</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1919FE29">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2D095ECC">
            <w:pPr>
              <w:widowControl/>
              <w:jc w:val="center"/>
              <w:rPr>
                <w:rFonts w:ascii="宋体" w:cs="宋体"/>
                <w:b/>
                <w:bCs/>
                <w:color w:val="auto"/>
                <w:kern w:val="0"/>
                <w:sz w:val="32"/>
                <w:szCs w:val="32"/>
              </w:rPr>
            </w:pPr>
            <w:r>
              <w:rPr>
                <w:rFonts w:hint="eastAsia" w:ascii="宋体" w:hAnsi="宋体" w:cs="宋体"/>
                <w:b/>
                <w:bCs/>
                <w:color w:val="auto"/>
                <w:kern w:val="0"/>
                <w:sz w:val="32"/>
                <w:szCs w:val="32"/>
              </w:rPr>
              <w:t>曲阳县县直部门固定资产占用情况表</w:t>
            </w:r>
          </w:p>
        </w:tc>
      </w:tr>
      <w:tr w14:paraId="546629FB">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68E6659B">
            <w:pPr>
              <w:widowControl/>
              <w:jc w:val="left"/>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编制部门：曲阳县发展改革局</w:t>
            </w:r>
          </w:p>
        </w:tc>
        <w:tc>
          <w:tcPr>
            <w:tcW w:w="5103" w:type="dxa"/>
            <w:tcBorders>
              <w:top w:val="nil"/>
              <w:left w:val="nil"/>
              <w:bottom w:val="nil"/>
              <w:right w:val="nil"/>
            </w:tcBorders>
            <w:vAlign w:val="center"/>
          </w:tcPr>
          <w:p w14:paraId="53FCC052">
            <w:pPr>
              <w:widowControl/>
              <w:ind w:firstLine="1320" w:firstLineChars="600"/>
              <w:jc w:val="left"/>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截止时间：</w:t>
            </w:r>
            <w:r>
              <w:rPr>
                <w:rFonts w:ascii="Times New Roman" w:hAnsi="Times New Roman" w:eastAsia="仿宋" w:cs="Times New Roman"/>
                <w:color w:val="auto"/>
                <w:kern w:val="0"/>
                <w:sz w:val="22"/>
              </w:rPr>
              <w:t>2018</w:t>
            </w:r>
            <w:r>
              <w:rPr>
                <w:rFonts w:hint="eastAsia" w:ascii="Times New Roman" w:hAnsi="Times New Roman" w:eastAsia="仿宋" w:cs="Times New Roman"/>
                <w:color w:val="auto"/>
                <w:kern w:val="0"/>
                <w:sz w:val="22"/>
              </w:rPr>
              <w:t>年</w:t>
            </w:r>
            <w:r>
              <w:rPr>
                <w:rFonts w:ascii="Times New Roman" w:hAnsi="Times New Roman" w:eastAsia="仿宋" w:cs="Times New Roman"/>
                <w:color w:val="auto"/>
                <w:kern w:val="0"/>
                <w:sz w:val="22"/>
              </w:rPr>
              <w:t>12</w:t>
            </w:r>
            <w:r>
              <w:rPr>
                <w:rFonts w:hint="eastAsia" w:ascii="Times New Roman" w:hAnsi="Times New Roman" w:eastAsia="仿宋" w:cs="Times New Roman"/>
                <w:color w:val="auto"/>
                <w:kern w:val="0"/>
                <w:sz w:val="22"/>
              </w:rPr>
              <w:t>月</w:t>
            </w:r>
            <w:r>
              <w:rPr>
                <w:rFonts w:ascii="Times New Roman" w:hAnsi="Times New Roman" w:eastAsia="仿宋" w:cs="Times New Roman"/>
                <w:color w:val="auto"/>
                <w:kern w:val="0"/>
                <w:sz w:val="22"/>
              </w:rPr>
              <w:t>31</w:t>
            </w:r>
            <w:r>
              <w:rPr>
                <w:rFonts w:hint="eastAsia" w:ascii="Times New Roman" w:hAnsi="Times New Roman" w:eastAsia="仿宋" w:cs="Times New Roman"/>
                <w:color w:val="auto"/>
                <w:kern w:val="0"/>
                <w:sz w:val="22"/>
              </w:rPr>
              <w:t>日</w:t>
            </w:r>
          </w:p>
        </w:tc>
      </w:tr>
      <w:tr w14:paraId="35BE3369">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4BC2577E">
            <w:pPr>
              <w:widowControl/>
              <w:jc w:val="center"/>
              <w:rPr>
                <w:rFonts w:asci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01D8DCBE">
            <w:pPr>
              <w:widowControl/>
              <w:jc w:val="center"/>
              <w:rPr>
                <w:rFonts w:asci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5EF1120F">
            <w:pPr>
              <w:widowControl/>
              <w:jc w:val="center"/>
              <w:rPr>
                <w:rFonts w:ascii="宋体" w:cs="宋体"/>
                <w:b/>
                <w:bCs/>
                <w:color w:val="auto"/>
                <w:kern w:val="0"/>
                <w:sz w:val="22"/>
              </w:rPr>
            </w:pPr>
            <w:r>
              <w:rPr>
                <w:rFonts w:hint="eastAsia" w:ascii="宋体" w:hAnsi="宋体" w:cs="宋体"/>
                <w:b/>
                <w:bCs/>
                <w:color w:val="auto"/>
                <w:kern w:val="0"/>
                <w:sz w:val="22"/>
              </w:rPr>
              <w:t>价值（金额单位：万元）</w:t>
            </w:r>
          </w:p>
        </w:tc>
      </w:tr>
      <w:tr w14:paraId="0D3362F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B2E4AD2">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77C984B5">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6FF6F35E">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32.7340</w:t>
            </w:r>
          </w:p>
        </w:tc>
      </w:tr>
      <w:tr w14:paraId="02F232F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F3E020F">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w:t>
            </w:r>
            <w:r>
              <w:rPr>
                <w:rFonts w:hint="eastAsia" w:ascii="Times New Roman" w:hAnsi="Times New Roman" w:eastAsia="仿宋" w:cs="Times New Roman"/>
                <w:color w:val="auto"/>
                <w:kern w:val="0"/>
                <w:sz w:val="22"/>
              </w:rPr>
              <w:t>、房屋（平方米）</w:t>
            </w:r>
          </w:p>
        </w:tc>
        <w:tc>
          <w:tcPr>
            <w:tcW w:w="3155" w:type="dxa"/>
            <w:tcBorders>
              <w:top w:val="nil"/>
              <w:left w:val="nil"/>
              <w:bottom w:val="single" w:color="auto" w:sz="4" w:space="0"/>
              <w:right w:val="single" w:color="auto" w:sz="4" w:space="0"/>
            </w:tcBorders>
            <w:vAlign w:val="center"/>
          </w:tcPr>
          <w:p w14:paraId="2C05B559">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7E88A3C2">
            <w:pPr>
              <w:widowControl/>
              <w:jc w:val="center"/>
              <w:rPr>
                <w:rFonts w:ascii="Times New Roman" w:hAnsi="Times New Roman" w:eastAsia="仿宋" w:cs="Times New Roman"/>
                <w:color w:val="auto"/>
                <w:kern w:val="0"/>
                <w:sz w:val="22"/>
              </w:rPr>
            </w:pPr>
          </w:p>
        </w:tc>
      </w:tr>
      <w:tr w14:paraId="32FC088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741E5F6">
            <w:pPr>
              <w:widowControl/>
              <w:jc w:val="left"/>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465097D3">
            <w:pPr>
              <w:widowControl/>
              <w:jc w:val="center"/>
              <w:rPr>
                <w:rFonts w:ascii="Times New Roman" w:hAnsi="Times New Roman" w:eastAsia="仿宋" w:cs="Times New Roman"/>
                <w:color w:val="auto"/>
                <w:kern w:val="0"/>
                <w:sz w:val="22"/>
              </w:rPr>
            </w:pPr>
          </w:p>
        </w:tc>
        <w:tc>
          <w:tcPr>
            <w:tcW w:w="5103" w:type="dxa"/>
            <w:tcBorders>
              <w:top w:val="nil"/>
              <w:left w:val="nil"/>
              <w:bottom w:val="single" w:color="auto" w:sz="4" w:space="0"/>
              <w:right w:val="single" w:color="auto" w:sz="4" w:space="0"/>
            </w:tcBorders>
            <w:vAlign w:val="center"/>
          </w:tcPr>
          <w:p w14:paraId="14960C9B">
            <w:pPr>
              <w:widowControl/>
              <w:rPr>
                <w:rFonts w:ascii="Times New Roman" w:hAnsi="Times New Roman" w:eastAsia="仿宋" w:cs="Times New Roman"/>
                <w:color w:val="auto"/>
                <w:kern w:val="0"/>
                <w:sz w:val="22"/>
              </w:rPr>
            </w:pPr>
          </w:p>
        </w:tc>
      </w:tr>
      <w:tr w14:paraId="6AB7C86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4257A63">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w:t>
            </w:r>
            <w:r>
              <w:rPr>
                <w:rFonts w:hint="eastAsia" w:ascii="Times New Roman" w:hAnsi="Times New Roman" w:eastAsia="仿宋" w:cs="Times New Roman"/>
                <w:color w:val="auto"/>
                <w:kern w:val="0"/>
                <w:sz w:val="22"/>
              </w:rPr>
              <w:t>、车辆（台、辆）</w:t>
            </w:r>
          </w:p>
        </w:tc>
        <w:tc>
          <w:tcPr>
            <w:tcW w:w="3155" w:type="dxa"/>
            <w:tcBorders>
              <w:top w:val="nil"/>
              <w:left w:val="nil"/>
              <w:bottom w:val="single" w:color="auto" w:sz="4" w:space="0"/>
              <w:right w:val="single" w:color="auto" w:sz="4" w:space="0"/>
            </w:tcBorders>
            <w:vAlign w:val="center"/>
          </w:tcPr>
          <w:p w14:paraId="1F6CB548">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w:t>
            </w:r>
          </w:p>
        </w:tc>
        <w:tc>
          <w:tcPr>
            <w:tcW w:w="5103" w:type="dxa"/>
            <w:tcBorders>
              <w:top w:val="nil"/>
              <w:left w:val="nil"/>
              <w:bottom w:val="single" w:color="auto" w:sz="4" w:space="0"/>
              <w:right w:val="single" w:color="auto" w:sz="4" w:space="0"/>
            </w:tcBorders>
            <w:vAlign w:val="center"/>
          </w:tcPr>
          <w:p w14:paraId="5F235E9C">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14.18</w:t>
            </w:r>
          </w:p>
        </w:tc>
      </w:tr>
      <w:tr w14:paraId="73F2538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7B3DC73">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w:t>
            </w:r>
            <w:r>
              <w:rPr>
                <w:rFonts w:hint="eastAsia" w:ascii="Times New Roman" w:hAnsi="Times New Roman" w:eastAsia="仿宋" w:cs="Times New Roman"/>
                <w:color w:val="auto"/>
                <w:kern w:val="0"/>
                <w:sz w:val="22"/>
              </w:rPr>
              <w:t>、单价在</w:t>
            </w:r>
            <w:r>
              <w:rPr>
                <w:rFonts w:ascii="Times New Roman" w:hAnsi="Times New Roman" w:eastAsia="仿宋" w:cs="Times New Roman"/>
                <w:color w:val="auto"/>
                <w:kern w:val="0"/>
                <w:sz w:val="22"/>
              </w:rPr>
              <w:t>20</w:t>
            </w:r>
            <w:r>
              <w:rPr>
                <w:rFonts w:hint="eastAsia" w:ascii="Times New Roman" w:hAnsi="Times New Roman" w:eastAsia="仿宋" w:cs="Times New Roman"/>
                <w:color w:val="auto"/>
                <w:kern w:val="0"/>
                <w:sz w:val="22"/>
              </w:rPr>
              <w:t>万元以上设备</w:t>
            </w:r>
          </w:p>
        </w:tc>
        <w:tc>
          <w:tcPr>
            <w:tcW w:w="3155" w:type="dxa"/>
            <w:tcBorders>
              <w:top w:val="nil"/>
              <w:left w:val="nil"/>
              <w:bottom w:val="single" w:color="auto" w:sz="4" w:space="0"/>
              <w:right w:val="single" w:color="auto" w:sz="4" w:space="0"/>
            </w:tcBorders>
            <w:vAlign w:val="center"/>
          </w:tcPr>
          <w:p w14:paraId="4971F9B5">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7EC54006">
            <w:pPr>
              <w:widowControl/>
              <w:jc w:val="center"/>
              <w:rPr>
                <w:rFonts w:ascii="Times New Roman" w:hAnsi="Times New Roman" w:eastAsia="仿宋" w:cs="Times New Roman"/>
                <w:color w:val="auto"/>
                <w:kern w:val="0"/>
                <w:sz w:val="22"/>
              </w:rPr>
            </w:pPr>
          </w:p>
        </w:tc>
      </w:tr>
      <w:tr w14:paraId="75D4A701">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9A0A43B">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w:t>
            </w:r>
            <w:r>
              <w:rPr>
                <w:rFonts w:hint="eastAsia" w:ascii="Times New Roman" w:hAnsi="Times New Roman" w:eastAsia="仿宋" w:cs="Times New Roman"/>
                <w:color w:val="auto"/>
                <w:kern w:val="0"/>
                <w:sz w:val="22"/>
              </w:rPr>
              <w:t>、其他固定资产</w:t>
            </w:r>
          </w:p>
        </w:tc>
        <w:tc>
          <w:tcPr>
            <w:tcW w:w="3155" w:type="dxa"/>
            <w:tcBorders>
              <w:top w:val="nil"/>
              <w:left w:val="nil"/>
              <w:bottom w:val="single" w:color="auto" w:sz="4" w:space="0"/>
              <w:right w:val="single" w:color="auto" w:sz="4" w:space="0"/>
            </w:tcBorders>
            <w:vAlign w:val="center"/>
          </w:tcPr>
          <w:p w14:paraId="3423F502">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08D1745F">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18.5540</w:t>
            </w:r>
          </w:p>
        </w:tc>
      </w:tr>
    </w:tbl>
    <w:p w14:paraId="456C0EEB">
      <w:pPr>
        <w:autoSpaceDE w:val="0"/>
        <w:autoSpaceDN w:val="0"/>
        <w:adjustRightInd w:val="0"/>
        <w:jc w:val="left"/>
        <w:rPr>
          <w:rFonts w:hint="eastAsia" w:ascii="黑体" w:hAnsi="黑体" w:eastAsia="黑体" w:cs="Times New Roman"/>
          <w:color w:val="auto"/>
          <w:sz w:val="32"/>
          <w:szCs w:val="32"/>
        </w:rPr>
      </w:pPr>
    </w:p>
    <w:p w14:paraId="57C1683E">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5958173E">
      <w:pPr>
        <w:spacing w:line="500" w:lineRule="exact"/>
        <w:ind w:firstLine="643" w:firstLineChars="200"/>
        <w:jc w:val="left"/>
        <w:outlineLvl w:val="0"/>
        <w:rPr>
          <w:rFonts w:ascii="仿宋" w:hAnsi="仿宋" w:eastAsia="仿宋"/>
          <w:color w:val="auto"/>
          <w:sz w:val="32"/>
          <w:szCs w:val="32"/>
        </w:rPr>
      </w:pPr>
      <w:r>
        <w:rPr>
          <w:rFonts w:ascii="仿宋" w:hAnsi="仿宋" w:eastAsia="仿宋"/>
          <w:b/>
          <w:color w:val="auto"/>
          <w:sz w:val="32"/>
          <w:szCs w:val="32"/>
        </w:rPr>
        <w:t>1</w:t>
      </w:r>
      <w:r>
        <w:rPr>
          <w:rFonts w:hint="eastAsia" w:ascii="仿宋" w:hAnsi="仿宋" w:eastAsia="仿宋"/>
          <w:b/>
          <w:color w:val="auto"/>
          <w:sz w:val="32"/>
          <w:szCs w:val="32"/>
        </w:rPr>
        <w:t>、财政拨款收入：</w:t>
      </w:r>
      <w:r>
        <w:rPr>
          <w:rFonts w:hint="eastAsia" w:ascii="仿宋" w:hAnsi="仿宋" w:eastAsia="仿宋"/>
          <w:color w:val="auto"/>
          <w:sz w:val="32"/>
          <w:szCs w:val="32"/>
        </w:rPr>
        <w:t>指县级财政当年拨付的资金。</w:t>
      </w:r>
    </w:p>
    <w:p w14:paraId="782AE2EF">
      <w:pPr>
        <w:spacing w:line="500" w:lineRule="exact"/>
        <w:ind w:firstLine="643" w:firstLineChars="200"/>
        <w:jc w:val="left"/>
        <w:outlineLvl w:val="0"/>
        <w:rPr>
          <w:rFonts w:ascii="仿宋" w:hAnsi="仿宋" w:eastAsia="仿宋"/>
          <w:color w:val="auto"/>
          <w:sz w:val="32"/>
          <w:szCs w:val="32"/>
        </w:rPr>
      </w:pPr>
      <w:r>
        <w:rPr>
          <w:rFonts w:ascii="仿宋" w:hAnsi="仿宋" w:eastAsia="仿宋"/>
          <w:b/>
          <w:color w:val="auto"/>
          <w:sz w:val="32"/>
          <w:szCs w:val="32"/>
        </w:rPr>
        <w:t>2</w:t>
      </w:r>
      <w:r>
        <w:rPr>
          <w:rFonts w:hint="eastAsia" w:ascii="仿宋" w:hAnsi="仿宋" w:eastAsia="仿宋"/>
          <w:b/>
          <w:color w:val="auto"/>
          <w:sz w:val="32"/>
          <w:szCs w:val="32"/>
        </w:rPr>
        <w:t>、其他收入：</w:t>
      </w:r>
      <w:r>
        <w:rPr>
          <w:rFonts w:hint="eastAsia" w:ascii="仿宋" w:hAnsi="仿宋" w:eastAsia="仿宋"/>
          <w:color w:val="auto"/>
          <w:sz w:val="32"/>
          <w:szCs w:val="32"/>
        </w:rPr>
        <w:t>指除上述“财政拨款收入”、“事业收入”等以外的收入。</w:t>
      </w:r>
    </w:p>
    <w:p w14:paraId="75C2F709">
      <w:pPr>
        <w:spacing w:line="500" w:lineRule="exact"/>
        <w:ind w:firstLine="643" w:firstLineChars="200"/>
        <w:jc w:val="left"/>
        <w:outlineLvl w:val="0"/>
        <w:rPr>
          <w:rFonts w:ascii="仿宋" w:hAnsi="仿宋" w:eastAsia="仿宋"/>
          <w:color w:val="auto"/>
          <w:sz w:val="32"/>
          <w:szCs w:val="32"/>
        </w:rPr>
      </w:pPr>
      <w:r>
        <w:rPr>
          <w:rFonts w:ascii="仿宋" w:hAnsi="仿宋" w:eastAsia="仿宋"/>
          <w:b/>
          <w:color w:val="auto"/>
          <w:sz w:val="32"/>
          <w:szCs w:val="32"/>
        </w:rPr>
        <w:t>3</w:t>
      </w:r>
      <w:r>
        <w:rPr>
          <w:rFonts w:hint="eastAsia" w:ascii="仿宋" w:hAnsi="仿宋" w:eastAsia="仿宋"/>
          <w:b/>
          <w:color w:val="auto"/>
          <w:sz w:val="32"/>
          <w:szCs w:val="32"/>
        </w:rPr>
        <w:t>、基本支出：</w:t>
      </w:r>
      <w:r>
        <w:rPr>
          <w:rFonts w:hint="eastAsia" w:ascii="仿宋" w:hAnsi="仿宋" w:eastAsia="仿宋"/>
          <w:color w:val="auto"/>
          <w:sz w:val="32"/>
          <w:szCs w:val="32"/>
        </w:rPr>
        <w:t>指为保障机构正常运转、完成日常工作任务而发生的人员支出和公用支出。</w:t>
      </w:r>
    </w:p>
    <w:p w14:paraId="38B810D5">
      <w:pPr>
        <w:spacing w:line="500" w:lineRule="exact"/>
        <w:ind w:firstLine="643" w:firstLineChars="200"/>
        <w:jc w:val="left"/>
        <w:outlineLvl w:val="0"/>
        <w:rPr>
          <w:rFonts w:ascii="仿宋" w:hAnsi="仿宋" w:eastAsia="仿宋"/>
          <w:color w:val="auto"/>
          <w:sz w:val="32"/>
          <w:szCs w:val="32"/>
        </w:rPr>
      </w:pPr>
      <w:r>
        <w:rPr>
          <w:rFonts w:ascii="仿宋" w:hAnsi="仿宋" w:eastAsia="仿宋"/>
          <w:b/>
          <w:color w:val="auto"/>
          <w:sz w:val="32"/>
          <w:szCs w:val="32"/>
        </w:rPr>
        <w:t>4</w:t>
      </w:r>
      <w:r>
        <w:rPr>
          <w:rFonts w:hint="eastAsia" w:ascii="仿宋" w:hAnsi="仿宋" w:eastAsia="仿宋"/>
          <w:b/>
          <w:color w:val="auto"/>
          <w:sz w:val="32"/>
          <w:szCs w:val="32"/>
        </w:rPr>
        <w:t>、项目支出：</w:t>
      </w:r>
      <w:r>
        <w:rPr>
          <w:rFonts w:hint="eastAsia" w:ascii="仿宋" w:hAnsi="仿宋" w:eastAsia="仿宋"/>
          <w:color w:val="auto"/>
          <w:sz w:val="32"/>
          <w:szCs w:val="32"/>
        </w:rPr>
        <w:t>指在基本支出之外为完成特定行政任务和事业发展目标所发生的支出。</w:t>
      </w:r>
    </w:p>
    <w:p w14:paraId="7BC06965">
      <w:pPr>
        <w:spacing w:line="500" w:lineRule="exact"/>
        <w:ind w:firstLine="643" w:firstLineChars="200"/>
        <w:jc w:val="left"/>
        <w:outlineLvl w:val="0"/>
        <w:rPr>
          <w:rFonts w:ascii="仿宋" w:hAnsi="仿宋" w:eastAsia="仿宋"/>
          <w:color w:val="auto"/>
          <w:sz w:val="32"/>
          <w:szCs w:val="32"/>
        </w:rPr>
      </w:pPr>
      <w:r>
        <w:rPr>
          <w:rFonts w:ascii="仿宋" w:hAnsi="仿宋" w:eastAsia="仿宋"/>
          <w:b/>
          <w:color w:val="auto"/>
          <w:sz w:val="32"/>
          <w:szCs w:val="32"/>
        </w:rPr>
        <w:t>5</w:t>
      </w:r>
      <w:r>
        <w:rPr>
          <w:rFonts w:hint="eastAsia" w:ascii="仿宋" w:hAnsi="仿宋" w:eastAsia="仿宋"/>
          <w:b/>
          <w:color w:val="auto"/>
          <w:sz w:val="32"/>
          <w:szCs w:val="32"/>
        </w:rPr>
        <w:t>、“三公”经费：</w:t>
      </w:r>
      <w:r>
        <w:rPr>
          <w:rFonts w:hint="eastAsia" w:ascii="仿宋" w:hAnsi="仿宋" w:eastAsia="仿宋"/>
          <w:color w:val="auto"/>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C0965EE">
      <w:pPr>
        <w:ind w:firstLine="803" w:firstLineChars="250"/>
        <w:rPr>
          <w:rFonts w:ascii="仿宋" w:hAnsi="仿宋" w:eastAsia="仿宋"/>
          <w:color w:val="auto"/>
          <w:sz w:val="32"/>
          <w:szCs w:val="32"/>
        </w:rPr>
      </w:pPr>
      <w:r>
        <w:rPr>
          <w:rFonts w:ascii="仿宋" w:hAnsi="仿宋" w:eastAsia="仿宋"/>
          <w:b/>
          <w:color w:val="auto"/>
          <w:sz w:val="32"/>
          <w:szCs w:val="32"/>
        </w:rPr>
        <w:t>6</w:t>
      </w:r>
      <w:r>
        <w:rPr>
          <w:rFonts w:hint="eastAsia" w:ascii="仿宋" w:hAnsi="仿宋" w:eastAsia="仿宋"/>
          <w:b/>
          <w:color w:val="auto"/>
          <w:sz w:val="32"/>
          <w:szCs w:val="32"/>
        </w:rPr>
        <w:t>、机关运行费：</w:t>
      </w:r>
      <w:r>
        <w:rPr>
          <w:rFonts w:hint="eastAsia" w:ascii="仿宋" w:hAnsi="仿宋" w:eastAsia="仿宋"/>
          <w:color w:val="auto"/>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26BE006">
      <w:pPr>
        <w:ind w:firstLine="803" w:firstLineChars="250"/>
        <w:rPr>
          <w:rFonts w:ascii="仿宋" w:hAnsi="仿宋" w:eastAsia="仿宋"/>
          <w:color w:val="auto"/>
          <w:sz w:val="32"/>
          <w:szCs w:val="32"/>
        </w:rPr>
      </w:pPr>
      <w:r>
        <w:rPr>
          <w:rFonts w:ascii="仿宋" w:hAnsi="仿宋" w:eastAsia="仿宋"/>
          <w:b/>
          <w:color w:val="auto"/>
          <w:sz w:val="32"/>
          <w:szCs w:val="32"/>
        </w:rPr>
        <w:t>7</w:t>
      </w:r>
      <w:r>
        <w:rPr>
          <w:rFonts w:hint="eastAsia" w:ascii="仿宋" w:hAnsi="仿宋" w:eastAsia="仿宋"/>
          <w:b/>
          <w:color w:val="auto"/>
          <w:sz w:val="32"/>
          <w:szCs w:val="32"/>
        </w:rPr>
        <w:t>、公务费：</w:t>
      </w:r>
      <w:r>
        <w:rPr>
          <w:rFonts w:hint="eastAsia" w:ascii="仿宋" w:hAnsi="仿宋" w:eastAsia="仿宋"/>
          <w:color w:val="auto"/>
          <w:sz w:val="32"/>
          <w:szCs w:val="32"/>
        </w:rPr>
        <w:t>包括办公费、水电费、邮电费、取暖费、交通费、一般会议费和物业管理费之和。</w:t>
      </w:r>
    </w:p>
    <w:p w14:paraId="2690A40F">
      <w:pPr>
        <w:rPr>
          <w:rFonts w:ascii="Times New Roman" w:hAnsi="Times New Roman" w:eastAsia="仿宋" w:cs="Times New Roman"/>
          <w:color w:val="auto"/>
          <w:sz w:val="32"/>
          <w:szCs w:val="32"/>
        </w:rPr>
      </w:pPr>
    </w:p>
    <w:p w14:paraId="40EF7A3B">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66927ECC">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swiss"/>
    <w:pitch w:val="default"/>
    <w:sig w:usb0="00000000" w:usb1="00000000" w:usb2="00000016" w:usb3="00000000" w:csb0="0004001F"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宋体-方正超大字符集">
    <w:altName w:val="方正书宋_GBK"/>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83D85"/>
    <w:rsid w:val="000B6658"/>
    <w:rsid w:val="000C6B7C"/>
    <w:rsid w:val="0013228E"/>
    <w:rsid w:val="001D5083"/>
    <w:rsid w:val="001E67BA"/>
    <w:rsid w:val="00244C88"/>
    <w:rsid w:val="00257198"/>
    <w:rsid w:val="0027733F"/>
    <w:rsid w:val="002E4731"/>
    <w:rsid w:val="003061EE"/>
    <w:rsid w:val="003277EC"/>
    <w:rsid w:val="00456D84"/>
    <w:rsid w:val="00511D23"/>
    <w:rsid w:val="005D345A"/>
    <w:rsid w:val="00621DB1"/>
    <w:rsid w:val="00657CF5"/>
    <w:rsid w:val="006B1D76"/>
    <w:rsid w:val="006D7083"/>
    <w:rsid w:val="00711177"/>
    <w:rsid w:val="00713263"/>
    <w:rsid w:val="007228D1"/>
    <w:rsid w:val="00730189"/>
    <w:rsid w:val="007627C2"/>
    <w:rsid w:val="007B0F2A"/>
    <w:rsid w:val="008003BA"/>
    <w:rsid w:val="00817B30"/>
    <w:rsid w:val="0085745B"/>
    <w:rsid w:val="008C091D"/>
    <w:rsid w:val="009A7A7A"/>
    <w:rsid w:val="009D52C8"/>
    <w:rsid w:val="009F06FE"/>
    <w:rsid w:val="00AE4996"/>
    <w:rsid w:val="00AF6A4F"/>
    <w:rsid w:val="00B165DA"/>
    <w:rsid w:val="00B2571E"/>
    <w:rsid w:val="00BE5182"/>
    <w:rsid w:val="00C34AEA"/>
    <w:rsid w:val="00C654B9"/>
    <w:rsid w:val="00C67870"/>
    <w:rsid w:val="00C700F8"/>
    <w:rsid w:val="00D74501"/>
    <w:rsid w:val="00E141F9"/>
    <w:rsid w:val="00E57005"/>
    <w:rsid w:val="00F171F2"/>
    <w:rsid w:val="00F172EF"/>
    <w:rsid w:val="00F7238D"/>
    <w:rsid w:val="00F9543F"/>
    <w:rsid w:val="00FC112A"/>
    <w:rsid w:val="037817DB"/>
    <w:rsid w:val="122A725A"/>
    <w:rsid w:val="2BE12616"/>
    <w:rsid w:val="2FEB297B"/>
    <w:rsid w:val="33FE6D30"/>
    <w:rsid w:val="3B827A67"/>
    <w:rsid w:val="3DA01A62"/>
    <w:rsid w:val="49B92B8A"/>
    <w:rsid w:val="5FB77ED3"/>
    <w:rsid w:val="6A3C17B8"/>
    <w:rsid w:val="76B273E3"/>
    <w:rsid w:val="7BDB0C31"/>
    <w:rsid w:val="7D96314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1"/>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qFormat/>
    <w:uiPriority w:val="99"/>
    <w:rPr>
      <w:rFonts w:ascii="Times New Roman" w:hAnsi="Times New Roman" w:cs="Times New Roman"/>
      <w:szCs w:val="24"/>
    </w:rPr>
  </w:style>
  <w:style w:type="paragraph" w:styleId="5">
    <w:name w:val="footnote text"/>
    <w:basedOn w:val="1"/>
    <w:link w:val="15"/>
    <w:semiHidden/>
    <w:qFormat/>
    <w:uiPriority w:val="99"/>
    <w:pPr>
      <w:snapToGrid w:val="0"/>
      <w:jc w:val="left"/>
    </w:pPr>
    <w:rPr>
      <w:rFonts w:ascii="Times New Roman" w:hAnsi="Times New Roman" w:cs="Times New Roman"/>
      <w:sz w:val="18"/>
      <w:szCs w:val="18"/>
    </w:rPr>
  </w:style>
  <w:style w:type="paragraph" w:styleId="6">
    <w:name w:val="toc 2"/>
    <w:basedOn w:val="1"/>
    <w:next w:val="1"/>
    <w:qFormat/>
    <w:uiPriority w:val="99"/>
    <w:pPr>
      <w:ind w:left="420" w:leftChars="200"/>
    </w:pPr>
    <w:rPr>
      <w:rFonts w:ascii="Times New Roman" w:hAnsi="Times New Roman" w:cs="Times New Roman"/>
      <w:szCs w:val="24"/>
    </w:rPr>
  </w:style>
  <w:style w:type="character" w:styleId="9">
    <w:name w:val="footnote reference"/>
    <w:basedOn w:val="8"/>
    <w:semiHidden/>
    <w:qFormat/>
    <w:uiPriority w:val="99"/>
    <w:rPr>
      <w:rFonts w:cs="Times New Roman"/>
      <w:vertAlign w:val="superscript"/>
    </w:rPr>
  </w:style>
  <w:style w:type="character" w:customStyle="1" w:styleId="10">
    <w:name w:val="Footer Char"/>
    <w:basedOn w:val="8"/>
    <w:link w:val="2"/>
    <w:semiHidden/>
    <w:qFormat/>
    <w:locked/>
    <w:uiPriority w:val="99"/>
    <w:rPr>
      <w:rFonts w:ascii="Times New Roman" w:hAnsi="Times New Roman" w:eastAsia="宋体" w:cs="Times New Roman"/>
      <w:sz w:val="18"/>
    </w:rPr>
  </w:style>
  <w:style w:type="character" w:customStyle="1" w:styleId="11">
    <w:name w:val="Header Char"/>
    <w:basedOn w:val="8"/>
    <w:link w:val="3"/>
    <w:semiHidden/>
    <w:qFormat/>
    <w:locked/>
    <w:uiPriority w:val="99"/>
    <w:rPr>
      <w:rFonts w:ascii="Times New Roman" w:hAnsi="Times New Roman" w:eastAsia="宋体" w:cs="Times New Roman"/>
      <w:sz w:val="18"/>
    </w:rPr>
  </w:style>
  <w:style w:type="paragraph" w:customStyle="1" w:styleId="12">
    <w:name w:val="Char"/>
    <w:basedOn w:val="1"/>
    <w:qFormat/>
    <w:uiPriority w:val="99"/>
    <w:rPr>
      <w:rFonts w:ascii="Times New Roman" w:hAnsi="Times New Roman" w:cs="Times New Roman"/>
      <w:szCs w:val="24"/>
    </w:rPr>
  </w:style>
  <w:style w:type="paragraph" w:styleId="13">
    <w:name w:val="List Paragraph"/>
    <w:basedOn w:val="1"/>
    <w:qFormat/>
    <w:uiPriority w:val="99"/>
    <w:pPr>
      <w:widowControl/>
      <w:adjustRightInd w:val="0"/>
      <w:snapToGrid w:val="0"/>
      <w:spacing w:after="200"/>
      <w:ind w:firstLine="420" w:firstLineChars="200"/>
      <w:jc w:val="left"/>
    </w:pPr>
    <w:rPr>
      <w:rFonts w:ascii="Tahoma" w:hAnsi="Tahoma" w:eastAsia="微软雅黑" w:cs="Times New Roman"/>
      <w:kern w:val="0"/>
      <w:sz w:val="22"/>
    </w:rPr>
  </w:style>
  <w:style w:type="paragraph" w:customStyle="1" w:styleId="14">
    <w:name w:val="[Normal]"/>
    <w:qFormat/>
    <w:uiPriority w:val="99"/>
    <w:pPr>
      <w:widowControl w:val="0"/>
      <w:autoSpaceDE w:val="0"/>
      <w:autoSpaceDN w:val="0"/>
      <w:adjustRightInd w:val="0"/>
    </w:pPr>
    <w:rPr>
      <w:rFonts w:ascii="宋体" w:hAnsi="Times New Roman" w:eastAsia="宋体" w:cs="宋体"/>
      <w:kern w:val="0"/>
      <w:sz w:val="24"/>
      <w:szCs w:val="24"/>
      <w:lang w:val="en-US" w:eastAsia="zh-CN" w:bidi="ar-SA"/>
    </w:rPr>
  </w:style>
  <w:style w:type="character" w:customStyle="1" w:styleId="15">
    <w:name w:val="Footnote Text Char"/>
    <w:basedOn w:val="8"/>
    <w:link w:val="5"/>
    <w:semiHidden/>
    <w:qFormat/>
    <w:locked/>
    <w:uiPriority w:val="99"/>
    <w:rPr>
      <w:rFonts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21</Pages>
  <Words>1791</Words>
  <Characters>10212</Characters>
  <Lines>0</Lines>
  <Paragraphs>0</Paragraphs>
  <TotalTime>23</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2019-02-22T19:18:00Z</dcterms:created>
  <dc:creator>guest</dc:creator>
  <cp:lastModifiedBy>kylin</cp:lastModifiedBy>
  <cp:lastPrinted>2017-02-09T17:57:00Z</cp:lastPrinted>
  <dcterms:modified xsi:type="dcterms:W3CDTF">2026-04-02T09:18:13Z</dcterms:modified>
  <dc:title>Administrator</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566A88FC59DCA44C7715B269EFD3DF75_42</vt:lpwstr>
  </property>
</Properties>
</file>