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3958" w:type="dxa"/>
        <w:tblCellSpacing w:w="0" w:type="dxa"/>
        <w:tblInd w:w="0" w:type="dxa"/>
        <w:shd w:val="clear" w:color="auto" w:fill="auto"/>
        <w:tblLayout w:type="fixed"/>
        <w:tblCellMar>
          <w:top w:w="0" w:type="dxa"/>
          <w:left w:w="0" w:type="dxa"/>
          <w:bottom w:w="0" w:type="dxa"/>
          <w:right w:w="0" w:type="dxa"/>
        </w:tblCellMar>
      </w:tblPr>
      <w:tblGrid>
        <w:gridCol w:w="13958"/>
      </w:tblGrid>
      <w:tr w14:paraId="0378A67F">
        <w:tblPrEx>
          <w:shd w:val="clear" w:color="auto" w:fill="auto"/>
          <w:tblCellMar>
            <w:top w:w="0" w:type="dxa"/>
            <w:left w:w="0" w:type="dxa"/>
            <w:bottom w:w="0" w:type="dxa"/>
            <w:right w:w="0" w:type="dxa"/>
          </w:tblCellMar>
        </w:tblPrEx>
        <w:trPr>
          <w:tblCellSpacing w:w="0" w:type="dxa"/>
        </w:trPr>
        <w:tc>
          <w:tcPr>
            <w:tcW w:w="13958" w:type="dxa"/>
            <w:shd w:val="clear" w:color="auto" w:fill="auto"/>
            <w:vAlign w:val="center"/>
          </w:tcPr>
          <w:tbl>
            <w:tblPr>
              <w:tblStyle w:val="2"/>
              <w:tblW w:w="13958" w:type="dxa"/>
              <w:jc w:val="center"/>
              <w:tblCellSpacing w:w="0" w:type="dxa"/>
              <w:shd w:val="clear" w:color="auto" w:fill="auto"/>
              <w:tblLayout w:type="fixed"/>
              <w:tblCellMar>
                <w:top w:w="0" w:type="dxa"/>
                <w:left w:w="0" w:type="dxa"/>
                <w:bottom w:w="0" w:type="dxa"/>
                <w:right w:w="0" w:type="dxa"/>
              </w:tblCellMar>
            </w:tblPr>
            <w:tblGrid>
              <w:gridCol w:w="13958"/>
            </w:tblGrid>
            <w:tr w14:paraId="32542EC2">
              <w:tblPrEx>
                <w:shd w:val="clear" w:color="auto" w:fill="auto"/>
                <w:tblCellMar>
                  <w:top w:w="0" w:type="dxa"/>
                  <w:left w:w="0" w:type="dxa"/>
                  <w:bottom w:w="0" w:type="dxa"/>
                  <w:right w:w="0" w:type="dxa"/>
                </w:tblCellMar>
              </w:tblPrEx>
              <w:trPr>
                <w:tblCellSpacing w:w="0" w:type="dxa"/>
                <w:jc w:val="center"/>
              </w:trPr>
              <w:tc>
                <w:tcPr>
                  <w:tcW w:w="13958" w:type="dxa"/>
                  <w:shd w:val="clear" w:color="auto" w:fill="auto"/>
                  <w:vAlign w:val="center"/>
                </w:tcPr>
                <w:p w14:paraId="711773CA">
                  <w:pPr>
                    <w:keepNext w:val="0"/>
                    <w:keepLines w:val="0"/>
                    <w:widowControl/>
                    <w:suppressLineNumbers w:val="0"/>
                    <w:spacing w:before="0" w:beforeAutospacing="0" w:after="0" w:afterAutospacing="0" w:line="375" w:lineRule="atLeast"/>
                    <w:ind w:left="0" w:right="-122" w:rightChars="-58"/>
                    <w:jc w:val="center"/>
                    <w:rPr>
                      <w:rFonts w:ascii="Calibri" w:hAnsi="Calibri" w:cs="Calibri"/>
                      <w:sz w:val="44"/>
                      <w:szCs w:val="44"/>
                    </w:rPr>
                  </w:pPr>
                  <w:r>
                    <w:rPr>
                      <w:rFonts w:hint="eastAsia" w:ascii="黑体" w:hAnsi="宋体" w:eastAsia="黑体" w:cs="黑体"/>
                      <w:b/>
                      <w:color w:val="000000"/>
                      <w:kern w:val="0"/>
                      <w:sz w:val="44"/>
                      <w:szCs w:val="44"/>
                      <w:u w:val="none"/>
                      <w:lang w:val="en-US" w:eastAsia="zh-CN" w:bidi="ar"/>
                    </w:rPr>
                    <w:t>曲阳县</w:t>
                  </w:r>
                  <w:r>
                    <w:rPr>
                      <w:rFonts w:ascii="黑体" w:hAnsi="宋体" w:eastAsia="黑体" w:cs="黑体"/>
                      <w:b/>
                      <w:color w:val="000000"/>
                      <w:kern w:val="0"/>
                      <w:sz w:val="44"/>
                      <w:szCs w:val="44"/>
                      <w:u w:val="none"/>
                      <w:lang w:val="en-US" w:eastAsia="zh-CN" w:bidi="ar"/>
                    </w:rPr>
                    <w:t>卫生</w:t>
                  </w:r>
                  <w:r>
                    <w:rPr>
                      <w:rFonts w:hint="eastAsia" w:ascii="黑体" w:hAnsi="宋体" w:eastAsia="黑体" w:cs="黑体"/>
                      <w:b/>
                      <w:color w:val="000000"/>
                      <w:kern w:val="0"/>
                      <w:sz w:val="44"/>
                      <w:szCs w:val="44"/>
                      <w:u w:val="none"/>
                      <w:lang w:val="en-US" w:eastAsia="zh-CN" w:bidi="ar"/>
                    </w:rPr>
                    <w:t>健康局</w:t>
                  </w:r>
                  <w:r>
                    <w:rPr>
                      <w:rFonts w:ascii="黑体" w:hAnsi="宋体" w:eastAsia="黑体" w:cs="黑体"/>
                      <w:b/>
                      <w:color w:val="000000"/>
                      <w:kern w:val="0"/>
                      <w:sz w:val="44"/>
                      <w:szCs w:val="44"/>
                      <w:u w:val="none"/>
                      <w:lang w:val="en-US" w:eastAsia="zh-CN" w:bidi="ar"/>
                    </w:rPr>
                    <w:t>重大行政执法决定法制审核事项清单</w:t>
                  </w:r>
                </w:p>
                <w:tbl>
                  <w:tblPr>
                    <w:tblStyle w:val="2"/>
                    <w:tblpPr w:vertAnchor="text" w:tblpXSpec="left"/>
                    <w:tblW w:w="13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2014"/>
                    <w:gridCol w:w="2055"/>
                    <w:gridCol w:w="3605"/>
                    <w:gridCol w:w="2380"/>
                    <w:gridCol w:w="1950"/>
                    <w:gridCol w:w="1981"/>
                  </w:tblGrid>
                  <w:tr w14:paraId="7F0D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93" w:hRule="atLeast"/>
                    </w:trPr>
                    <w:tc>
                      <w:tcPr>
                        <w:tcW w:w="2014" w:type="dxa"/>
                        <w:tcBorders>
                          <w:tl2br w:val="nil"/>
                          <w:tr2bl w:val="nil"/>
                        </w:tcBorders>
                        <w:shd w:val="clear" w:color="auto" w:fill="auto"/>
                        <w:tcMar>
                          <w:left w:w="108" w:type="dxa"/>
                          <w:right w:w="108" w:type="dxa"/>
                        </w:tcMar>
                        <w:vAlign w:val="top"/>
                      </w:tcPr>
                      <w:p w14:paraId="4A8D9BBA">
                        <w:pPr>
                          <w:keepNext w:val="0"/>
                          <w:keepLines w:val="0"/>
                          <w:widowControl/>
                          <w:suppressLineNumbers w:val="0"/>
                          <w:spacing w:before="0" w:beforeAutospacing="0" w:after="0" w:afterAutospacing="0"/>
                          <w:ind w:left="0" w:right="0" w:firstLine="28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所属执法环节</w:t>
                        </w:r>
                      </w:p>
                    </w:tc>
                    <w:tc>
                      <w:tcPr>
                        <w:tcW w:w="2055" w:type="dxa"/>
                        <w:tcBorders>
                          <w:tl2br w:val="nil"/>
                          <w:tr2bl w:val="nil"/>
                        </w:tcBorders>
                        <w:shd w:val="clear" w:color="auto" w:fill="auto"/>
                        <w:tcMar>
                          <w:left w:w="108" w:type="dxa"/>
                          <w:right w:w="108" w:type="dxa"/>
                        </w:tcMar>
                        <w:vAlign w:val="top"/>
                      </w:tcPr>
                      <w:p w14:paraId="67F4FA21">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提交审核事项</w:t>
                        </w:r>
                      </w:p>
                    </w:tc>
                    <w:tc>
                      <w:tcPr>
                        <w:tcW w:w="3605" w:type="dxa"/>
                        <w:tcBorders>
                          <w:tl2br w:val="nil"/>
                          <w:tr2bl w:val="nil"/>
                        </w:tcBorders>
                        <w:shd w:val="clear" w:color="auto" w:fill="auto"/>
                        <w:tcMar>
                          <w:left w:w="108" w:type="dxa"/>
                          <w:right w:w="108" w:type="dxa"/>
                        </w:tcMar>
                        <w:vAlign w:val="top"/>
                      </w:tcPr>
                      <w:p w14:paraId="353BAA79">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提交审核依据</w:t>
                        </w:r>
                      </w:p>
                    </w:tc>
                    <w:tc>
                      <w:tcPr>
                        <w:tcW w:w="2380" w:type="dxa"/>
                        <w:tcBorders>
                          <w:tl2br w:val="nil"/>
                          <w:tr2bl w:val="nil"/>
                        </w:tcBorders>
                        <w:shd w:val="clear" w:color="auto" w:fill="auto"/>
                        <w:tcMar>
                          <w:left w:w="108" w:type="dxa"/>
                          <w:right w:w="108" w:type="dxa"/>
                        </w:tcMar>
                        <w:vAlign w:val="top"/>
                      </w:tcPr>
                      <w:p w14:paraId="29F5768B">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审核机构</w:t>
                        </w:r>
                      </w:p>
                      <w:p w14:paraId="3B708BB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集体讨论人员</w:t>
                        </w:r>
                      </w:p>
                    </w:tc>
                    <w:tc>
                      <w:tcPr>
                        <w:tcW w:w="1950" w:type="dxa"/>
                        <w:tcBorders>
                          <w:tl2br w:val="nil"/>
                          <w:tr2bl w:val="nil"/>
                        </w:tcBorders>
                        <w:shd w:val="clear" w:color="auto" w:fill="auto"/>
                        <w:tcMar>
                          <w:left w:w="108" w:type="dxa"/>
                          <w:right w:w="108" w:type="dxa"/>
                        </w:tcMar>
                        <w:vAlign w:val="top"/>
                      </w:tcPr>
                      <w:p w14:paraId="320AE3C4">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送审核或集体讨论资料</w:t>
                        </w:r>
                      </w:p>
                    </w:tc>
                    <w:tc>
                      <w:tcPr>
                        <w:tcW w:w="1981" w:type="dxa"/>
                        <w:tcBorders>
                          <w:tl2br w:val="nil"/>
                          <w:tr2bl w:val="nil"/>
                        </w:tcBorders>
                        <w:shd w:val="clear" w:color="auto" w:fill="auto"/>
                        <w:tcMar>
                          <w:left w:w="108" w:type="dxa"/>
                          <w:right w:w="108" w:type="dxa"/>
                        </w:tcMar>
                        <w:vAlign w:val="top"/>
                      </w:tcPr>
                      <w:p w14:paraId="4BF10B1C">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法制审核</w:t>
                        </w:r>
                      </w:p>
                      <w:p w14:paraId="525C84A3">
                        <w:pPr>
                          <w:keepNext w:val="0"/>
                          <w:keepLines w:val="0"/>
                          <w:widowControl/>
                          <w:suppressLineNumbers w:val="0"/>
                          <w:spacing w:before="0" w:beforeAutospacing="0" w:after="0" w:afterAutospacing="0"/>
                          <w:ind w:left="0" w:right="0"/>
                          <w:jc w:val="center"/>
                          <w:rPr>
                            <w:rFonts w:hint="eastAsia" w:ascii="仿宋" w:hAnsi="仿宋" w:eastAsia="仿宋" w:cs="仿宋"/>
                            <w:sz w:val="24"/>
                            <w:szCs w:val="24"/>
                          </w:rPr>
                        </w:pPr>
                        <w:r>
                          <w:rPr>
                            <w:rFonts w:hint="eastAsia" w:ascii="仿宋" w:hAnsi="仿宋" w:eastAsia="仿宋" w:cs="仿宋"/>
                            <w:b/>
                            <w:kern w:val="0"/>
                            <w:sz w:val="24"/>
                            <w:szCs w:val="24"/>
                            <w:lang w:val="en-US" w:eastAsia="zh-CN" w:bidi="ar"/>
                          </w:rPr>
                          <w:t>内容</w:t>
                        </w:r>
                      </w:p>
                    </w:tc>
                  </w:tr>
                  <w:tr w14:paraId="68CA9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1" w:hRule="atLeast"/>
                    </w:trPr>
                    <w:tc>
                      <w:tcPr>
                        <w:tcW w:w="2014" w:type="dxa"/>
                        <w:vMerge w:val="restart"/>
                        <w:tcBorders>
                          <w:tl2br w:val="nil"/>
                          <w:tr2bl w:val="nil"/>
                        </w:tcBorders>
                        <w:shd w:val="clear" w:color="auto" w:fill="auto"/>
                        <w:tcMar>
                          <w:left w:w="108" w:type="dxa"/>
                          <w:right w:w="108" w:type="dxa"/>
                        </w:tcMar>
                        <w:vAlign w:val="top"/>
                      </w:tcPr>
                      <w:p w14:paraId="7D21ED5A">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b/>
                            <w:kern w:val="0"/>
                            <w:sz w:val="24"/>
                            <w:szCs w:val="24"/>
                            <w:lang w:val="en-US" w:eastAsia="zh-CN" w:bidi="ar"/>
                          </w:rPr>
                          <w:t>案件调查终结，承办机构执法人员经合议认为应根据相关规定提交法监科审核，或应提交局机关领导集体讨论的环节</w:t>
                        </w:r>
                      </w:p>
                    </w:tc>
                    <w:tc>
                      <w:tcPr>
                        <w:tcW w:w="2055" w:type="dxa"/>
                        <w:tcBorders>
                          <w:tl2br w:val="nil"/>
                          <w:tr2bl w:val="nil"/>
                        </w:tcBorders>
                        <w:shd w:val="clear" w:color="auto" w:fill="auto"/>
                        <w:tcMar>
                          <w:left w:w="108" w:type="dxa"/>
                          <w:right w:w="108" w:type="dxa"/>
                        </w:tcMar>
                        <w:vAlign w:val="top"/>
                      </w:tcPr>
                      <w:p w14:paraId="594BB43F">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1、对公民处以一万元以上罚款，对法人或其它组织处以</w:t>
                        </w:r>
                        <w:bookmarkStart w:id="0" w:name="_GoBack"/>
                        <w:bookmarkEnd w:id="0"/>
                        <w:r>
                          <w:rPr>
                            <w:rFonts w:hint="eastAsia" w:ascii="仿宋" w:hAnsi="仿宋" w:eastAsia="仿宋" w:cs="仿宋"/>
                            <w:kern w:val="0"/>
                            <w:sz w:val="18"/>
                            <w:szCs w:val="18"/>
                            <w:lang w:val="en-US" w:eastAsia="zh-CN" w:bidi="ar"/>
                          </w:rPr>
                          <w:t>十万元以上罚款的行政处罚。</w:t>
                        </w:r>
                      </w:p>
                    </w:tc>
                    <w:tc>
                      <w:tcPr>
                        <w:tcW w:w="3605" w:type="dxa"/>
                        <w:tcBorders>
                          <w:tl2br w:val="nil"/>
                          <w:tr2bl w:val="nil"/>
                        </w:tcBorders>
                        <w:shd w:val="clear" w:color="auto" w:fill="auto"/>
                        <w:tcMar>
                          <w:left w:w="108" w:type="dxa"/>
                          <w:right w:w="108" w:type="dxa"/>
                        </w:tcMar>
                        <w:vAlign w:val="top"/>
                      </w:tcPr>
                      <w:p w14:paraId="5F944582">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《曲阳县卫生健康局重大行政执法决定法制审核办法》</w:t>
                        </w:r>
                      </w:p>
                    </w:tc>
                    <w:tc>
                      <w:tcPr>
                        <w:tcW w:w="2380" w:type="dxa"/>
                        <w:tcBorders>
                          <w:tl2br w:val="nil"/>
                          <w:tr2bl w:val="nil"/>
                        </w:tcBorders>
                        <w:shd w:val="clear" w:color="auto" w:fill="auto"/>
                        <w:tcMar>
                          <w:left w:w="108" w:type="dxa"/>
                          <w:right w:w="108" w:type="dxa"/>
                        </w:tcMar>
                        <w:vAlign w:val="top"/>
                      </w:tcPr>
                      <w:p w14:paraId="5FC696DC">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分管领导同意后送</w:t>
                        </w:r>
                      </w:p>
                      <w:p w14:paraId="28E6B185">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法监科审核</w:t>
                        </w:r>
                      </w:p>
                      <w:p w14:paraId="7B87CFC3">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应当提交局领导集体讨论的交局领导集体讨论</w:t>
                        </w:r>
                      </w:p>
                    </w:tc>
                    <w:tc>
                      <w:tcPr>
                        <w:tcW w:w="1950" w:type="dxa"/>
                        <w:vMerge w:val="restart"/>
                        <w:tcBorders>
                          <w:tl2br w:val="nil"/>
                          <w:tr2bl w:val="nil"/>
                        </w:tcBorders>
                        <w:shd w:val="clear" w:color="auto" w:fill="auto"/>
                        <w:tcMar>
                          <w:left w:w="108" w:type="dxa"/>
                          <w:right w:w="108" w:type="dxa"/>
                        </w:tcMar>
                        <w:vAlign w:val="top"/>
                      </w:tcPr>
                      <w:p w14:paraId="2745BF98">
                        <w:pPr>
                          <w:keepNext w:val="0"/>
                          <w:keepLines w:val="0"/>
                          <w:widowControl/>
                          <w:suppressLineNumbers w:val="0"/>
                          <w:spacing w:before="0" w:beforeAutospacing="0" w:after="0" w:afterAutospacing="0"/>
                          <w:ind w:left="0" w:right="0" w:firstLine="0"/>
                          <w:jc w:val="left"/>
                          <w:rPr>
                            <w:rFonts w:hint="eastAsia" w:ascii="仿宋" w:hAnsi="仿宋" w:eastAsia="仿宋" w:cs="仿宋"/>
                            <w:sz w:val="21"/>
                            <w:szCs w:val="21"/>
                          </w:rPr>
                        </w:pPr>
                        <w:r>
                          <w:rPr>
                            <w:rFonts w:hint="eastAsia" w:ascii="仿宋" w:hAnsi="仿宋" w:eastAsia="仿宋" w:cs="仿宋"/>
                            <w:color w:val="000000"/>
                            <w:kern w:val="0"/>
                            <w:sz w:val="18"/>
                            <w:szCs w:val="18"/>
                            <w:lang w:val="en-US" w:eastAsia="zh-CN" w:bidi="ar"/>
                          </w:rPr>
                          <w:t>1、案件受理记录;                2.立案报告;               3.主体证明材料和相关证据资料；         </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4.授权委托书；                    5.案件调查终结报告，超出委机关职权范围需要移送其他部门或者涉嫌犯罪需要移送司法机关的，一并提出移送意见; ;</w:t>
                        </w:r>
                      </w:p>
                      <w:p w14:paraId="6584C4BF">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color w:val="000000"/>
                            <w:kern w:val="0"/>
                            <w:sz w:val="18"/>
                            <w:szCs w:val="18"/>
                            <w:lang w:val="en-US" w:eastAsia="zh-CN" w:bidi="ar"/>
                          </w:rPr>
                          <w:t>6.合议记录；</w:t>
                        </w:r>
                      </w:p>
                    </w:tc>
                    <w:tc>
                      <w:tcPr>
                        <w:tcW w:w="1981" w:type="dxa"/>
                        <w:vMerge w:val="restart"/>
                        <w:tcBorders>
                          <w:tl2br w:val="nil"/>
                          <w:tr2bl w:val="nil"/>
                        </w:tcBorders>
                        <w:shd w:val="clear" w:color="auto" w:fill="auto"/>
                        <w:tcMar>
                          <w:left w:w="108" w:type="dxa"/>
                          <w:right w:w="108" w:type="dxa"/>
                        </w:tcMar>
                        <w:vAlign w:val="top"/>
                      </w:tcPr>
                      <w:p w14:paraId="017F33DD">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color w:val="000000"/>
                            <w:kern w:val="0"/>
                            <w:sz w:val="18"/>
                            <w:szCs w:val="18"/>
                            <w:lang w:val="en-US" w:eastAsia="zh-CN" w:bidi="ar"/>
                          </w:rPr>
                          <w:t>1.执法主体是否合法，执法人员是否具备执法资格；</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2.事实是否清楚，证据是否确凿、充分；</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3.适用法律、法规、规章是否准确；处罚执行裁量基准是否适当；</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4.程序是否合法；</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5.是否听取当事人陈述和申辩；当事人提出的事实、理由或者证据成立的，承办部门是否采纳；</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6.违法行为是否涉嫌犯罪需要移送司法机关；</w:t>
                        </w:r>
                        <w:r>
                          <w:rPr>
                            <w:rFonts w:hint="eastAsia" w:ascii="仿宋" w:hAnsi="仿宋" w:eastAsia="仿宋" w:cs="仿宋"/>
                            <w:color w:val="000000"/>
                            <w:kern w:val="0"/>
                            <w:sz w:val="18"/>
                            <w:szCs w:val="18"/>
                            <w:lang w:val="en-US" w:eastAsia="zh-CN" w:bidi="ar"/>
                          </w:rPr>
                          <w:br w:type="textWrapping"/>
                        </w:r>
                        <w:r>
                          <w:rPr>
                            <w:rFonts w:hint="eastAsia" w:ascii="仿宋" w:hAnsi="仿宋" w:eastAsia="仿宋" w:cs="仿宋"/>
                            <w:color w:val="000000"/>
                            <w:kern w:val="0"/>
                            <w:sz w:val="18"/>
                            <w:szCs w:val="18"/>
                            <w:lang w:val="en-US" w:eastAsia="zh-CN" w:bidi="ar"/>
                          </w:rPr>
                          <w:t>7.其他需要审查的内容。</w:t>
                        </w:r>
                      </w:p>
                    </w:tc>
                  </w:tr>
                  <w:tr w14:paraId="15D60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228" w:hRule="atLeast"/>
                    </w:trPr>
                    <w:tc>
                      <w:tcPr>
                        <w:tcW w:w="2014" w:type="dxa"/>
                        <w:vMerge w:val="continue"/>
                        <w:tcBorders>
                          <w:tl2br w:val="nil"/>
                          <w:tr2bl w:val="nil"/>
                        </w:tcBorders>
                        <w:shd w:val="clear" w:color="auto" w:fill="auto"/>
                        <w:tcMar>
                          <w:left w:w="108" w:type="dxa"/>
                          <w:right w:w="108" w:type="dxa"/>
                        </w:tcMar>
                        <w:vAlign w:val="top"/>
                      </w:tcPr>
                      <w:p w14:paraId="7D53FA9F">
                        <w:pPr>
                          <w:jc w:val="both"/>
                          <w:rPr>
                            <w:rFonts w:hint="eastAsia" w:ascii="仿宋" w:hAnsi="仿宋" w:eastAsia="仿宋" w:cs="仿宋"/>
                            <w:sz w:val="20"/>
                            <w:szCs w:val="20"/>
                          </w:rPr>
                        </w:pPr>
                      </w:p>
                    </w:tc>
                    <w:tc>
                      <w:tcPr>
                        <w:tcW w:w="2055" w:type="dxa"/>
                        <w:tcBorders>
                          <w:tl2br w:val="nil"/>
                          <w:tr2bl w:val="nil"/>
                        </w:tcBorders>
                        <w:shd w:val="clear" w:color="auto" w:fill="auto"/>
                        <w:tcMar>
                          <w:left w:w="108" w:type="dxa"/>
                          <w:right w:w="108" w:type="dxa"/>
                        </w:tcMar>
                        <w:vAlign w:val="top"/>
                      </w:tcPr>
                      <w:p w14:paraId="233EEA73">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2、没收违法所得或者没收财物价值相当于第一项规定数额的行政处罚。</w:t>
                        </w:r>
                      </w:p>
                    </w:tc>
                    <w:tc>
                      <w:tcPr>
                        <w:tcW w:w="3605" w:type="dxa"/>
                        <w:tcBorders>
                          <w:tl2br w:val="nil"/>
                          <w:tr2bl w:val="nil"/>
                        </w:tcBorders>
                        <w:shd w:val="clear" w:color="auto" w:fill="auto"/>
                        <w:tcMar>
                          <w:left w:w="108" w:type="dxa"/>
                          <w:right w:w="108" w:type="dxa"/>
                        </w:tcMar>
                        <w:vAlign w:val="top"/>
                      </w:tcPr>
                      <w:p w14:paraId="31CF9385">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《曲阳县卫生健康局重大行政执法决定法制审核办法》</w:t>
                        </w:r>
                      </w:p>
                    </w:tc>
                    <w:tc>
                      <w:tcPr>
                        <w:tcW w:w="2380" w:type="dxa"/>
                        <w:tcBorders>
                          <w:tl2br w:val="nil"/>
                          <w:tr2bl w:val="nil"/>
                        </w:tcBorders>
                        <w:shd w:val="clear" w:color="auto" w:fill="auto"/>
                        <w:tcMar>
                          <w:left w:w="108" w:type="dxa"/>
                          <w:right w:w="108" w:type="dxa"/>
                        </w:tcMar>
                        <w:vAlign w:val="top"/>
                      </w:tcPr>
                      <w:p w14:paraId="082A55A8">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分管领导同意后送法</w:t>
                        </w:r>
                      </w:p>
                      <w:p w14:paraId="4B81E1D5">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监科审核</w:t>
                        </w:r>
                      </w:p>
                      <w:p w14:paraId="5D290563">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应当提交局领导集体讨论的交局领导集体讨论</w:t>
                        </w:r>
                      </w:p>
                    </w:tc>
                    <w:tc>
                      <w:tcPr>
                        <w:tcW w:w="1950" w:type="dxa"/>
                        <w:vMerge w:val="continue"/>
                        <w:tcBorders>
                          <w:tl2br w:val="nil"/>
                          <w:tr2bl w:val="nil"/>
                        </w:tcBorders>
                        <w:shd w:val="clear" w:color="auto" w:fill="auto"/>
                        <w:tcMar>
                          <w:left w:w="108" w:type="dxa"/>
                          <w:right w:w="108" w:type="dxa"/>
                        </w:tcMar>
                        <w:vAlign w:val="top"/>
                      </w:tcPr>
                      <w:p w14:paraId="0A568343">
                        <w:pPr>
                          <w:jc w:val="both"/>
                          <w:rPr>
                            <w:rFonts w:hint="eastAsia" w:ascii="仿宋" w:hAnsi="仿宋" w:eastAsia="仿宋" w:cs="仿宋"/>
                            <w:sz w:val="20"/>
                            <w:szCs w:val="20"/>
                          </w:rPr>
                        </w:pPr>
                      </w:p>
                    </w:tc>
                    <w:tc>
                      <w:tcPr>
                        <w:tcW w:w="1981" w:type="dxa"/>
                        <w:vMerge w:val="continue"/>
                        <w:tcBorders>
                          <w:tl2br w:val="nil"/>
                          <w:tr2bl w:val="nil"/>
                        </w:tcBorders>
                        <w:shd w:val="clear" w:color="auto" w:fill="auto"/>
                        <w:tcMar>
                          <w:left w:w="108" w:type="dxa"/>
                          <w:right w:w="108" w:type="dxa"/>
                        </w:tcMar>
                        <w:vAlign w:val="top"/>
                      </w:tcPr>
                      <w:p w14:paraId="244F1A10">
                        <w:pPr>
                          <w:jc w:val="both"/>
                          <w:rPr>
                            <w:rFonts w:hint="eastAsia" w:ascii="仿宋" w:hAnsi="仿宋" w:eastAsia="仿宋" w:cs="仿宋"/>
                            <w:sz w:val="20"/>
                            <w:szCs w:val="20"/>
                          </w:rPr>
                        </w:pPr>
                      </w:p>
                    </w:tc>
                  </w:tr>
                  <w:tr w14:paraId="36CFA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1" w:hRule="atLeast"/>
                    </w:trPr>
                    <w:tc>
                      <w:tcPr>
                        <w:tcW w:w="2014" w:type="dxa"/>
                        <w:vMerge w:val="continue"/>
                        <w:tcBorders>
                          <w:tl2br w:val="nil"/>
                          <w:tr2bl w:val="nil"/>
                        </w:tcBorders>
                        <w:shd w:val="clear" w:color="auto" w:fill="auto"/>
                        <w:tcMar>
                          <w:left w:w="108" w:type="dxa"/>
                          <w:right w:w="108" w:type="dxa"/>
                        </w:tcMar>
                        <w:vAlign w:val="top"/>
                      </w:tcPr>
                      <w:p w14:paraId="24178A41">
                        <w:pPr>
                          <w:jc w:val="both"/>
                          <w:rPr>
                            <w:rFonts w:hint="eastAsia" w:ascii="仿宋" w:hAnsi="仿宋" w:eastAsia="仿宋" w:cs="仿宋"/>
                            <w:sz w:val="20"/>
                            <w:szCs w:val="20"/>
                          </w:rPr>
                        </w:pPr>
                      </w:p>
                    </w:tc>
                    <w:tc>
                      <w:tcPr>
                        <w:tcW w:w="2055" w:type="dxa"/>
                        <w:tcBorders>
                          <w:tl2br w:val="nil"/>
                          <w:tr2bl w:val="nil"/>
                        </w:tcBorders>
                        <w:shd w:val="clear" w:color="auto" w:fill="auto"/>
                        <w:tcMar>
                          <w:left w:w="108" w:type="dxa"/>
                          <w:right w:w="108" w:type="dxa"/>
                        </w:tcMar>
                        <w:vAlign w:val="top"/>
                      </w:tcPr>
                      <w:p w14:paraId="00888816">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3、责令停产停业的行政处罚。</w:t>
                        </w:r>
                      </w:p>
                    </w:tc>
                    <w:tc>
                      <w:tcPr>
                        <w:tcW w:w="3605" w:type="dxa"/>
                        <w:tcBorders>
                          <w:tl2br w:val="nil"/>
                          <w:tr2bl w:val="nil"/>
                        </w:tcBorders>
                        <w:shd w:val="clear" w:color="auto" w:fill="auto"/>
                        <w:tcMar>
                          <w:left w:w="108" w:type="dxa"/>
                          <w:right w:w="108" w:type="dxa"/>
                        </w:tcMar>
                        <w:vAlign w:val="top"/>
                      </w:tcPr>
                      <w:p w14:paraId="568AA020">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《曲阳县卫生健康局重大行政执法决定法制审核办法》</w:t>
                        </w:r>
                      </w:p>
                    </w:tc>
                    <w:tc>
                      <w:tcPr>
                        <w:tcW w:w="2380" w:type="dxa"/>
                        <w:tcBorders>
                          <w:tl2br w:val="nil"/>
                          <w:tr2bl w:val="nil"/>
                        </w:tcBorders>
                        <w:shd w:val="clear" w:color="auto" w:fill="auto"/>
                        <w:tcMar>
                          <w:left w:w="108" w:type="dxa"/>
                          <w:right w:w="108" w:type="dxa"/>
                        </w:tcMar>
                        <w:vAlign w:val="top"/>
                      </w:tcPr>
                      <w:p w14:paraId="20767CA9">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分管领导同意后送法</w:t>
                        </w:r>
                      </w:p>
                      <w:p w14:paraId="1CEE1D0D">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监科审核</w:t>
                        </w:r>
                      </w:p>
                      <w:p w14:paraId="0AC05AAD">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应当提交局领导集体讨论的提局领导集体讨论</w:t>
                        </w:r>
                      </w:p>
                    </w:tc>
                    <w:tc>
                      <w:tcPr>
                        <w:tcW w:w="1950" w:type="dxa"/>
                        <w:vMerge w:val="continue"/>
                        <w:tcBorders>
                          <w:tl2br w:val="nil"/>
                          <w:tr2bl w:val="nil"/>
                        </w:tcBorders>
                        <w:shd w:val="clear" w:color="auto" w:fill="auto"/>
                        <w:tcMar>
                          <w:left w:w="108" w:type="dxa"/>
                          <w:right w:w="108" w:type="dxa"/>
                        </w:tcMar>
                        <w:vAlign w:val="top"/>
                      </w:tcPr>
                      <w:p w14:paraId="7D062BEB">
                        <w:pPr>
                          <w:jc w:val="both"/>
                          <w:rPr>
                            <w:rFonts w:hint="eastAsia" w:ascii="仿宋" w:hAnsi="仿宋" w:eastAsia="仿宋" w:cs="仿宋"/>
                            <w:sz w:val="20"/>
                            <w:szCs w:val="20"/>
                          </w:rPr>
                        </w:pPr>
                      </w:p>
                    </w:tc>
                    <w:tc>
                      <w:tcPr>
                        <w:tcW w:w="1981" w:type="dxa"/>
                        <w:vMerge w:val="continue"/>
                        <w:tcBorders>
                          <w:tl2br w:val="nil"/>
                          <w:tr2bl w:val="nil"/>
                        </w:tcBorders>
                        <w:shd w:val="clear" w:color="auto" w:fill="auto"/>
                        <w:tcMar>
                          <w:left w:w="108" w:type="dxa"/>
                          <w:right w:w="108" w:type="dxa"/>
                        </w:tcMar>
                        <w:vAlign w:val="top"/>
                      </w:tcPr>
                      <w:p w14:paraId="3A17ADC4">
                        <w:pPr>
                          <w:jc w:val="both"/>
                          <w:rPr>
                            <w:rFonts w:hint="eastAsia" w:ascii="仿宋" w:hAnsi="仿宋" w:eastAsia="仿宋" w:cs="仿宋"/>
                            <w:sz w:val="20"/>
                            <w:szCs w:val="20"/>
                          </w:rPr>
                        </w:pPr>
                      </w:p>
                    </w:tc>
                  </w:tr>
                  <w:tr w14:paraId="57913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820" w:hRule="atLeast"/>
                    </w:trPr>
                    <w:tc>
                      <w:tcPr>
                        <w:tcW w:w="2014" w:type="dxa"/>
                        <w:vMerge w:val="continue"/>
                        <w:tcBorders>
                          <w:tl2br w:val="nil"/>
                          <w:tr2bl w:val="nil"/>
                        </w:tcBorders>
                        <w:shd w:val="clear" w:color="auto" w:fill="auto"/>
                        <w:tcMar>
                          <w:left w:w="108" w:type="dxa"/>
                          <w:right w:w="108" w:type="dxa"/>
                        </w:tcMar>
                        <w:vAlign w:val="top"/>
                      </w:tcPr>
                      <w:p w14:paraId="1FF2BC30">
                        <w:pPr>
                          <w:jc w:val="both"/>
                          <w:rPr>
                            <w:rFonts w:hint="eastAsia" w:ascii="仿宋" w:hAnsi="仿宋" w:eastAsia="仿宋" w:cs="仿宋"/>
                            <w:sz w:val="20"/>
                            <w:szCs w:val="20"/>
                          </w:rPr>
                        </w:pPr>
                      </w:p>
                    </w:tc>
                    <w:tc>
                      <w:tcPr>
                        <w:tcW w:w="2055" w:type="dxa"/>
                        <w:tcBorders>
                          <w:tl2br w:val="nil"/>
                          <w:tr2bl w:val="nil"/>
                        </w:tcBorders>
                        <w:shd w:val="clear" w:color="auto" w:fill="auto"/>
                        <w:tcMar>
                          <w:left w:w="108" w:type="dxa"/>
                          <w:right w:w="108" w:type="dxa"/>
                        </w:tcMar>
                        <w:vAlign w:val="top"/>
                      </w:tcPr>
                      <w:p w14:paraId="4EC5B0DD">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4、吊销许可（执业）证件的行政处罚。</w:t>
                        </w:r>
                      </w:p>
                    </w:tc>
                    <w:tc>
                      <w:tcPr>
                        <w:tcW w:w="3605" w:type="dxa"/>
                        <w:tcBorders>
                          <w:tl2br w:val="nil"/>
                          <w:tr2bl w:val="nil"/>
                        </w:tcBorders>
                        <w:shd w:val="clear" w:color="auto" w:fill="auto"/>
                        <w:tcMar>
                          <w:left w:w="108" w:type="dxa"/>
                          <w:right w:w="108" w:type="dxa"/>
                        </w:tcMar>
                        <w:vAlign w:val="top"/>
                      </w:tcPr>
                      <w:p w14:paraId="190E3B2F">
                        <w:pPr>
                          <w:keepNext w:val="0"/>
                          <w:keepLines w:val="0"/>
                          <w:widowControl/>
                          <w:suppressLineNumbers w:val="0"/>
                          <w:spacing w:before="0" w:beforeAutospacing="0" w:after="0" w:afterAutospacing="0"/>
                          <w:ind w:left="0" w:right="0"/>
                          <w:jc w:val="left"/>
                          <w:rPr>
                            <w:rFonts w:hint="eastAsia" w:ascii="仿宋" w:hAnsi="仿宋" w:eastAsia="仿宋" w:cs="仿宋"/>
                            <w:sz w:val="21"/>
                            <w:szCs w:val="21"/>
                          </w:rPr>
                        </w:pPr>
                        <w:r>
                          <w:rPr>
                            <w:rFonts w:hint="eastAsia" w:ascii="仿宋" w:hAnsi="仿宋" w:eastAsia="仿宋" w:cs="仿宋"/>
                            <w:kern w:val="0"/>
                            <w:sz w:val="18"/>
                            <w:szCs w:val="18"/>
                            <w:lang w:val="en-US" w:eastAsia="zh-CN" w:bidi="ar"/>
                          </w:rPr>
                          <w:t>《曲阳县卫生健康局重大行政执法决定法制审核办法》</w:t>
                        </w:r>
                      </w:p>
                    </w:tc>
                    <w:tc>
                      <w:tcPr>
                        <w:tcW w:w="2380" w:type="dxa"/>
                        <w:tcBorders>
                          <w:tl2br w:val="nil"/>
                          <w:tr2bl w:val="nil"/>
                        </w:tcBorders>
                        <w:shd w:val="clear" w:color="auto" w:fill="auto"/>
                        <w:tcMar>
                          <w:left w:w="108" w:type="dxa"/>
                          <w:right w:w="108" w:type="dxa"/>
                        </w:tcMar>
                        <w:vAlign w:val="top"/>
                      </w:tcPr>
                      <w:p w14:paraId="17735218">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分管领导同意后送法</w:t>
                        </w:r>
                      </w:p>
                      <w:p w14:paraId="6CCF53B8">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监科审核</w:t>
                        </w:r>
                      </w:p>
                      <w:p w14:paraId="65B0A1FB">
                        <w:pPr>
                          <w:keepNext w:val="0"/>
                          <w:keepLines w:val="0"/>
                          <w:widowControl/>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kern w:val="0"/>
                            <w:sz w:val="18"/>
                            <w:szCs w:val="18"/>
                            <w:lang w:val="en-US" w:eastAsia="zh-CN" w:bidi="ar"/>
                          </w:rPr>
                          <w:t>应当提交局领导集体讨论的交局领导集体讨论</w:t>
                        </w:r>
                      </w:p>
                    </w:tc>
                    <w:tc>
                      <w:tcPr>
                        <w:tcW w:w="1950" w:type="dxa"/>
                        <w:vMerge w:val="continue"/>
                        <w:tcBorders>
                          <w:tl2br w:val="nil"/>
                          <w:tr2bl w:val="nil"/>
                        </w:tcBorders>
                        <w:shd w:val="clear" w:color="auto" w:fill="auto"/>
                        <w:tcMar>
                          <w:left w:w="108" w:type="dxa"/>
                          <w:right w:w="108" w:type="dxa"/>
                        </w:tcMar>
                        <w:vAlign w:val="top"/>
                      </w:tcPr>
                      <w:p w14:paraId="34BFDE66">
                        <w:pPr>
                          <w:jc w:val="both"/>
                          <w:rPr>
                            <w:rFonts w:hint="eastAsia" w:ascii="仿宋" w:hAnsi="仿宋" w:eastAsia="仿宋" w:cs="仿宋"/>
                            <w:sz w:val="20"/>
                            <w:szCs w:val="20"/>
                          </w:rPr>
                        </w:pPr>
                      </w:p>
                    </w:tc>
                    <w:tc>
                      <w:tcPr>
                        <w:tcW w:w="1981" w:type="dxa"/>
                        <w:vMerge w:val="continue"/>
                        <w:tcBorders>
                          <w:tl2br w:val="nil"/>
                          <w:tr2bl w:val="nil"/>
                        </w:tcBorders>
                        <w:shd w:val="clear" w:color="auto" w:fill="auto"/>
                        <w:tcMar>
                          <w:left w:w="108" w:type="dxa"/>
                          <w:right w:w="108" w:type="dxa"/>
                        </w:tcMar>
                        <w:vAlign w:val="top"/>
                      </w:tcPr>
                      <w:p w14:paraId="0CEA1887">
                        <w:pPr>
                          <w:jc w:val="both"/>
                          <w:rPr>
                            <w:rFonts w:hint="eastAsia" w:ascii="仿宋" w:hAnsi="仿宋" w:eastAsia="仿宋" w:cs="仿宋"/>
                            <w:sz w:val="20"/>
                            <w:szCs w:val="20"/>
                          </w:rPr>
                        </w:pPr>
                      </w:p>
                    </w:tc>
                  </w:tr>
                </w:tbl>
                <w:p w14:paraId="0E5A13D1">
                  <w:pPr>
                    <w:keepNext w:val="0"/>
                    <w:keepLines w:val="0"/>
                    <w:widowControl/>
                    <w:suppressLineNumbers w:val="0"/>
                    <w:spacing w:before="0" w:beforeAutospacing="0" w:after="0" w:afterAutospacing="0" w:line="375" w:lineRule="atLeast"/>
                    <w:ind w:left="0" w:right="0"/>
                    <w:jc w:val="both"/>
                    <w:rPr>
                      <w:color w:val="000000"/>
                      <w:u w:val="none"/>
                    </w:rPr>
                  </w:pPr>
                </w:p>
              </w:tc>
            </w:tr>
            <w:tr w14:paraId="73DB6991">
              <w:tblPrEx>
                <w:shd w:val="clear" w:color="auto" w:fill="auto"/>
                <w:tblCellMar>
                  <w:top w:w="0" w:type="dxa"/>
                  <w:left w:w="0" w:type="dxa"/>
                  <w:bottom w:w="0" w:type="dxa"/>
                  <w:right w:w="0" w:type="dxa"/>
                </w:tblCellMar>
              </w:tblPrEx>
              <w:trPr>
                <w:trHeight w:val="151" w:hRule="atLeast"/>
                <w:tblCellSpacing w:w="0" w:type="dxa"/>
                <w:jc w:val="center"/>
              </w:trPr>
              <w:tc>
                <w:tcPr>
                  <w:tcW w:w="13958" w:type="dxa"/>
                  <w:shd w:val="clear" w:color="auto" w:fill="auto"/>
                  <w:vAlign w:val="center"/>
                </w:tcPr>
                <w:p w14:paraId="100A3157">
                  <w:pPr>
                    <w:rPr>
                      <w:rFonts w:hint="eastAsia" w:ascii="宋体"/>
                      <w:sz w:val="24"/>
                      <w:szCs w:val="24"/>
                    </w:rPr>
                  </w:pPr>
                </w:p>
              </w:tc>
            </w:tr>
          </w:tbl>
          <w:p w14:paraId="6FD3E366"/>
        </w:tc>
      </w:tr>
    </w:tbl>
    <w:p w14:paraId="7F8FCFAB"/>
    <w:sectPr>
      <w:pgSz w:w="16838" w:h="11906" w:orient="landscape"/>
      <w:pgMar w:top="1800" w:right="1440" w:bottom="1800" w:left="1440" w:header="851" w:footer="992" w:gutter="0"/>
      <w:pgBorders w:offsetFrom="page">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5NGIxNDg3MjY1MGYzNTBjNTcyMGMxYzkwMzNiNDEifQ=="/>
  </w:docVars>
  <w:rsids>
    <w:rsidRoot w:val="23556F49"/>
    <w:rsid w:val="04F210A0"/>
    <w:rsid w:val="1A125BCE"/>
    <w:rsid w:val="23556F49"/>
    <w:rsid w:val="4C7B45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696</Words>
  <Characters>708</Characters>
  <Lines>0</Lines>
  <Paragraphs>0</Paragraphs>
  <TotalTime>1</TotalTime>
  <ScaleCrop>false</ScaleCrop>
  <LinksUpToDate>false</LinksUpToDate>
  <CharactersWithSpaces>769</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2017-10-19T04:36:00Z</dcterms:created>
  <dc:creator>Administrator</dc:creator>
  <cp:lastModifiedBy>夕颜</cp:lastModifiedBy>
  <dcterms:modified xsi:type="dcterms:W3CDTF">2024-09-13T03:29:28Z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202882D29ED340B0970BC974155C3A7A_12</vt:lpwstr>
  </property>
</Properties>
</file>