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spacing w:line="560" w:lineRule="exact"/>
        <w:jc w:val="center"/>
        <w:rPr>
          <w:rFonts w:ascii="宋体" w:eastAsia="宋体" w:hAnsi="宋体" w:hint="eastAsia"/>
          <w:b/>
          <w:color w:val="000000"/>
          <w:kern w:val="0"/>
          <w:sz w:val="44"/>
          <w:szCs w:val="44"/>
          <w:lang w:val="en-US" w:eastAsia="zh-CN"/>
        </w:rPr>
      </w:pPr>
      <w:r>
        <w:rPr>
          <w:rFonts w:ascii="宋体" w:eastAsia="宋体" w:hAnsi="宋体" w:hint="eastAsia"/>
          <w:b/>
          <w:color w:val="000000"/>
          <w:kern w:val="0"/>
          <w:sz w:val="44"/>
          <w:szCs w:val="44"/>
          <w:lang w:val="en-US" w:eastAsia="zh-CN"/>
        </w:rPr>
        <w:t>曲阳县交通运输局</w:t>
      </w:r>
    </w:p>
    <w:p>
      <w:pPr>
        <w:spacing w:line="560" w:lineRule="exact"/>
        <w:jc w:val="center"/>
        <w:rPr>
          <w:rFonts w:ascii="宋体" w:eastAsia="宋体" w:hAnsi="宋体" w:hint="eastAsia"/>
          <w:b/>
          <w:color w:val="000000"/>
          <w:kern w:val="0"/>
          <w:sz w:val="44"/>
          <w:szCs w:val="44"/>
        </w:rPr>
      </w:pPr>
      <w:r>
        <w:rPr>
          <w:rFonts w:ascii="宋体" w:eastAsia="宋体" w:hAnsi="宋体" w:hint="eastAsia"/>
          <w:b/>
          <w:color w:val="000000"/>
          <w:kern w:val="0"/>
          <w:sz w:val="44"/>
          <w:szCs w:val="44"/>
        </w:rPr>
        <w:t>2026年“</w:t>
      </w:r>
      <w:bookmarkStart w:id="0" w:name="_GoBack"/>
      <w:r>
        <w:rPr>
          <w:rFonts w:ascii="宋体" w:eastAsia="宋体" w:hAnsi="宋体" w:hint="eastAsia"/>
          <w:b/>
          <w:color w:val="000000"/>
          <w:kern w:val="0"/>
          <w:sz w:val="44"/>
          <w:szCs w:val="44"/>
        </w:rPr>
        <w:t>双随机</w:t>
      </w:r>
      <w:bookmarkEnd w:id="0"/>
      <w:r>
        <w:rPr>
          <w:rFonts w:ascii="宋体" w:eastAsia="宋体" w:hAnsi="宋体" w:hint="eastAsia"/>
          <w:b/>
          <w:color w:val="000000"/>
          <w:kern w:val="0"/>
          <w:sz w:val="44"/>
          <w:szCs w:val="44"/>
        </w:rPr>
        <w:t>、一公开”跨部门联合抽查</w:t>
      </w:r>
    </w:p>
    <w:p>
      <w:pPr>
        <w:spacing w:line="560" w:lineRule="exact"/>
        <w:jc w:val="center"/>
        <w:rPr>
          <w:rFonts w:ascii="宋体" w:eastAsia="宋体" w:hAnsi="宋体" w:hint="eastAsia"/>
          <w:b/>
          <w:color w:val="000000"/>
          <w:kern w:val="0"/>
          <w:sz w:val="44"/>
          <w:szCs w:val="44"/>
        </w:rPr>
      </w:pPr>
      <w:r>
        <w:rPr>
          <w:rFonts w:ascii="宋体" w:eastAsia="宋体" w:hAnsi="宋体" w:hint="eastAsia"/>
          <w:b/>
          <w:color w:val="000000"/>
          <w:kern w:val="0"/>
          <w:sz w:val="44"/>
          <w:szCs w:val="44"/>
        </w:rPr>
        <w:t>方</w:t>
      </w:r>
      <w:r>
        <w:rPr>
          <w:rFonts w:ascii="宋体" w:eastAsia="宋体" w:hAnsi="宋体" w:hint="eastAsia"/>
          <w:b/>
          <w:color w:val="000000"/>
          <w:kern w:val="0"/>
          <w:sz w:val="44"/>
          <w:szCs w:val="44"/>
          <w:lang w:val="en-US" w:eastAsia="zh-CN"/>
        </w:rPr>
        <w:t xml:space="preserve">  </w:t>
      </w:r>
      <w:r>
        <w:rPr>
          <w:rFonts w:ascii="宋体" w:eastAsia="宋体" w:hAnsi="宋体" w:hint="eastAsia"/>
          <w:b/>
          <w:color w:val="000000"/>
          <w:kern w:val="0"/>
          <w:sz w:val="44"/>
          <w:szCs w:val="44"/>
        </w:rPr>
        <w:t>案</w:t>
      </w:r>
    </w:p>
    <w:p>
      <w:pPr>
        <w:spacing w:line="560" w:lineRule="exact"/>
        <w:rPr>
          <w:rFonts w:ascii="仿宋" w:eastAsia="仿宋" w:hAnsi="仿宋"/>
          <w:color w:val="000000"/>
          <w:kern w:val="0"/>
          <w:sz w:val="32"/>
          <w:szCs w:val="32"/>
        </w:rPr>
      </w:pP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为深入推进我县“双随机、一公开”监管工作持续、广泛开展，按照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eastAsia="zh-CN"/>
        </w:rPr>
        <w:t>曲阳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县“双随机</w:t>
      </w:r>
      <w:r>
        <w:rPr>
          <w:rFonts w:ascii="仿宋" w:eastAsia="仿宋" w:hAnsi="仿宋"/>
          <w:color w:val="000000"/>
          <w:kern w:val="0"/>
          <w:sz w:val="32"/>
          <w:szCs w:val="32"/>
        </w:rPr>
        <w:t>、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一公开”监管工作领导小组办公室关于印发《2026年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eastAsia="zh-CN"/>
        </w:rPr>
        <w:t>曲阳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县“双随机、一公开”监管工作实施方案》要求和《2026年度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曲阳县交通运输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局跨部门联合抽查工作计划》安排，结合我县实际，组织开展2026年度“双随机、一公开”跨部门联合抽查，将信用风险分类管理与“双随机、一公开”监管有机结合，对不同信用风险等级的主体，实施差异化抽查，现将有关事宜通知如下：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hAnsi="黑体"/>
          <w:sz w:val="36"/>
          <w:szCs w:val="36"/>
        </w:rPr>
      </w:pPr>
      <w:r>
        <w:rPr>
          <w:rFonts w:ascii="黑体" w:eastAsia="黑体" w:cs="黑体" w:hAnsi="黑体" w:hint="eastAsia"/>
          <w:sz w:val="32"/>
          <w:szCs w:val="32"/>
        </w:rPr>
        <w:t>一、时间安排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2026年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月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24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日至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月3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日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cs="黑体" w:hAnsi="黑体"/>
          <w:sz w:val="32"/>
          <w:szCs w:val="32"/>
        </w:rPr>
      </w:pPr>
      <w:r>
        <w:rPr>
          <w:rFonts w:ascii="黑体" w:eastAsia="黑体" w:cs="黑体" w:hAnsi="黑体" w:hint="eastAsia"/>
          <w:sz w:val="32"/>
          <w:szCs w:val="32"/>
        </w:rPr>
        <w:t>二、抽查对象范围及比例</w:t>
      </w:r>
    </w:p>
    <w:p>
      <w:pPr>
        <w:spacing w:line="560" w:lineRule="exact"/>
        <w:ind w:firstLineChars="200" w:firstLine="640"/>
        <w:rPr>
          <w:rFonts w:ascii="仿宋" w:eastAsia="仿宋" w:hAnsi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eastAsia="仿宋" w:hAnsi="仿宋" w:hint="eastAsia"/>
          <w:b w:val="0"/>
          <w:bCs w:val="0"/>
          <w:color w:val="000000"/>
          <w:kern w:val="0"/>
          <w:sz w:val="32"/>
          <w:szCs w:val="32"/>
        </w:rPr>
        <w:t>抽查对象：</w:t>
      </w:r>
      <w:r>
        <w:rPr>
          <w:rFonts w:ascii="仿宋" w:eastAsia="仿宋" w:hAnsi="仿宋" w:hint="eastAsia"/>
          <w:b w:val="0"/>
          <w:bCs w:val="0"/>
          <w:color w:val="000000"/>
          <w:kern w:val="0"/>
          <w:sz w:val="32"/>
          <w:szCs w:val="32"/>
          <w:lang w:val="en-US" w:eastAsia="zh-CN"/>
        </w:rPr>
        <w:t>公路工程建设单位</w:t>
      </w:r>
    </w:p>
    <w:p>
      <w:pPr>
        <w:spacing w:line="560" w:lineRule="exact"/>
        <w:ind w:firstLineChars="200" w:firstLine="640"/>
        <w:rPr>
          <w:rFonts w:ascii="仿宋" w:eastAsia="仿宋" w:hAnsi="仿宋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eastAsia="仿宋" w:hAnsi="仿宋" w:hint="eastAsia"/>
          <w:b w:val="0"/>
          <w:bCs w:val="0"/>
          <w:color w:val="000000"/>
          <w:kern w:val="0"/>
          <w:sz w:val="32"/>
          <w:szCs w:val="32"/>
        </w:rPr>
        <w:t>抽查比例：</w:t>
      </w:r>
      <w:r>
        <w:rPr>
          <w:rFonts w:ascii="仿宋" w:eastAsia="仿宋" w:hAnsi="仿宋" w:hint="eastAsia"/>
          <w:b w:val="0"/>
          <w:bCs w:val="0"/>
          <w:color w:val="000000"/>
          <w:kern w:val="0"/>
          <w:sz w:val="32"/>
          <w:szCs w:val="32"/>
          <w:lang w:val="en-US" w:eastAsia="zh-CN"/>
        </w:rPr>
        <w:t>按照企业信用风险分级3%以上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cs="黑体" w:hAnsi="黑体"/>
          <w:sz w:val="32"/>
          <w:szCs w:val="32"/>
        </w:rPr>
      </w:pPr>
      <w:r>
        <w:rPr>
          <w:rFonts w:ascii="黑体" w:eastAsia="黑体" w:cs="黑体" w:hAnsi="黑体" w:hint="eastAsia"/>
          <w:sz w:val="32"/>
          <w:szCs w:val="32"/>
        </w:rPr>
        <w:t>三、联合抽查部门和抽查检查事项</w:t>
      </w:r>
    </w:p>
    <w:p>
      <w:pPr>
        <w:spacing w:line="560" w:lineRule="exact"/>
        <w:ind w:firstLineChars="200" w:firstLine="568"/>
        <w:rPr>
          <w:rFonts w:ascii="楷体" w:eastAsia="楷体" w:cs="楷体_GB2312" w:hAnsi="楷体" w:hint="eastAsia"/>
          <w:spacing w:val="-18"/>
          <w:sz w:val="32"/>
          <w:szCs w:val="32"/>
        </w:rPr>
      </w:pPr>
      <w:r>
        <w:rPr>
          <w:rFonts w:ascii="楷体" w:eastAsia="楷体" w:cs="楷体_GB2312" w:hAnsi="楷体" w:hint="eastAsia"/>
          <w:spacing w:val="-18"/>
          <w:sz w:val="32"/>
          <w:szCs w:val="32"/>
        </w:rPr>
        <w:t>（一）</w:t>
      </w:r>
      <w:r>
        <w:rPr>
          <w:rFonts w:ascii="楷体" w:eastAsia="楷体" w:cs="楷体_GB2312" w:hAnsi="楷体" w:hint="eastAsia"/>
          <w:spacing w:val="-18"/>
          <w:sz w:val="32"/>
          <w:szCs w:val="32"/>
          <w:lang w:eastAsia="zh-CN"/>
        </w:rPr>
        <w:t>曲阳</w:t>
      </w:r>
      <w:r>
        <w:rPr>
          <w:rFonts w:ascii="楷体" w:eastAsia="楷体" w:cs="楷体_GB2312" w:hAnsi="楷体" w:hint="eastAsia"/>
          <w:spacing w:val="-18"/>
          <w:sz w:val="32"/>
          <w:szCs w:val="32"/>
        </w:rPr>
        <w:t>县</w:t>
      </w:r>
      <w:r>
        <w:rPr>
          <w:rFonts w:ascii="楷体" w:eastAsia="楷体" w:cs="楷体_GB2312" w:hAnsi="楷体" w:hint="eastAsia"/>
          <w:spacing w:val="-18"/>
          <w:sz w:val="32"/>
          <w:szCs w:val="32"/>
          <w:lang w:val="en-US" w:eastAsia="zh-CN"/>
        </w:rPr>
        <w:t>交通运输</w:t>
      </w:r>
      <w:r>
        <w:rPr>
          <w:rFonts w:ascii="楷体" w:eastAsia="楷体" w:cs="楷体_GB2312" w:hAnsi="楷体" w:hint="eastAsia"/>
          <w:spacing w:val="-18"/>
          <w:sz w:val="32"/>
          <w:szCs w:val="32"/>
        </w:rPr>
        <w:t>局抽查内容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对公路工程的监督检查</w:t>
      </w:r>
    </w:p>
    <w:p>
      <w:pPr>
        <w:spacing w:line="560" w:lineRule="exact"/>
        <w:ind w:firstLineChars="200" w:firstLine="568"/>
        <w:rPr>
          <w:rFonts w:ascii="楷体" w:eastAsia="楷体" w:cs="楷体_GB2312" w:hAnsi="楷体"/>
          <w:spacing w:val="-18"/>
          <w:sz w:val="32"/>
          <w:szCs w:val="32"/>
          <w:lang w:val="en-US" w:eastAsia="zh-CN"/>
        </w:rPr>
      </w:pPr>
      <w:r>
        <w:rPr>
          <w:rFonts w:ascii="楷体" w:eastAsia="楷体" w:cs="楷体_GB2312" w:hAnsi="楷体" w:hint="eastAsia"/>
          <w:spacing w:val="-18"/>
          <w:sz w:val="32"/>
          <w:szCs w:val="32"/>
        </w:rPr>
        <w:t>（</w:t>
      </w:r>
      <w:r>
        <w:rPr>
          <w:rFonts w:ascii="楷体" w:eastAsia="楷体" w:cs="楷体_GB2312" w:hAnsi="楷体" w:hint="eastAsia"/>
          <w:spacing w:val="-18"/>
          <w:sz w:val="32"/>
          <w:szCs w:val="32"/>
          <w:lang w:val="en-US" w:eastAsia="zh-CN"/>
        </w:rPr>
        <w:t>二</w:t>
      </w:r>
      <w:r>
        <w:rPr>
          <w:rFonts w:ascii="楷体" w:eastAsia="楷体" w:cs="楷体_GB2312" w:hAnsi="楷体" w:hint="eastAsia"/>
          <w:spacing w:val="-18"/>
          <w:sz w:val="32"/>
          <w:szCs w:val="32"/>
        </w:rPr>
        <w:t>）</w:t>
      </w:r>
      <w:r>
        <w:rPr>
          <w:rFonts w:ascii="楷体" w:eastAsia="楷体" w:cs="楷体_GB2312" w:hAnsi="楷体" w:hint="eastAsia"/>
          <w:spacing w:val="-18"/>
          <w:sz w:val="32"/>
          <w:szCs w:val="32"/>
          <w:lang w:val="en-US" w:eastAsia="zh-CN"/>
        </w:rPr>
        <w:t>曲阳县人力资源和社会保障局抽查内容</w:t>
      </w:r>
    </w:p>
    <w:p>
      <w:pPr>
        <w:spacing w:line="560" w:lineRule="exact"/>
        <w:ind w:firstLineChars="200" w:firstLine="640"/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1、对用人单位和个人遵守医疗保险法律、法规情况进行监督检查；</w:t>
      </w:r>
    </w:p>
    <w:p>
      <w:pPr>
        <w:spacing w:line="560" w:lineRule="exact"/>
        <w:ind w:firstLineChars="200" w:firstLine="640"/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2、对用人单位和个人遵守社会保险法律法规的监督检查。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cs="黑体" w:hAnsi="黑体"/>
          <w:sz w:val="32"/>
          <w:szCs w:val="32"/>
        </w:rPr>
      </w:pPr>
      <w:r>
        <w:rPr>
          <w:rFonts w:ascii="黑体" w:eastAsia="黑体" w:cs="黑体" w:hAnsi="黑体" w:hint="eastAsia"/>
          <w:sz w:val="32"/>
          <w:szCs w:val="32"/>
        </w:rPr>
        <w:t>四、抽查步骤</w:t>
        <w:tab/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（一）统一通过“河北省双随机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执法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监管工作平台”随机抽取全县抽查市场主体名单，由“河北省双随机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执法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监管工作平台”自动派发到管辖机关，由抽查部门系统管理员在两个工作日内完成比对和确认。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（二）通过“河北省双随机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执法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监管工作平台”，从执法人员名录库中随机抽取执法检查人员。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（三）被检查对象和检查人员确定后，由“河北省双随机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执法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监管工作平台”随机匹配，生成针对每个检查对象的《随机抽查联合检查记录表》，实施一次性全面现场检查。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cs="黑体" w:hAnsi="黑体"/>
          <w:sz w:val="32"/>
          <w:szCs w:val="32"/>
        </w:rPr>
      </w:pPr>
      <w:r>
        <w:rPr>
          <w:rFonts w:ascii="黑体" w:eastAsia="黑体" w:cs="黑体" w:hAnsi="黑体" w:hint="eastAsia"/>
          <w:sz w:val="32"/>
          <w:szCs w:val="32"/>
        </w:rPr>
        <w:t>五、抽查结果公示及后续处理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（一）按照“谁检查、谁录入、谁公开”的原则，检查结束录入抽查结果，并依法通过国家信用信息公示系统（河北）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eastAsia="zh-CN"/>
        </w:rPr>
        <w:t>、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政府网站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向社会公示抽查结果。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（二）按照“谁审批、谁监管，谁主管、谁监管”的原则，根据职责和管辖权限，依法做好“双随机”抽查结果后续处理，及时向有关部门移交涉嫌违法行为的案件线索。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cs="黑体" w:hAnsi="黑体"/>
          <w:sz w:val="32"/>
          <w:szCs w:val="32"/>
        </w:rPr>
      </w:pPr>
      <w:r>
        <w:rPr>
          <w:rFonts w:ascii="黑体" w:eastAsia="黑体" w:cs="黑体" w:hAnsi="黑体" w:hint="eastAsia"/>
          <w:sz w:val="32"/>
          <w:szCs w:val="32"/>
        </w:rPr>
        <w:t>六、组织实施</w:t>
      </w:r>
    </w:p>
    <w:p>
      <w:pPr>
        <w:spacing w:line="560" w:lineRule="exact"/>
        <w:ind w:firstLineChars="200" w:firstLine="568"/>
        <w:rPr>
          <w:rFonts w:ascii="楷体" w:eastAsia="楷体" w:cs="楷体_GB2312" w:hAnsi="楷体"/>
          <w:spacing w:val="-18"/>
          <w:sz w:val="32"/>
          <w:szCs w:val="32"/>
        </w:rPr>
      </w:pPr>
      <w:r>
        <w:rPr>
          <w:rFonts w:ascii="楷体" w:eastAsia="楷体" w:cs="楷体_GB2312" w:hAnsi="楷体" w:hint="eastAsia"/>
          <w:spacing w:val="-18"/>
          <w:sz w:val="32"/>
          <w:szCs w:val="32"/>
        </w:rPr>
        <w:t>（一）任务分工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 xml:space="preserve"> 1、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曲阳县交通运输局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作为此次抽查的发起部门负责沟通、协调、组织此次跨部门“双随机、一公开”联合抽查工作，实现多部门联合“双随机”抽查的全覆盖，各相关部门要按照统一安排、统一部署，抓好落实。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2、各相关部门具体实施跨部门“双随机、一公开”联合抽查工作。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3、随机抽取执法人员，无法独立完成专业抽查事项的，由执法检查人员所在单位选派专业人员协助指导完成抽查工作。</w:t>
      </w:r>
    </w:p>
    <w:p>
      <w:pPr>
        <w:spacing w:line="560" w:lineRule="exact"/>
        <w:ind w:firstLineChars="200" w:firstLine="568"/>
        <w:rPr>
          <w:rFonts w:ascii="楷体" w:eastAsia="楷体" w:cs="楷体_GB2312" w:hAnsi="楷体"/>
          <w:spacing w:val="-18"/>
          <w:sz w:val="32"/>
          <w:szCs w:val="32"/>
        </w:rPr>
      </w:pPr>
      <w:r>
        <w:rPr>
          <w:rFonts w:ascii="楷体" w:eastAsia="楷体" w:cs="楷体_GB2312" w:hAnsi="楷体" w:hint="eastAsia"/>
          <w:spacing w:val="-18"/>
          <w:sz w:val="32"/>
          <w:szCs w:val="32"/>
        </w:rPr>
        <w:t>（二）检查方式</w:t>
      </w:r>
    </w:p>
    <w:p>
      <w:pPr>
        <w:spacing w:line="560" w:lineRule="exact"/>
        <w:ind w:firstLineChars="200" w:firstLine="64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抽查部门按照抽查内容可以采取书面检查、实地核查、网络检测等方式，也可以依法利用政府其他部门作出的检查、核查结果或者其他专业机构作出的专业结论。被检查对象实施现场检查一般采取信息比对、实地核查等方式进行。</w:t>
      </w:r>
    </w:p>
    <w:p>
      <w:pPr>
        <w:pStyle w:val="22"/>
        <w:tabs>
          <w:tab w:val="left" w:pos="813"/>
        </w:tabs>
        <w:spacing w:line="560" w:lineRule="exact"/>
        <w:rPr>
          <w:rFonts w:ascii="黑体" w:eastAsia="黑体" w:cs="黑体" w:hAnsi="黑体"/>
          <w:sz w:val="32"/>
          <w:szCs w:val="32"/>
        </w:rPr>
      </w:pPr>
      <w:r>
        <w:rPr>
          <w:rFonts w:ascii="黑体" w:eastAsia="黑体" w:cs="黑体" w:hAnsi="黑体" w:hint="eastAsia"/>
          <w:sz w:val="32"/>
          <w:szCs w:val="32"/>
        </w:rPr>
        <w:t>七、工作要求</w:t>
      </w:r>
    </w:p>
    <w:p>
      <w:pPr>
        <w:spacing w:line="560" w:lineRule="exact"/>
        <w:ind w:firstLineChars="200" w:firstLine="568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楷体" w:eastAsia="楷体" w:cs="楷体_GB2312" w:hAnsi="楷体" w:hint="eastAsia"/>
          <w:spacing w:val="-18"/>
          <w:sz w:val="32"/>
          <w:szCs w:val="32"/>
        </w:rPr>
        <w:t>（一）加强组织领导。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各有关部门要高度重视跨部门“双随机、一公开”联合抽查工作，认真细化工作要求和流程，各单位要有专人负责此项工作，按照统一安排部署、统一行动，一次性完成对抽查对象的全面检查，确保此次联合抽查工作依法、有序开展。</w:t>
      </w:r>
    </w:p>
    <w:p>
      <w:pPr>
        <w:spacing w:line="560" w:lineRule="exact"/>
        <w:ind w:firstLine="42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楷体" w:eastAsia="楷体" w:cs="楷体_GB2312" w:hAnsi="楷体" w:hint="eastAsia"/>
          <w:spacing w:val="-18"/>
          <w:sz w:val="32"/>
          <w:szCs w:val="32"/>
        </w:rPr>
        <w:t>（二）加强协调配合。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在联合抽查工作中，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曲阳县交通运输局要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切实发挥牵头作用，进一步明确目标任务和职责分工，各有关部门要按照联合抽查的工作安排，主动配合，密切协作，检查人员在监督检查工作中要廉政执法，依法行政，同时要增强服务意识，按时完成抽查任务。对联合随机抽查中发现的问题实施后续监管，防止监管脱节，促进形成企业诚信自律的社会氛围。</w:t>
      </w:r>
    </w:p>
    <w:p>
      <w:pPr>
        <w:spacing w:line="560" w:lineRule="exact"/>
        <w:ind w:firstLineChars="200" w:firstLine="640"/>
        <w:rPr>
          <w:rFonts w:ascii="仿宋" w:eastAsia="仿宋" w:hAnsi="仿宋" w:hint="eastAsia"/>
          <w:color w:val="000000"/>
          <w:kern w:val="0"/>
          <w:sz w:val="32"/>
          <w:szCs w:val="32"/>
        </w:rPr>
      </w:pPr>
    </w:p>
    <w:p>
      <w:pPr>
        <w:spacing w:line="560" w:lineRule="exact"/>
        <w:rPr>
          <w:rFonts w:ascii="仿宋" w:eastAsia="仿宋" w:hAnsi="仿宋"/>
          <w:color w:val="000000"/>
          <w:kern w:val="0"/>
          <w:sz w:val="32"/>
          <w:szCs w:val="32"/>
        </w:rPr>
      </w:pPr>
    </w:p>
    <w:p>
      <w:pPr>
        <w:spacing w:line="560" w:lineRule="exact"/>
        <w:rPr>
          <w:rFonts w:ascii="仿宋" w:eastAsia="仿宋" w:hAnsi="仿宋"/>
          <w:color w:val="000000"/>
          <w:kern w:val="0"/>
          <w:sz w:val="32"/>
          <w:szCs w:val="32"/>
        </w:rPr>
      </w:pPr>
    </w:p>
    <w:p>
      <w:pPr>
        <w:spacing w:line="560" w:lineRule="exact"/>
        <w:rPr>
          <w:rFonts w:ascii="仿宋" w:eastAsia="仿宋" w:hAnsi="仿宋"/>
          <w:color w:val="000000"/>
          <w:kern w:val="0"/>
          <w:sz w:val="32"/>
          <w:szCs w:val="32"/>
        </w:rPr>
      </w:pPr>
    </w:p>
    <w:p>
      <w:pPr>
        <w:spacing w:line="560" w:lineRule="exact"/>
        <w:rPr>
          <w:rFonts w:ascii="仿宋" w:eastAsia="仿宋" w:hAnsi="仿宋"/>
          <w:color w:val="000000"/>
          <w:kern w:val="0"/>
          <w:sz w:val="32"/>
          <w:szCs w:val="32"/>
        </w:rPr>
      </w:pPr>
    </w:p>
    <w:p>
      <w:pPr>
        <w:spacing w:line="560" w:lineRule="exact"/>
        <w:ind w:firstLineChars="1600" w:firstLine="5120"/>
        <w:rPr>
          <w:rFonts w:ascii="仿宋" w:eastAsia="仿宋" w:hAnsi="仿宋"/>
          <w:color w:val="000000"/>
          <w:kern w:val="0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曲阳县交通运输局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 xml:space="preserve">                          </w:t>
      </w:r>
    </w:p>
    <w:p>
      <w:pPr>
        <w:spacing w:line="560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 xml:space="preserve">                                 </w:t>
      </w:r>
      <w:r>
        <w:rPr>
          <w:rFonts w:ascii="仿宋" w:eastAsia="仿宋" w:hAnsi="仿宋"/>
          <w:color w:val="000000"/>
          <w:kern w:val="0"/>
          <w:sz w:val="32"/>
          <w:szCs w:val="32"/>
        </w:rPr>
        <w:t>2026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年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月</w:t>
      </w:r>
      <w:r>
        <w:rPr>
          <w:rFonts w:ascii="仿宋" w:eastAsia="仿宋" w:hAnsi="仿宋" w:hint="eastAsia"/>
          <w:color w:val="000000"/>
          <w:kern w:val="0"/>
          <w:sz w:val="32"/>
          <w:szCs w:val="32"/>
          <w:lang w:val="en-US" w:eastAsia="zh-CN"/>
        </w:rPr>
        <w:t>24</w:t>
      </w:r>
      <w:r>
        <w:rPr>
          <w:rFonts w:ascii="仿宋" w:eastAsia="仿宋" w:hAnsi="仿宋" w:hint="eastAsia"/>
          <w:color w:val="000000"/>
          <w:kern w:val="0"/>
          <w:sz w:val="32"/>
          <w:szCs w:val="32"/>
        </w:rPr>
        <w:t>日</w:t>
      </w:r>
    </w:p>
    <w:sectPr>
      <w:pgSz w:w="11906" w:h="16838"/>
      <w:pgMar w:top="2041" w:right="1531" w:bottom="2041" w:left="1531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auto"/>
    <w:pitch w:val="variable"/>
    <w:sig w:usb0="00000000" w:usb1="00000000" w:usb2="00000000" w:usb3="00000000" w:csb0="00040000" w:csb1="00000000"/>
  </w:font>
  <w:font w:name="Times New Roman">
    <w:panose1 w:val="02020603050405020304"/>
    <w:charset w:val="86"/>
    <w:family w:val="auto"/>
    <w:pitch w:val="variable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9"/>
  <w:bordersDoNotSurroundHeader w:val="0"/>
  <w:bordersDoNotSurroundFooter w:val="0"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ODRjNWE0NWUwNjc2NjYwMGNlNTEyN2JjODYwZDJkODYifQ==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IncludeSubdocsInStat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Arial"/>
        <w:lang w:val="en-US" w:eastAsia="zh-CN" w:bidi="ar-SA"/>
      </w:rPr>
    </w:rPrDefault>
    <w:pPrDefault/>
  </w:docDefaults>
  <w:style w:type="paragraph" w:default="1" w:styleId="0">
    <w:name w:val="Normal"/>
    <w:qFormat/>
    <w:autoRedefine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styleId="1">
    <w:name w:val="heading 1"/>
    <w:qFormat/>
    <w:basedOn w:val="0"/>
    <w:next w:val="0"/>
    <w:link w:val="1Char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1Char">
    <w:name w:val="heading 1 Char"/>
    <w:basedOn w:val="10"/>
    <w:link w:val="1"/>
    <w:rPr>
      <w:rFonts w:ascii="Calibri" w:eastAsia="宋体" w:cs="Times New Roman" w:hAnsi="Calibri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qFormat/>
    <w:basedOn w:val="0"/>
    <w:next w:val="0"/>
    <w:link w:val="2Char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character" w:customStyle="1" w:styleId="2Char">
    <w:name w:val="heading 2 Char"/>
    <w:basedOn w:val="10"/>
    <w:link w:val="2"/>
    <w:rPr>
      <w:rFonts w:ascii="Times New Roman" w:eastAsia="黑体" w:cs="Times New Roman" w:hAnsi="Times New Roman"/>
      <w:b/>
      <w:bCs/>
      <w:kern w:val="2"/>
      <w:sz w:val="32"/>
      <w:szCs w:val="32"/>
      <w:lang w:val="en-US" w:eastAsia="zh-CN" w:bidi="ar-SA"/>
    </w:rPr>
  </w:style>
  <w:style w:type="paragraph" w:styleId="3">
    <w:name w:val="heading 3"/>
    <w:qFormat/>
    <w:basedOn w:val="0"/>
    <w:next w:val="0"/>
    <w:link w:val="3Char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customStyle="1" w:styleId="3Char">
    <w:name w:val="heading 3 Char"/>
    <w:basedOn w:val="10"/>
    <w:link w:val="3"/>
    <w:rPr>
      <w:rFonts w:ascii="Calibri" w:eastAsia="宋体" w:cs="Times New Roman" w:hAnsi="Calibri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qFormat/>
    <w:autoRedefine/>
  </w:style>
  <w:style w:type="paragraph" w:styleId="15">
    <w:name w:val="Balloon Text"/>
    <w:qFormat/>
    <w:basedOn w:val="0"/>
    <w:autoRedefine/>
    <w:rPr>
      <w:sz w:val="18"/>
      <w:szCs w:val="18"/>
    </w:rPr>
  </w:style>
  <w:style w:type="paragraph" w:styleId="16">
    <w:name w:val="footer"/>
    <w:qFormat/>
    <w:basedOn w:val="0"/>
    <w:autoRedefine/>
    <w:pPr>
      <w:tabs>
        <w:tab w:val="center" w:pos="4153"/>
        <w:tab w:val="right" w:pos="8306"/>
      </w:tabs>
      <w:snapToGrid w:val="0"/>
      <w:jc w:val="left"/>
    </w:pPr>
    <w:rPr>
      <w:rFonts w:ascii="Calibri" w:eastAsia="宋体" w:cs="Arial" w:hAnsi="Calibri"/>
      <w:sz w:val="18"/>
      <w:szCs w:val="18"/>
    </w:rPr>
  </w:style>
  <w:style w:type="paragraph" w:styleId="17">
    <w:name w:val="header"/>
    <w:qFormat/>
    <w:basedOn w:val="0"/>
    <w:autoRedefine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cs="Arial" w:hAnsi="Calibri"/>
      <w:sz w:val="18"/>
      <w:szCs w:val="18"/>
    </w:rPr>
  </w:style>
  <w:style w:type="character" w:styleId="18">
    <w:name w:val="Strong"/>
    <w:qFormat/>
    <w:basedOn w:val="10"/>
    <w:autoRedefine/>
  </w:style>
  <w:style w:type="character" w:styleId="19">
    <w:name w:val="FollowedHyperlink"/>
    <w:qFormat/>
    <w:basedOn w:val="10"/>
    <w:autoRedefine/>
    <w:rPr>
      <w:color w:val="333333"/>
      <w:u w:val="none"/>
    </w:rPr>
  </w:style>
  <w:style w:type="character" w:styleId="20">
    <w:name w:val="Emphasis"/>
    <w:qFormat/>
    <w:basedOn w:val="10"/>
    <w:autoRedefine/>
  </w:style>
  <w:style w:type="character" w:styleId="21">
    <w:name w:val="Hyperlink"/>
    <w:qFormat/>
    <w:basedOn w:val="10"/>
    <w:autoRedefine/>
    <w:rPr>
      <w:color w:val="333333"/>
      <w:u w:val="none"/>
    </w:rPr>
  </w:style>
  <w:style w:type="paragraph" w:customStyle="1" w:yozoId="4094" w:styleId="22">
    <w:name w:val="列出段落1"/>
    <w:qFormat/>
    <w:basedOn w:val="0"/>
    <w:autoRedefine/>
    <w:pPr>
      <w:ind w:firstLineChars="200" w:firstLine="200"/>
    </w:pPr>
  </w:style>
  <w:style w:type="paragraph" w:styleId="23">
    <w:name w:val="List Paragraph"/>
    <w:qFormat/>
    <w:basedOn w:val="0"/>
    <w:autoRedefine/>
    <w:pPr>
      <w:ind w:firstLineChars="200" w:firstLine="200"/>
    </w:pPr>
  </w:style>
  <w:style w:type="character" w:customStyle="1" w:yozoId="4094" w:styleId="24">
    <w:name w:val="show"/>
    <w:qFormat/>
    <w:basedOn w:val="10"/>
    <w:autoRedefine/>
  </w:style>
  <w:style w:type="character" w:customStyle="1" w:yozoId="4094" w:styleId="25">
    <w:name w:val="show1"/>
    <w:qFormat/>
    <w:basedOn w:val="10"/>
    <w:autoRedefine/>
  </w:style>
  <w:style w:type="character" w:customStyle="1" w:yozoId="4094" w:styleId="26">
    <w:name w:val="item_open_f"/>
    <w:qFormat/>
    <w:basedOn w:val="10"/>
    <w:autoRedefine/>
    <w:rPr>
      <w:rFonts w:ascii="微软雅黑" w:eastAsia="微软雅黑" w:cs="微软雅黑" w:hAnsi="微软雅黑"/>
      <w:color w:val="2376B8"/>
      <w:sz w:val="21"/>
      <w:szCs w:val="21"/>
    </w:rPr>
  </w:style>
  <w:style w:type="character" w:customStyle="1" w:yozoId="4094" w:styleId="27">
    <w:name w:val="blf"/>
    <w:qFormat/>
    <w:basedOn w:val="10"/>
    <w:autoRedefine/>
  </w:style>
  <w:style w:type="character" w:customStyle="1" w:yozoId="4094" w:styleId="28">
    <w:name w:val="num"/>
    <w:qFormat/>
    <w:basedOn w:val="10"/>
    <w:autoRedefine/>
    <w:rPr>
      <w:rFonts w:ascii="Arial" w:cs="Arial" w:hAnsi="Arial"/>
      <w:color w:val="FFFFFF"/>
      <w:sz w:val="16"/>
      <w:szCs w:val="16"/>
    </w:rPr>
  </w:style>
  <w:style w:type="character" w:customStyle="1" w:yozoId="4094" w:styleId="29">
    <w:name w:val="red"/>
    <w:qFormat/>
    <w:basedOn w:val="10"/>
    <w:rPr>
      <w:color w:val="FF0000"/>
    </w:rPr>
  </w:style>
  <w:style w:type="character" w:customStyle="1" w:yozoId="4094" w:styleId="30">
    <w:name w:val="default"/>
    <w:qFormat/>
    <w:basedOn w:val="10"/>
  </w:style>
  <w:style w:type="character" w:customStyle="1" w:yozoId="4094" w:styleId="31">
    <w:name w:val="brt"/>
    <w:qFormat/>
    <w:basedOn w:val="10"/>
    <w:autoRedefine/>
  </w:style>
  <w:style w:type="character" w:customStyle="1" w:yozoId="4094" w:styleId="32">
    <w:name w:val="red2"/>
    <w:qFormat/>
    <w:basedOn w:val="10"/>
    <w:autoRedefine/>
    <w:rPr>
      <w:color w:val="FF0000"/>
    </w:rPr>
  </w:style>
  <w:style w:type="character" w:customStyle="1" w:yozoId="4094" w:styleId="33">
    <w:name w:val="default2"/>
    <w:qFormat/>
    <w:basedOn w:val="10"/>
    <w:autoRedefine/>
  </w:style>
  <w:style w:type="character" w:customStyle="1" w:yozoId="4094" w:styleId="34">
    <w:name w:val="show2"/>
    <w:qFormat/>
    <w:basedOn w:val="10"/>
    <w:autoRedefine/>
  </w:style>
  <w:style w:type="character" w:customStyle="1" w:yozoId="4094" w:styleId="35">
    <w:name w:val="show3"/>
    <w:qFormat/>
    <w:basedOn w:val="1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主题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1"/>
        </a:gradFill>
      </a:fillStyleLst>
      <a:lnStyleLst>
        <a:ln w="9525" cmpd="sng" cap="flat">
          <a:solidFill>
            <a:schemeClr val="phClr">
              <a:shade val="95000"/>
              <a:satMod val="105000"/>
            </a:schemeClr>
          </a:solidFill>
          <a:prstDash val="solid"/>
          <a:round/>
        </a:ln>
        <a:ln w="25400" cmpd="sng" cap="flat">
          <a:solidFill>
            <a:schemeClr val="phClr"/>
          </a:solidFill>
          <a:prstDash val="solid"/>
          <a:round/>
        </a:ln>
        <a:ln w="38100" cmpd="sng" cap="flat">
          <a:solidFill>
            <a:schemeClr val="phClr"/>
          </a:solidFill>
          <a:prstDash val="solid"/>
          <a:round/>
        </a:ln>
      </a:lnStyleLst>
      <a:effectStyleLst>
        <a:effectStyle>
          <a:effectLst>
            <a:outerShdw sx="100000" sy="100000" algn="b" rotWithShape="0" blurRad="40000" dist="20000" dir="5400000">
              <a:srgbClr val="000000">
                <a:alpha val="37647"/>
              </a:srgbClr>
            </a:outerShdw>
          </a:effectLst>
        </a:effectStyle>
        <a:effectStyle>
          <a:effectLst>
            <a:outerShdw sx="100000" sy="100000" algn="b" rotWithShape="0" blurRad="40000" dist="23000" dir="5400000">
              <a:srgbClr val="000000">
                <a:alpha val="34509"/>
              </a:srgbClr>
            </a:outerShdw>
          </a:effectLst>
        </a:effectStyle>
        <a:effectStyle>
          <a:effectLst>
            <a:outerShdw sx="100000" sy="100000" algn="b" rotWithShape="0" blurRad="40000" dist="23000" dir="5400000">
              <a:srgbClr val="000000">
                <a:alpha val="34509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50000" r="50000" b="5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26650 1 1 1 1 1"/>
    <sectPr/>
  </customProps>
</customData>
</file>

<file path=customXml/itemProps1.xml><?xml version="1.0" encoding="utf-8"?>
<ds:datastoreItem xmlns:ds="http://schemas.openxmlformats.org/officeDocument/2006/customXml" ds:itemID="{4AAC9790-04C7-4F8B-92C4-7749CD4665FD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51</TotalTime>
  <Application>WPS_Yozo_Office9.0.6759.102ZH.HE01</Application>
  <Pages>4</Pages>
  <Words>0</Words>
  <Characters>1119</Characters>
  <Lines>0</Lines>
  <Paragraphs>40</Paragraphs>
  <CharactersWithSpaces>1493</CharactersWithSpace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john</dc:creator>
  <cp:lastModifiedBy>Administrator</cp:lastModifiedBy>
  <cp:revision>24</cp:revision>
  <cp:lastPrinted>2024-06-25T02:04:00Z</cp:lastPrinted>
  <dcterms:created xsi:type="dcterms:W3CDTF">2020-08-12T02:37:00Z</dcterms:created>
  <dcterms:modified xsi:type="dcterms:W3CDTF">2026-06-30T03:42:18Z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2052-12.1.0.16729</vt:lpwstr>
  </property>
  <property fmtid="{D5CDD505-2E9C-101B-9397-08002B2CF9AE}" pid="3" name="ICV">
    <vt:lpwstr>2E378187649440659DD46DC636F51E5A</vt:lpwstr>
  </property>
</Properties>
</file>