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092609">
      <w:pPr>
        <w:jc w:val="center"/>
        <w:rPr>
          <w:rFonts w:hint="eastAsia" w:ascii="宋体" w:hAnsi="宋体"/>
          <w:sz w:val="48"/>
          <w:szCs w:val="48"/>
          <w:lang w:val="en-US" w:eastAsia="zh-CN"/>
        </w:rPr>
      </w:pPr>
      <w:bookmarkStart w:id="0" w:name="_GoBack"/>
      <w:bookmarkEnd w:id="0"/>
      <w:r>
        <w:rPr>
          <w:rFonts w:hint="eastAsia" w:ascii="宋体" w:hAnsi="宋体"/>
          <w:sz w:val="48"/>
          <w:szCs w:val="48"/>
          <w:lang w:val="en-US" w:eastAsia="zh-CN"/>
        </w:rPr>
        <w:t>灵山镇</w:t>
      </w:r>
      <w:r>
        <w:rPr>
          <w:rFonts w:hint="eastAsia" w:ascii="宋体" w:hAnsi="宋体" w:eastAsia="宋体"/>
          <w:sz w:val="48"/>
          <w:szCs w:val="48"/>
          <w:lang w:val="en-US" w:eastAsia="zh-CN"/>
        </w:rPr>
        <w:t>202</w:t>
      </w:r>
      <w:r>
        <w:rPr>
          <w:rFonts w:hint="eastAsia" w:ascii="宋体" w:hAnsi="宋体"/>
          <w:sz w:val="48"/>
          <w:szCs w:val="48"/>
          <w:lang w:val="en-US" w:eastAsia="zh-CN"/>
        </w:rPr>
        <w:t>6</w:t>
      </w:r>
      <w:r>
        <w:rPr>
          <w:rFonts w:hint="eastAsia" w:ascii="宋体" w:hAnsi="宋体" w:eastAsia="宋体"/>
          <w:sz w:val="48"/>
          <w:szCs w:val="48"/>
          <w:lang w:val="en-US" w:eastAsia="zh-CN"/>
        </w:rPr>
        <w:t>年</w:t>
      </w:r>
    </w:p>
    <w:p w14:paraId="21A74025">
      <w:pPr>
        <w:jc w:val="center"/>
        <w:rPr>
          <w:rFonts w:hint="eastAsia" w:ascii="宋体" w:hAnsi="宋体" w:eastAsia="宋体"/>
          <w:sz w:val="48"/>
          <w:szCs w:val="48"/>
          <w:lang w:val="en-US" w:eastAsia="zh-CN"/>
        </w:rPr>
      </w:pPr>
      <w:r>
        <w:rPr>
          <w:rFonts w:hint="eastAsia" w:ascii="宋体" w:hAnsi="宋体" w:eastAsia="宋体"/>
          <w:sz w:val="48"/>
          <w:szCs w:val="48"/>
          <w:lang w:val="en-US" w:eastAsia="zh-CN"/>
        </w:rPr>
        <w:t>涉企行政执法检查计划</w:t>
      </w:r>
    </w:p>
    <w:p w14:paraId="047729F1">
      <w:pPr>
        <w:rPr>
          <w:rFonts w:hint="eastAsia"/>
          <w:lang w:val="en-US" w:eastAsia="zh-CN"/>
        </w:rPr>
      </w:pPr>
    </w:p>
    <w:p w14:paraId="47C412E6">
      <w:pPr>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为持续优化法治化营商环境、提升行政执法质量，进一步规范公正文明执法，切实维护群众合法权益，现结合我镇工作实际，特制度2026年涉企行政执法检查计划。</w:t>
      </w:r>
    </w:p>
    <w:p w14:paraId="3326F893">
      <w:pPr>
        <w:numPr>
          <w:ilvl w:val="0"/>
          <w:numId w:val="0"/>
        </w:numPr>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一、执法主体</w:t>
      </w:r>
    </w:p>
    <w:p w14:paraId="44A9827A">
      <w:pPr>
        <w:numPr>
          <w:ilvl w:val="0"/>
          <w:numId w:val="1"/>
        </w:numPr>
        <w:ind w:left="640" w:leftChars="0" w:firstLine="0" w:firstLineChars="0"/>
        <w:rPr>
          <w:rFonts w:hint="eastAsia" w:ascii="仿宋" w:hAnsi="仿宋" w:eastAsia="仿宋"/>
          <w:sz w:val="32"/>
          <w:szCs w:val="32"/>
          <w:lang w:val="en-US" w:eastAsia="zh-CN"/>
        </w:rPr>
      </w:pPr>
      <w:r>
        <w:rPr>
          <w:rFonts w:hint="eastAsia" w:ascii="仿宋" w:hAnsi="仿宋" w:eastAsia="仿宋"/>
          <w:sz w:val="32"/>
          <w:szCs w:val="32"/>
          <w:lang w:val="en-US" w:eastAsia="zh-CN"/>
        </w:rPr>
        <w:t>执法机关：灵山镇人民政府</w:t>
      </w:r>
    </w:p>
    <w:p w14:paraId="1E5523A1">
      <w:pPr>
        <w:numPr>
          <w:ilvl w:val="0"/>
          <w:numId w:val="1"/>
        </w:numPr>
        <w:ind w:left="640" w:leftChars="0" w:firstLine="0" w:firstLineChars="0"/>
        <w:rPr>
          <w:rFonts w:hint="eastAsia" w:ascii="仿宋" w:hAnsi="仿宋" w:eastAsia="仿宋"/>
          <w:sz w:val="32"/>
          <w:szCs w:val="32"/>
          <w:lang w:val="en-US" w:eastAsia="zh-CN"/>
        </w:rPr>
      </w:pPr>
      <w:r>
        <w:rPr>
          <w:rFonts w:hint="eastAsia" w:ascii="仿宋" w:hAnsi="仿宋" w:eastAsia="仿宋"/>
          <w:sz w:val="32"/>
          <w:szCs w:val="32"/>
          <w:lang w:val="en-US" w:eastAsia="zh-CN"/>
        </w:rPr>
        <w:t>实施机构：灵山镇综合行政执法大队</w:t>
      </w:r>
    </w:p>
    <w:p w14:paraId="1E95D127">
      <w:pPr>
        <w:numPr>
          <w:ilvl w:val="0"/>
          <w:numId w:val="0"/>
        </w:numPr>
        <w:ind w:leftChars="200" w:firstLine="320" w:firstLineChars="100"/>
        <w:rPr>
          <w:rFonts w:hint="eastAsia" w:ascii="仿宋" w:hAnsi="仿宋" w:eastAsia="仿宋"/>
          <w:sz w:val="32"/>
          <w:szCs w:val="32"/>
          <w:lang w:val="en-US" w:eastAsia="zh-CN"/>
        </w:rPr>
      </w:pPr>
      <w:r>
        <w:rPr>
          <w:rFonts w:hint="eastAsia" w:ascii="仿宋" w:hAnsi="仿宋" w:eastAsia="仿宋"/>
          <w:sz w:val="32"/>
          <w:szCs w:val="32"/>
          <w:lang w:val="en-US" w:eastAsia="zh-CN"/>
        </w:rPr>
        <w:t>二、检查依据</w:t>
      </w:r>
    </w:p>
    <w:p w14:paraId="2BC3ADF5">
      <w:pPr>
        <w:numPr>
          <w:ilvl w:val="0"/>
          <w:numId w:val="0"/>
        </w:numPr>
        <w:ind w:firstLine="640" w:firstLineChars="200"/>
        <w:rPr>
          <w:rFonts w:hint="eastAsia" w:ascii="仿宋" w:hAnsi="仿宋" w:eastAsia="仿宋"/>
          <w:color w:val="000000"/>
          <w:sz w:val="32"/>
          <w:szCs w:val="32"/>
        </w:rPr>
      </w:pPr>
      <w:r>
        <w:rPr>
          <w:rFonts w:hint="eastAsia" w:ascii="仿宋" w:hAnsi="仿宋" w:eastAsia="仿宋"/>
          <w:color w:val="000000"/>
          <w:sz w:val="32"/>
          <w:szCs w:val="32"/>
        </w:rPr>
        <w:t>《</w:t>
      </w:r>
      <w:r>
        <w:rPr>
          <w:rFonts w:hint="eastAsia" w:ascii="仿宋" w:hAnsi="仿宋" w:eastAsia="仿宋"/>
          <w:color w:val="000000"/>
          <w:sz w:val="32"/>
          <w:szCs w:val="32"/>
          <w:lang w:val="en-US" w:eastAsia="zh-CN"/>
        </w:rPr>
        <w:t>中华人民共和国行政处罚法</w:t>
      </w:r>
      <w:r>
        <w:rPr>
          <w:rFonts w:hint="eastAsia" w:ascii="仿宋" w:hAnsi="仿宋" w:eastAsia="仿宋"/>
          <w:color w:val="000000"/>
          <w:sz w:val="32"/>
          <w:szCs w:val="32"/>
        </w:rPr>
        <w:t>》</w:t>
      </w:r>
      <w:r>
        <w:rPr>
          <w:rFonts w:hint="eastAsia" w:ascii="仿宋" w:hAnsi="仿宋" w:eastAsia="仿宋"/>
          <w:color w:val="000000"/>
          <w:sz w:val="32"/>
          <w:szCs w:val="32"/>
          <w:lang w:eastAsia="zh-CN"/>
        </w:rPr>
        <w:t>、</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河北省城市市容和环境卫生条例</w:t>
      </w:r>
      <w:r>
        <w:rPr>
          <w:rFonts w:hint="eastAsia" w:ascii="仿宋" w:hAnsi="仿宋" w:eastAsia="仿宋"/>
          <w:color w:val="000000"/>
          <w:sz w:val="32"/>
          <w:szCs w:val="32"/>
        </w:rPr>
        <w:t>》</w:t>
      </w: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中华人民共和国大气污染防治法》、《河北省大气污染防治条例》、</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河北省人民代表大会常务委员会关于促进农作物秸秆综合利用和禁止露天焚烧的决定</w:t>
      </w:r>
      <w:r>
        <w:rPr>
          <w:rFonts w:hint="eastAsia" w:ascii="仿宋" w:hAnsi="仿宋" w:eastAsia="仿宋"/>
          <w:color w:val="000000"/>
          <w:sz w:val="32"/>
          <w:szCs w:val="32"/>
        </w:rPr>
        <w:t>》</w:t>
      </w:r>
      <w:r>
        <w:rPr>
          <w:rFonts w:hint="eastAsia" w:ascii="仿宋" w:hAnsi="仿宋" w:eastAsia="仿宋"/>
          <w:color w:val="000000"/>
          <w:sz w:val="32"/>
          <w:szCs w:val="32"/>
          <w:lang w:eastAsia="zh-CN"/>
        </w:rPr>
        <w:t>、</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河北省清真食品管理条例</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及其他涉及行政执法内容的法律法规。</w:t>
      </w:r>
    </w:p>
    <w:p w14:paraId="10DEF1F8">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三、检查对象</w:t>
      </w:r>
    </w:p>
    <w:p w14:paraId="077696AA">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辖区内所有农业合作社、家庭农场；从事车辆清洗、维修经营活动的个体工商户；生产、经营清真食品的个体工商户。</w:t>
      </w:r>
    </w:p>
    <w:p w14:paraId="1F8A3EE7">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四、检查时间、频次</w:t>
      </w:r>
    </w:p>
    <w:p w14:paraId="11179984">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我镇综合行政执法对辖区内农业合作社、家庭农场每半年进行一次执法检查，对从事车辆清洗、维修经营活动的个体工商户每半年进行一次执法检查，对生产、经营清真食品的个体工商户每半年进行一次执法检查，以不干扰企业正常生产运行为前提，具体可根据企业实际灵活确定检查时间。</w:t>
      </w:r>
    </w:p>
    <w:p w14:paraId="4150AB8C">
      <w:pPr>
        <w:numPr>
          <w:ilvl w:val="0"/>
          <w:numId w:val="2"/>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检查方式</w:t>
      </w:r>
    </w:p>
    <w:p w14:paraId="0846B60B">
      <w:pPr>
        <w:numPr>
          <w:ilvl w:val="0"/>
          <w:numId w:val="0"/>
        </w:numPr>
        <w:ind w:firstLine="64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采取电话访问与实地检查相结合的方式进行督导检查，确保行政执法检查取得实效。</w:t>
      </w:r>
    </w:p>
    <w:p w14:paraId="33F4AD3E">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六、检查任务</w:t>
      </w:r>
    </w:p>
    <w:p w14:paraId="0794321F">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1、检查农业合作社、家庭农场是否未妥善采取综合利用措施，对农产品采收后的秸秆及树叶、荒草予以妥善处理，是否露天焚烧；</w:t>
      </w:r>
    </w:p>
    <w:p w14:paraId="43A0CEE6">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2、检查从事车辆清洗、维修经营活动，是否在室内进行，是否占用道路、绿地、公共场所等；</w:t>
      </w:r>
    </w:p>
    <w:p w14:paraId="552A1DC7">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3、检查生产、经营清真食品企业是否按照要求进行生产、经营活动。</w:t>
      </w:r>
    </w:p>
    <w:p w14:paraId="12185686">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七、检查标准</w:t>
      </w:r>
    </w:p>
    <w:p w14:paraId="5AF24E15">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1、合法性：行政执法检查必须依法进行，检查依据必须是已经公布的法律法规，确保检查行为本身不违反法律规定。</w:t>
      </w:r>
    </w:p>
    <w:p w14:paraId="2DEF6A9E">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2、公正性：检查过程应当公正无私，避免任何可能影响检查结果公正性的因素。检查结果应当及时公开，接受社会监督。</w:t>
      </w:r>
    </w:p>
    <w:p w14:paraId="195D9492">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3、透明性：行政执法检查的过程和结果应当公开透明，检查机关应当定期公布检查结果，接受公众查询和监督。</w:t>
      </w:r>
    </w:p>
    <w:p w14:paraId="2F276552">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4、效率性：检查应当高效进行，避免不必要的繁琐程序，确保检查活动对被检查对象的影响降到最低。</w:t>
      </w:r>
    </w:p>
    <w:p w14:paraId="49E17BA7">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5、责任性：检查机关应当对检查结果负责，对于检查中发现的问题需要依法进行处理，并对处理结果进行公开。</w:t>
      </w:r>
    </w:p>
    <w:p w14:paraId="20029DA8">
      <w:pPr>
        <w:numPr>
          <w:ilvl w:val="0"/>
          <w:numId w:val="0"/>
        </w:numPr>
        <w:ind w:firstLine="640" w:firstLineChars="200"/>
        <w:rPr>
          <w:rFonts w:hint="eastAsia" w:ascii="仿宋" w:hAnsi="仿宋" w:eastAsia="仿宋"/>
          <w:color w:val="000000"/>
          <w:sz w:val="32"/>
          <w:szCs w:val="32"/>
          <w:lang w:val="en-US" w:eastAsia="zh-CN"/>
        </w:rPr>
      </w:pPr>
    </w:p>
    <w:p w14:paraId="1014E539">
      <w:pPr>
        <w:numPr>
          <w:ilvl w:val="0"/>
          <w:numId w:val="0"/>
        </w:numPr>
        <w:ind w:firstLine="640" w:firstLineChars="200"/>
        <w:rPr>
          <w:rFonts w:hint="eastAsia" w:ascii="仿宋" w:hAnsi="仿宋" w:eastAsia="仿宋"/>
          <w:color w:val="000000"/>
          <w:sz w:val="32"/>
          <w:szCs w:val="32"/>
          <w:lang w:val="en-US" w:eastAsia="zh-CN"/>
        </w:rPr>
      </w:pPr>
    </w:p>
    <w:p w14:paraId="4E2FB518">
      <w:pPr>
        <w:numPr>
          <w:ilvl w:val="0"/>
          <w:numId w:val="0"/>
        </w:numPr>
        <w:ind w:firstLine="640" w:firstLineChars="200"/>
        <w:rPr>
          <w:rFonts w:hint="eastAsia" w:ascii="仿宋" w:hAnsi="仿宋" w:eastAsia="仿宋"/>
          <w:color w:val="000000"/>
          <w:sz w:val="32"/>
          <w:szCs w:val="32"/>
          <w:lang w:val="en-US" w:eastAsia="zh-CN"/>
        </w:rPr>
      </w:pPr>
    </w:p>
    <w:p w14:paraId="283AFF25">
      <w:pPr>
        <w:numPr>
          <w:ilvl w:val="0"/>
          <w:numId w:val="0"/>
        </w:numPr>
        <w:rPr>
          <w:rFonts w:hint="eastAsia" w:ascii="仿宋" w:hAnsi="仿宋" w:eastAsia="仿宋"/>
          <w:color w:val="000000"/>
          <w:sz w:val="32"/>
          <w:szCs w:val="32"/>
          <w:lang w:val="en-US" w:eastAsia="zh-CN"/>
        </w:rPr>
      </w:pPr>
    </w:p>
    <w:p w14:paraId="2508A331">
      <w:pPr>
        <w:numPr>
          <w:ilvl w:val="0"/>
          <w:numId w:val="0"/>
        </w:numPr>
        <w:ind w:firstLine="640" w:firstLineChars="200"/>
        <w:rPr>
          <w:rFonts w:hint="eastAsia" w:ascii="仿宋" w:hAnsi="仿宋" w:eastAsia="仿宋"/>
          <w:color w:val="000000"/>
          <w:sz w:val="32"/>
          <w:szCs w:val="32"/>
          <w:lang w:val="en-US" w:eastAsia="zh-CN"/>
        </w:rPr>
      </w:pPr>
    </w:p>
    <w:p w14:paraId="77DEE983">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灵山镇人民政府</w:t>
      </w:r>
    </w:p>
    <w:p w14:paraId="08E78608">
      <w:pPr>
        <w:numPr>
          <w:ilvl w:val="0"/>
          <w:numId w:val="0"/>
        </w:numPr>
        <w:ind w:left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w:t>
      </w:r>
    </w:p>
    <w:p w14:paraId="74466D6C">
      <w:pPr>
        <w:numPr>
          <w:ilvl w:val="0"/>
          <w:numId w:val="0"/>
        </w:numPr>
        <w:ind w:left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w:t>
      </w:r>
    </w:p>
    <w:p w14:paraId="33C0CD08">
      <w:pPr>
        <w:rPr>
          <w:rFonts w:ascii="仿宋" w:hAnsi="仿宋" w:eastAsia="仿宋"/>
          <w:sz w:val="32"/>
          <w:szCs w:val="32"/>
          <w:lang w:val="en-US" w:eastAsia="zh-CN"/>
        </w:rPr>
      </w:pPr>
    </w:p>
    <w:p w14:paraId="03B6ED5A"/>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F7F72">
    <w:pPr>
      <w:pStyle w:val="4"/>
      <w:tabs>
        <w:tab w:val="clear" w:pos="4153"/>
        <w:tab w:val="clear" w:pos="8306"/>
      </w:tabs>
      <w:rPr>
        <w:rFonts w:hint="eastAsia"/>
        <w:lang w:val="en-US" w:eastAsia="zh-CN"/>
      </w:rPr>
    </w:pPr>
    <w:r>
      <w:rPr>
        <w:rFonts w:hint="eastAsia"/>
        <w:lang w:val="en-US" w:eastAsia="zh-CN"/>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D7CC47"/>
    <w:multiLevelType w:val="singleLevel"/>
    <w:tmpl w:val="E0D7CC47"/>
    <w:lvl w:ilvl="0" w:tentative="0">
      <w:start w:val="5"/>
      <w:numFmt w:val="chineseCounting"/>
      <w:suff w:val="nothing"/>
      <w:lvlText w:val="%1、"/>
      <w:lvlJc w:val="left"/>
      <w:rPr>
        <w:rFonts w:hint="eastAsia"/>
      </w:rPr>
    </w:lvl>
  </w:abstractNum>
  <w:abstractNum w:abstractNumId="1">
    <w:nsid w:val="6C706C75"/>
    <w:multiLevelType w:val="singleLevel"/>
    <w:tmpl w:val="6C706C75"/>
    <w:lvl w:ilvl="0" w:tentative="0">
      <w:start w:val="1"/>
      <w:numFmt w:val="decimal"/>
      <w:suff w:val="nothing"/>
      <w:lvlText w:val="%1、"/>
      <w:lvlJc w:val="left"/>
      <w:pPr>
        <w:ind w:left="64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fullPage" w:percent="7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D1165B"/>
    <w:rsid w:val="0D897CA0"/>
    <w:rsid w:val="75D116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页脚1"/>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897</Words>
  <Characters>903</Characters>
  <Lines>0</Lines>
  <Paragraphs>0</Paragraphs>
  <TotalTime>0</TotalTime>
  <ScaleCrop>false</ScaleCrop>
  <LinksUpToDate>false</LinksUpToDate>
  <CharactersWithSpaces>937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2026-04-30T08:20:00Z</dcterms:created>
  <dc:creator>断弦</dc:creator>
  <cp:lastModifiedBy>简</cp:lastModifiedBy>
  <dcterms:modified xsi:type="dcterms:W3CDTF">2026-05-07T01:36:46Z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2D90DCB0C54B40F990015ED91208158C_11</vt:lpwstr>
  </property>
  <property fmtid="{D5CDD505-2E9C-101B-9397-08002B2CF9AE}" pid="4" name="KSOTemplateDocerSaveRecord">
    <vt:lpwstr>eyJoZGlkIjoiYzhiY2IxZmE2YzU1YjE1MzQ4NmQ0M2U0Y2NkOTEyYzkiLCJ1c2VySWQiOiI1ODY5NTU3NDcifQ==</vt:lpwstr>
  </property>
</Properties>
</file>