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092609">
      <w:pPr>
        <w:jc w:val="center"/>
        <w:rPr>
          <w:rFonts w:hint="eastAsia" w:ascii="宋体" w:hAnsi="宋体"/>
          <w:sz w:val="48"/>
          <w:szCs w:val="48"/>
          <w:lang w:val="en-US" w:eastAsia="zh-CN"/>
        </w:rPr>
      </w:pPr>
      <w:r>
        <w:rPr>
          <w:rFonts w:hint="eastAsia" w:ascii="宋体" w:hAnsi="宋体"/>
          <w:sz w:val="48"/>
          <w:szCs w:val="48"/>
          <w:lang w:val="en-US" w:eastAsia="zh-CN"/>
        </w:rPr>
        <w:t>恒州镇</w:t>
      </w:r>
      <w:r>
        <w:rPr>
          <w:rFonts w:hint="eastAsia" w:ascii="宋体" w:hAnsi="宋体" w:eastAsia="宋体"/>
          <w:sz w:val="48"/>
          <w:szCs w:val="48"/>
          <w:lang w:val="en-US" w:eastAsia="zh-CN"/>
        </w:rPr>
        <w:t>202</w:t>
      </w:r>
      <w:r>
        <w:rPr>
          <w:rFonts w:hint="eastAsia" w:ascii="宋体" w:hAnsi="宋体"/>
          <w:sz w:val="48"/>
          <w:szCs w:val="48"/>
          <w:lang w:val="en-US" w:eastAsia="zh-CN"/>
        </w:rPr>
        <w:t>6</w:t>
      </w:r>
      <w:r>
        <w:rPr>
          <w:rFonts w:hint="eastAsia" w:ascii="宋体" w:hAnsi="宋体" w:eastAsia="宋体"/>
          <w:sz w:val="48"/>
          <w:szCs w:val="48"/>
          <w:lang w:val="en-US" w:eastAsia="zh-CN"/>
        </w:rPr>
        <w:t>年</w:t>
      </w:r>
    </w:p>
    <w:p w14:paraId="21A74025">
      <w:pPr>
        <w:jc w:val="center"/>
        <w:rPr>
          <w:rFonts w:hint="eastAsia" w:ascii="宋体" w:hAnsi="宋体" w:eastAsia="宋体"/>
          <w:sz w:val="48"/>
          <w:szCs w:val="48"/>
          <w:lang w:val="en-US" w:eastAsia="zh-CN"/>
        </w:rPr>
      </w:pPr>
      <w:r>
        <w:rPr>
          <w:rFonts w:hint="eastAsia" w:ascii="宋体" w:hAnsi="宋体" w:eastAsia="宋体"/>
          <w:sz w:val="48"/>
          <w:szCs w:val="48"/>
          <w:lang w:val="en-US" w:eastAsia="zh-CN"/>
        </w:rPr>
        <w:t>涉企行政执法检查计划</w:t>
      </w:r>
    </w:p>
    <w:p w14:paraId="047729F1">
      <w:pPr>
        <w:rPr>
          <w:rFonts w:hint="eastAsia"/>
          <w:lang w:val="en-US" w:eastAsia="zh-CN"/>
        </w:rPr>
      </w:pPr>
    </w:p>
    <w:p w14:paraId="47C412E6">
      <w:pPr>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为持续优化法治化营商环境、提升行政执法质量，进一步规范公正文明执法，切实维护群众合法权益，现结合我镇工作实际，特制度2026年涉企行政执法检查计划。</w:t>
      </w:r>
    </w:p>
    <w:p w14:paraId="3326F893">
      <w:pPr>
        <w:numPr>
          <w:ilvl w:val="0"/>
          <w:numId w:val="0"/>
        </w:numPr>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一、执法主体</w:t>
      </w:r>
    </w:p>
    <w:p w14:paraId="44A9827A">
      <w:pPr>
        <w:numPr>
          <w:ilvl w:val="0"/>
          <w:numId w:val="1"/>
        </w:numPr>
        <w:ind w:left="640" w:leftChars="0" w:firstLine="0" w:firstLineChars="0"/>
        <w:rPr>
          <w:rFonts w:hint="eastAsia" w:ascii="仿宋" w:hAnsi="仿宋" w:eastAsia="仿宋"/>
          <w:sz w:val="32"/>
          <w:szCs w:val="32"/>
          <w:lang w:val="en-US" w:eastAsia="zh-CN"/>
        </w:rPr>
      </w:pPr>
      <w:r>
        <w:rPr>
          <w:rFonts w:hint="eastAsia" w:ascii="仿宋" w:hAnsi="仿宋" w:eastAsia="仿宋"/>
          <w:sz w:val="32"/>
          <w:szCs w:val="32"/>
          <w:lang w:val="en-US" w:eastAsia="zh-CN"/>
        </w:rPr>
        <w:t>执法机关：恒州镇人民政府</w:t>
      </w:r>
    </w:p>
    <w:p w14:paraId="1E5523A1">
      <w:pPr>
        <w:numPr>
          <w:ilvl w:val="0"/>
          <w:numId w:val="1"/>
        </w:numPr>
        <w:ind w:left="640" w:leftChars="0" w:firstLine="0" w:firstLineChars="0"/>
        <w:rPr>
          <w:rFonts w:hint="eastAsia" w:ascii="仿宋" w:hAnsi="仿宋" w:eastAsia="仿宋"/>
          <w:sz w:val="32"/>
          <w:szCs w:val="32"/>
          <w:lang w:val="en-US" w:eastAsia="zh-CN"/>
        </w:rPr>
      </w:pPr>
      <w:r>
        <w:rPr>
          <w:rFonts w:hint="eastAsia" w:ascii="仿宋" w:hAnsi="仿宋" w:eastAsia="仿宋"/>
          <w:sz w:val="32"/>
          <w:szCs w:val="32"/>
          <w:lang w:val="en-US" w:eastAsia="zh-CN"/>
        </w:rPr>
        <w:t>实施机构：恒州镇综合行政执法大队</w:t>
      </w:r>
    </w:p>
    <w:p w14:paraId="1E95D127">
      <w:pPr>
        <w:numPr>
          <w:ilvl w:val="0"/>
          <w:numId w:val="0"/>
        </w:numPr>
        <w:ind w:leftChars="200" w:firstLine="320" w:firstLineChars="100"/>
        <w:rPr>
          <w:rFonts w:hint="eastAsia" w:ascii="仿宋" w:hAnsi="仿宋" w:eastAsia="仿宋"/>
          <w:sz w:val="32"/>
          <w:szCs w:val="32"/>
          <w:lang w:val="en-US" w:eastAsia="zh-CN"/>
        </w:rPr>
      </w:pPr>
      <w:r>
        <w:rPr>
          <w:rFonts w:hint="eastAsia" w:ascii="仿宋" w:hAnsi="仿宋" w:eastAsia="仿宋"/>
          <w:sz w:val="32"/>
          <w:szCs w:val="32"/>
          <w:lang w:val="en-US" w:eastAsia="zh-CN"/>
        </w:rPr>
        <w:t>二、检查依据</w:t>
      </w:r>
    </w:p>
    <w:p w14:paraId="2BC3ADF5">
      <w:pPr>
        <w:numPr>
          <w:ilvl w:val="0"/>
          <w:numId w:val="0"/>
        </w:numPr>
        <w:ind w:firstLine="640" w:firstLineChars="200"/>
        <w:rPr>
          <w:rFonts w:hint="eastAsia" w:ascii="仿宋" w:hAnsi="仿宋" w:eastAsia="仿宋"/>
          <w:color w:val="000000"/>
          <w:sz w:val="32"/>
          <w:szCs w:val="32"/>
        </w:rPr>
      </w:pPr>
      <w:r>
        <w:rPr>
          <w:rFonts w:hint="eastAsia" w:ascii="仿宋" w:hAnsi="仿宋" w:eastAsia="仿宋"/>
          <w:color w:val="000000"/>
          <w:sz w:val="32"/>
          <w:szCs w:val="32"/>
        </w:rPr>
        <w:t>《</w:t>
      </w:r>
      <w:r>
        <w:rPr>
          <w:rFonts w:hint="eastAsia" w:ascii="仿宋" w:hAnsi="仿宋" w:eastAsia="仿宋"/>
          <w:color w:val="000000"/>
          <w:sz w:val="32"/>
          <w:szCs w:val="32"/>
          <w:lang w:val="en-US" w:eastAsia="zh-CN"/>
        </w:rPr>
        <w:t>中华人民共和国行政处罚法</w:t>
      </w:r>
      <w:r>
        <w:rPr>
          <w:rFonts w:hint="eastAsia" w:ascii="仿宋" w:hAnsi="仿宋" w:eastAsia="仿宋"/>
          <w:color w:val="000000"/>
          <w:sz w:val="32"/>
          <w:szCs w:val="32"/>
        </w:rPr>
        <w:t>》</w:t>
      </w:r>
      <w:r>
        <w:rPr>
          <w:rFonts w:hint="eastAsia" w:ascii="仿宋" w:hAnsi="仿宋" w:eastAsia="仿宋"/>
          <w:color w:val="000000"/>
          <w:sz w:val="32"/>
          <w:szCs w:val="32"/>
          <w:lang w:eastAsia="zh-CN"/>
        </w:rPr>
        <w:t>、</w:t>
      </w:r>
      <w:r>
        <w:rPr>
          <w:rFonts w:hint="eastAsia" w:ascii="仿宋" w:hAnsi="仿宋" w:eastAsia="仿宋"/>
          <w:color w:val="000000"/>
          <w:sz w:val="32"/>
          <w:szCs w:val="32"/>
        </w:rPr>
        <w:t>《</w:t>
      </w:r>
      <w:r>
        <w:rPr>
          <w:rFonts w:hint="eastAsia" w:ascii="仿宋" w:hAnsi="仿宋" w:eastAsia="仿宋"/>
          <w:color w:val="000000"/>
          <w:sz w:val="32"/>
          <w:szCs w:val="32"/>
          <w:lang w:val="en-US" w:eastAsia="zh-CN"/>
        </w:rPr>
        <w:t>河北省城市市容和环境卫生条例</w:t>
      </w:r>
      <w:r>
        <w:rPr>
          <w:rFonts w:hint="eastAsia" w:ascii="仿宋" w:hAnsi="仿宋" w:eastAsia="仿宋"/>
          <w:color w:val="000000"/>
          <w:sz w:val="32"/>
          <w:szCs w:val="32"/>
        </w:rPr>
        <w:t>》</w:t>
      </w:r>
      <w:r>
        <w:rPr>
          <w:rFonts w:hint="eastAsia" w:ascii="仿宋" w:hAnsi="仿宋" w:eastAsia="仿宋"/>
          <w:color w:val="000000"/>
          <w:sz w:val="32"/>
          <w:szCs w:val="32"/>
          <w:lang w:eastAsia="zh-CN"/>
        </w:rPr>
        <w:t>、《</w:t>
      </w:r>
      <w:r>
        <w:rPr>
          <w:rFonts w:hint="eastAsia" w:ascii="仿宋" w:hAnsi="仿宋" w:eastAsia="仿宋"/>
          <w:color w:val="000000"/>
          <w:sz w:val="32"/>
          <w:szCs w:val="32"/>
          <w:lang w:val="en-US" w:eastAsia="zh-CN"/>
        </w:rPr>
        <w:t>中华人民共和国大气污染防治法》、《河北省大气污染防治条例》、</w:t>
      </w:r>
      <w:r>
        <w:rPr>
          <w:rFonts w:hint="eastAsia" w:ascii="仿宋" w:hAnsi="仿宋" w:eastAsia="仿宋"/>
          <w:color w:val="000000"/>
          <w:sz w:val="32"/>
          <w:szCs w:val="32"/>
        </w:rPr>
        <w:t>《</w:t>
      </w:r>
      <w:r>
        <w:rPr>
          <w:rFonts w:hint="eastAsia" w:ascii="仿宋" w:hAnsi="仿宋" w:eastAsia="仿宋"/>
          <w:color w:val="000000"/>
          <w:sz w:val="32"/>
          <w:szCs w:val="32"/>
          <w:lang w:val="en-US" w:eastAsia="zh-CN"/>
        </w:rPr>
        <w:t>河北省人民代表大会常务委员会关于促进农作物秸秆综合利用和禁止露天焚烧的决定</w:t>
      </w:r>
      <w:r>
        <w:rPr>
          <w:rFonts w:hint="eastAsia" w:ascii="仿宋" w:hAnsi="仿宋" w:eastAsia="仿宋"/>
          <w:color w:val="000000"/>
          <w:sz w:val="32"/>
          <w:szCs w:val="32"/>
        </w:rPr>
        <w:t>》</w:t>
      </w:r>
      <w:r>
        <w:rPr>
          <w:rFonts w:hint="eastAsia" w:ascii="仿宋" w:hAnsi="仿宋" w:eastAsia="仿宋"/>
          <w:color w:val="000000"/>
          <w:sz w:val="32"/>
          <w:szCs w:val="32"/>
          <w:lang w:eastAsia="zh-CN"/>
        </w:rPr>
        <w:t>、</w:t>
      </w:r>
      <w:r>
        <w:rPr>
          <w:rFonts w:hint="eastAsia" w:ascii="仿宋" w:hAnsi="仿宋" w:eastAsia="仿宋"/>
          <w:color w:val="000000"/>
          <w:sz w:val="32"/>
          <w:szCs w:val="32"/>
        </w:rPr>
        <w:t>《</w:t>
      </w:r>
      <w:r>
        <w:rPr>
          <w:rFonts w:hint="eastAsia" w:ascii="仿宋" w:hAnsi="仿宋" w:eastAsia="仿宋"/>
          <w:color w:val="000000"/>
          <w:sz w:val="32"/>
          <w:szCs w:val="32"/>
          <w:lang w:val="en-US" w:eastAsia="zh-CN"/>
        </w:rPr>
        <w:t>河北省清真食品管理条例</w:t>
      </w:r>
      <w:r>
        <w:rPr>
          <w:rFonts w:hint="eastAsia" w:ascii="仿宋" w:hAnsi="仿宋" w:eastAsia="仿宋"/>
          <w:color w:val="000000"/>
          <w:sz w:val="32"/>
          <w:szCs w:val="32"/>
        </w:rPr>
        <w:t>》</w:t>
      </w:r>
      <w:r>
        <w:rPr>
          <w:rFonts w:hint="eastAsia" w:ascii="仿宋" w:hAnsi="仿宋" w:eastAsia="仿宋"/>
          <w:color w:val="000000"/>
          <w:sz w:val="32"/>
          <w:szCs w:val="32"/>
          <w:lang w:val="en-US" w:eastAsia="zh-CN"/>
        </w:rPr>
        <w:t>及其他涉及行政执法内容的法律法规。</w:t>
      </w:r>
    </w:p>
    <w:p w14:paraId="10DEF1F8">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三、检查对象</w:t>
      </w:r>
    </w:p>
    <w:p w14:paraId="077696AA">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辖区内所有农业合作社、家庭农场；从事车辆清洗、维修经营活动的个体工商户；生产、经营清真食品的个体工商户。</w:t>
      </w:r>
    </w:p>
    <w:p w14:paraId="1F8A3EE7">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四、检查时间、频次</w:t>
      </w:r>
    </w:p>
    <w:p w14:paraId="11179984">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我镇综合行政执法对辖区内农业合作社、家庭农场每半年进行一次执法检查，对从事车辆清洗、维修经营活动的个体工商户每半年进行一次执法检查，对生产、经营清真食品的个体工商户每半年进行一次执法检查，以不干扰企业正常生产运行为前提，具体可根据企业实际灵活确定检查时间。</w:t>
      </w:r>
    </w:p>
    <w:p w14:paraId="4150AB8C">
      <w:pPr>
        <w:numPr>
          <w:ilvl w:val="0"/>
          <w:numId w:val="2"/>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检查方式</w:t>
      </w:r>
    </w:p>
    <w:p w14:paraId="0846B60B">
      <w:pPr>
        <w:numPr>
          <w:ilvl w:val="0"/>
          <w:numId w:val="0"/>
        </w:numPr>
        <w:ind w:firstLine="64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采取电话访问与实地检查相结合的方式进行督导检查，确保行政执法检查取得实效。</w:t>
      </w:r>
    </w:p>
    <w:p w14:paraId="33F4AD3E">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六、检查任务</w:t>
      </w:r>
    </w:p>
    <w:p w14:paraId="0794321F">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1、检查农业合作社、家庭农场是否未妥善采取综合利用措施，对农产品采收后的秸秆及树叶、荒草予以妥善处理，是否露天焚烧；</w:t>
      </w:r>
    </w:p>
    <w:p w14:paraId="43A0CEE6">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2、检查从事车辆清洗、维修经营活动，是否在室内进行，是否占用道路、绿地、公共场所等；</w:t>
      </w:r>
    </w:p>
    <w:p w14:paraId="552A1DC7">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3、检查生产、经营清真食品企业是否按照要求进行生产、经营活动。</w:t>
      </w:r>
    </w:p>
    <w:p w14:paraId="12185686">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七、检查标准</w:t>
      </w:r>
    </w:p>
    <w:p w14:paraId="5AF24E15">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1、合法性：行政执法检查必须依法进行，检查依据必须是已经公布的法律法规，确保检查行为本身不违反法律规定。</w:t>
      </w:r>
    </w:p>
    <w:p w14:paraId="2DEF6A9E">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2、公正性：检查过程应当公正无私，避免任何可能影响检查结果公正性的因素。检查结果应当及时公开，接受社会监督。</w:t>
      </w:r>
    </w:p>
    <w:p w14:paraId="195D9492">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3、透明性：行政执法检查的过程和结果应当公开透明，检查机关应当定期公布检查结果，接受公众查询和监督。</w:t>
      </w:r>
    </w:p>
    <w:p w14:paraId="2F276552">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4、效率性：检查应当高效进行，避免不必要的繁琐程序，确保检查活动对被检查对象的影响降到最低。</w:t>
      </w:r>
    </w:p>
    <w:p w14:paraId="49E17BA7">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5、责任性：检查机关应当对检查结果负责，对于检查中发现的问题需要依法进行处理，并对处理结果进行公开。</w:t>
      </w:r>
    </w:p>
    <w:p w14:paraId="20029DA8">
      <w:pPr>
        <w:numPr>
          <w:ilvl w:val="0"/>
          <w:numId w:val="0"/>
        </w:numPr>
        <w:ind w:firstLine="640" w:firstLineChars="200"/>
        <w:rPr>
          <w:rFonts w:hint="eastAsia" w:ascii="仿宋" w:hAnsi="仿宋" w:eastAsia="仿宋"/>
          <w:color w:val="000000"/>
          <w:sz w:val="32"/>
          <w:szCs w:val="32"/>
          <w:lang w:val="en-US" w:eastAsia="zh-CN"/>
        </w:rPr>
      </w:pPr>
    </w:p>
    <w:p w14:paraId="1014E539">
      <w:pPr>
        <w:numPr>
          <w:ilvl w:val="0"/>
          <w:numId w:val="0"/>
        </w:numPr>
        <w:ind w:firstLine="640" w:firstLineChars="200"/>
        <w:rPr>
          <w:rFonts w:hint="eastAsia" w:ascii="仿宋" w:hAnsi="仿宋" w:eastAsia="仿宋"/>
          <w:color w:val="000000"/>
          <w:sz w:val="32"/>
          <w:szCs w:val="32"/>
          <w:lang w:val="en-US" w:eastAsia="zh-CN"/>
        </w:rPr>
      </w:pPr>
    </w:p>
    <w:p w14:paraId="4E2FB518">
      <w:pPr>
        <w:numPr>
          <w:ilvl w:val="0"/>
          <w:numId w:val="0"/>
        </w:numPr>
        <w:ind w:firstLine="640" w:firstLineChars="200"/>
        <w:rPr>
          <w:rFonts w:hint="eastAsia" w:ascii="仿宋" w:hAnsi="仿宋" w:eastAsia="仿宋"/>
          <w:color w:val="000000"/>
          <w:sz w:val="32"/>
          <w:szCs w:val="32"/>
          <w:lang w:val="en-US" w:eastAsia="zh-CN"/>
        </w:rPr>
      </w:pPr>
    </w:p>
    <w:p w14:paraId="283AFF25">
      <w:pPr>
        <w:numPr>
          <w:ilvl w:val="0"/>
          <w:numId w:val="0"/>
        </w:numPr>
        <w:rPr>
          <w:rFonts w:hint="eastAsia" w:ascii="仿宋" w:hAnsi="仿宋" w:eastAsia="仿宋"/>
          <w:color w:val="000000"/>
          <w:sz w:val="32"/>
          <w:szCs w:val="32"/>
          <w:lang w:val="en-US" w:eastAsia="zh-CN"/>
        </w:rPr>
      </w:pPr>
    </w:p>
    <w:p w14:paraId="2508A331">
      <w:pPr>
        <w:numPr>
          <w:ilvl w:val="0"/>
          <w:numId w:val="0"/>
        </w:numPr>
        <w:ind w:firstLine="640" w:firstLineChars="200"/>
        <w:rPr>
          <w:rFonts w:hint="eastAsia" w:ascii="仿宋" w:hAnsi="仿宋" w:eastAsia="仿宋"/>
          <w:color w:val="000000"/>
          <w:sz w:val="32"/>
          <w:szCs w:val="32"/>
          <w:lang w:val="en-US" w:eastAsia="zh-CN"/>
        </w:rPr>
      </w:pPr>
    </w:p>
    <w:p w14:paraId="77DEE983">
      <w:pPr>
        <w:numPr>
          <w:ilvl w:val="0"/>
          <w:numId w:val="0"/>
        </w:numPr>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 xml:space="preserve">                               恒州镇人民政府</w:t>
      </w:r>
    </w:p>
    <w:p w14:paraId="08E78608">
      <w:pPr>
        <w:numPr>
          <w:ilvl w:val="0"/>
          <w:numId w:val="0"/>
        </w:numPr>
        <w:ind w:left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 xml:space="preserve"> </w:t>
      </w:r>
    </w:p>
    <w:p w14:paraId="74466D6C">
      <w:pPr>
        <w:numPr>
          <w:ilvl w:val="0"/>
          <w:numId w:val="0"/>
        </w:numPr>
        <w:ind w:left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 xml:space="preserve">  </w:t>
      </w:r>
    </w:p>
    <w:p w14:paraId="33C0CD08">
      <w:pPr>
        <w:rPr>
          <w:rFonts w:ascii="仿宋" w:hAnsi="仿宋" w:eastAsia="仿宋"/>
          <w:sz w:val="32"/>
          <w:szCs w:val="32"/>
          <w:lang w:val="en-US" w:eastAsia="zh-CN"/>
        </w:rPr>
      </w:pPr>
    </w:p>
    <w:p w14:paraId="03B6ED5A">
      <w:bookmarkStart w:id="0" w:name="_GoBack"/>
      <w:bookmarkEnd w:id="0"/>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F7F72">
    <w:pPr>
      <w:pStyle w:val="4"/>
      <w:tabs>
        <w:tab w:val="clear" w:pos="4153"/>
        <w:tab w:val="clear" w:pos="8306"/>
      </w:tabs>
      <w:rPr>
        <w:rFonts w:hint="eastAsia"/>
        <w:lang w:val="en-US" w:eastAsia="zh-CN"/>
      </w:rPr>
    </w:pPr>
    <w:r>
      <w:rPr>
        <w:rFonts w:hint="eastAsia"/>
        <w:lang w:val="en-US" w:eastAsia="zh-CN"/>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D7CC47"/>
    <w:multiLevelType w:val="singleLevel"/>
    <w:tmpl w:val="E0D7CC47"/>
    <w:lvl w:ilvl="0" w:tentative="0">
      <w:start w:val="5"/>
      <w:numFmt w:val="chineseCounting"/>
      <w:suff w:val="nothing"/>
      <w:lvlText w:val="%1、"/>
      <w:lvlJc w:val="left"/>
      <w:rPr>
        <w:rFonts w:hint="eastAsia"/>
      </w:rPr>
    </w:lvl>
  </w:abstractNum>
  <w:abstractNum w:abstractNumId="1">
    <w:nsid w:val="6C706C75"/>
    <w:multiLevelType w:val="singleLevel"/>
    <w:tmpl w:val="6C706C75"/>
    <w:lvl w:ilvl="0" w:tentative="0">
      <w:start w:val="1"/>
      <w:numFmt w:val="decimal"/>
      <w:suff w:val="nothing"/>
      <w:lvlText w:val="%1、"/>
      <w:lvlJc w:val="left"/>
      <w:pPr>
        <w:ind w:left="64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D1165B"/>
    <w:rsid w:val="75D116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页脚1"/>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2026-04-30T08:20:00Z</dcterms:created>
  <dc:creator>断弦</dc:creator>
  <cp:lastModifiedBy>断弦</cp:lastModifiedBy>
  <dcterms:modified xsi:type="dcterms:W3CDTF">2026-04-30T08:22:02Z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2D90DCB0C54B40F990015ED91208158C_11</vt:lpwstr>
  </property>
  <property fmtid="{D5CDD505-2E9C-101B-9397-08002B2CF9AE}" pid="4" name="KSOTemplateDocerSaveRecord">
    <vt:lpwstr>eyJoZGlkIjoiODQzM2M0YzMxN2FlZjE1YWFkZjdlNjk3ZjFmOTg3ZmMiLCJ1c2VySWQiOiIyNzE4NzY2NjgifQ==</vt:lpwstr>
  </property>
</Properties>
</file>