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9EF9A5">
      <w:pPr>
        <w:jc w:val="center"/>
        <w:rPr>
          <w:rFonts w:hint="eastAsia" w:ascii="宋体" w:hAnsi="宋体" w:eastAsia="宋体" w:cs="宋体"/>
          <w:sz w:val="48"/>
          <w:szCs w:val="48"/>
          <w:lang w:val="en-US" w:eastAsia="zh-CN"/>
        </w:rPr>
      </w:pPr>
      <w:r>
        <w:rPr>
          <w:rFonts w:hint="eastAsia" w:ascii="宋体" w:hAnsi="宋体" w:cs="宋体"/>
          <w:sz w:val="48"/>
          <w:szCs w:val="48"/>
          <w:lang w:val="en-US" w:eastAsia="zh-CN"/>
        </w:rPr>
        <w:t>嘉禾镇</w:t>
      </w:r>
      <w:r>
        <w:rPr>
          <w:rFonts w:hint="eastAsia" w:ascii="宋体" w:hAnsi="宋体" w:eastAsia="宋体" w:cs="宋体"/>
          <w:sz w:val="48"/>
          <w:szCs w:val="48"/>
          <w:lang w:val="en-US" w:eastAsia="zh-CN"/>
        </w:rPr>
        <w:t>202</w:t>
      </w:r>
      <w:r>
        <w:rPr>
          <w:rFonts w:hint="eastAsia" w:ascii="宋体" w:hAnsi="宋体" w:cs="宋体"/>
          <w:sz w:val="48"/>
          <w:szCs w:val="48"/>
          <w:lang w:val="en-US" w:eastAsia="zh-CN"/>
        </w:rPr>
        <w:t>6</w:t>
      </w:r>
      <w:r>
        <w:rPr>
          <w:rFonts w:hint="eastAsia" w:ascii="宋体" w:hAnsi="宋体" w:eastAsia="宋体" w:cs="宋体"/>
          <w:sz w:val="48"/>
          <w:szCs w:val="48"/>
          <w:lang w:val="en-US" w:eastAsia="zh-CN"/>
        </w:rPr>
        <w:t>年</w:t>
      </w:r>
    </w:p>
    <w:p w14:paraId="1CA19961">
      <w:pPr>
        <w:jc w:val="center"/>
        <w:rPr>
          <w:rFonts w:hint="eastAsia" w:ascii="宋体" w:hAnsi="宋体" w:eastAsia="宋体" w:cs="宋体"/>
          <w:sz w:val="48"/>
          <w:szCs w:val="48"/>
          <w:lang w:val="en-US" w:eastAsia="zh-CN"/>
        </w:rPr>
      </w:pPr>
      <w:r>
        <w:rPr>
          <w:rFonts w:hint="eastAsia" w:ascii="宋体" w:hAnsi="宋体" w:eastAsia="宋体" w:cs="宋体"/>
          <w:sz w:val="48"/>
          <w:szCs w:val="48"/>
          <w:lang w:val="en-US" w:eastAsia="zh-CN"/>
        </w:rPr>
        <w:t>涉企行政执法检查计划</w:t>
      </w:r>
    </w:p>
    <w:p w14:paraId="0FCCEB0B">
      <w:pPr>
        <w:rPr>
          <w:rFonts w:hint="eastAsia"/>
          <w:lang w:val="en-US" w:eastAsia="zh-CN"/>
        </w:rPr>
      </w:pPr>
    </w:p>
    <w:p w14:paraId="4C3CF022">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为持续优化法治化营商环境、提升行政执法质量，进一步规范公正文明执法，切实维护群众合法权益，现结合我镇工作实际，特制度2026</w:t>
      </w:r>
      <w:bookmarkStart w:id="0" w:name="_GoBack"/>
      <w:bookmarkEnd w:id="0"/>
      <w:r>
        <w:rPr>
          <w:rFonts w:hint="eastAsia" w:ascii="仿宋" w:hAnsi="仿宋" w:eastAsia="仿宋" w:cs="仿宋"/>
          <w:sz w:val="32"/>
          <w:szCs w:val="32"/>
          <w:lang w:val="en-US" w:eastAsia="zh-CN"/>
        </w:rPr>
        <w:t>年涉企行政执法检查计划。</w:t>
      </w:r>
    </w:p>
    <w:p w14:paraId="0B375799">
      <w:pPr>
        <w:numPr>
          <w:ilvl w:val="0"/>
          <w:numId w:val="0"/>
        </w:num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一、执法主体</w:t>
      </w:r>
    </w:p>
    <w:p w14:paraId="32C88D64">
      <w:pPr>
        <w:numPr>
          <w:ilvl w:val="0"/>
          <w:numId w:val="1"/>
        </w:numPr>
        <w:ind w:left="640" w:leftChars="0" w:firstLine="0" w:firstLineChars="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执法机关：嘉禾镇人民政府</w:t>
      </w:r>
    </w:p>
    <w:p w14:paraId="22711E3A">
      <w:pPr>
        <w:numPr>
          <w:ilvl w:val="0"/>
          <w:numId w:val="1"/>
        </w:numPr>
        <w:ind w:left="640" w:leftChars="0" w:firstLine="0" w:firstLineChars="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实施机构：嘉禾镇综合行政执法大队</w:t>
      </w:r>
    </w:p>
    <w:p w14:paraId="69073B47">
      <w:pPr>
        <w:numPr>
          <w:ilvl w:val="0"/>
          <w:numId w:val="0"/>
        </w:numPr>
        <w:ind w:leftChars="200"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二、检查依据</w:t>
      </w:r>
    </w:p>
    <w:p w14:paraId="57DF3B9A">
      <w:pPr>
        <w:numPr>
          <w:ilvl w:val="0"/>
          <w:numId w:val="0"/>
        </w:numPr>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中华人民共和国行政处罚法</w:t>
      </w:r>
      <w:r>
        <w:rPr>
          <w:rFonts w:hint="eastAsia" w:ascii="仿宋" w:hAnsi="仿宋" w:eastAsia="仿宋" w:cs="仿宋"/>
          <w:color w:val="auto"/>
          <w:sz w:val="32"/>
          <w:szCs w:val="32"/>
        </w:rPr>
        <w:t>》</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河北省城市市容和环境卫生条例</w:t>
      </w:r>
      <w:r>
        <w:rPr>
          <w:rFonts w:hint="eastAsia" w:ascii="仿宋" w:hAnsi="仿宋" w:eastAsia="仿宋" w:cs="仿宋"/>
          <w:color w:val="auto"/>
          <w:sz w:val="32"/>
          <w:szCs w:val="32"/>
        </w:rPr>
        <w:t>》</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中华人民共和国大气污染防治法》、《河北省大气污染防治条例》、</w:t>
      </w: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河北省人民代表大会常务委员会关于促进农作物秸秆综合利用和禁止露天焚烧的决定</w:t>
      </w:r>
      <w:r>
        <w:rPr>
          <w:rFonts w:hint="eastAsia" w:ascii="仿宋" w:hAnsi="仿宋" w:eastAsia="仿宋" w:cs="仿宋"/>
          <w:color w:val="auto"/>
          <w:sz w:val="32"/>
          <w:szCs w:val="32"/>
        </w:rPr>
        <w:t>》</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河北省清真食品管理条例</w:t>
      </w: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及其他涉及行政执法内容的法律法规。</w:t>
      </w:r>
    </w:p>
    <w:p w14:paraId="0330A497">
      <w:pPr>
        <w:numPr>
          <w:ilvl w:val="0"/>
          <w:numId w:val="0"/>
        </w:numPr>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三、检查对象</w:t>
      </w:r>
    </w:p>
    <w:p w14:paraId="0AD8F191">
      <w:pPr>
        <w:numPr>
          <w:ilvl w:val="0"/>
          <w:numId w:val="0"/>
        </w:numPr>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辖区内所有农业合作社、家庭农场；从事车辆清洗、维修经营活动的个体工商户；生产、经营清真食品的个体工商户。</w:t>
      </w:r>
    </w:p>
    <w:p w14:paraId="34C43A42">
      <w:pPr>
        <w:numPr>
          <w:ilvl w:val="0"/>
          <w:numId w:val="0"/>
        </w:numPr>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四、检查时间、频次</w:t>
      </w:r>
    </w:p>
    <w:p w14:paraId="36B6BD1A">
      <w:pPr>
        <w:numPr>
          <w:ilvl w:val="0"/>
          <w:numId w:val="0"/>
        </w:numPr>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我镇综合行政执法对辖区内农业合作社、家庭农场每半年进行一次执法检查，对从事车辆清洗、维修经营活动的个体工商户每季度进行一次执法检查，对生产、经营清真食品的个体工商户每半年进行一次执法检查，以不干扰企业正常生产运行为前提，具体可根据企业实际灵活确定检查时间。</w:t>
      </w:r>
    </w:p>
    <w:p w14:paraId="01D558AA">
      <w:pPr>
        <w:numPr>
          <w:ilvl w:val="0"/>
          <w:numId w:val="2"/>
        </w:numPr>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检查方式</w:t>
      </w:r>
    </w:p>
    <w:p w14:paraId="473A8FD7">
      <w:pPr>
        <w:numPr>
          <w:ilvl w:val="0"/>
          <w:numId w:val="0"/>
        </w:numPr>
        <w:ind w:firstLine="64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采取电话访问与实地检查相结合的方式进行督导检查，确保行政执法检查取得实效。</w:t>
      </w:r>
    </w:p>
    <w:p w14:paraId="0CE5FB83">
      <w:pPr>
        <w:numPr>
          <w:ilvl w:val="0"/>
          <w:numId w:val="0"/>
        </w:numPr>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六、检查任务</w:t>
      </w:r>
    </w:p>
    <w:p w14:paraId="198EBEF7">
      <w:pPr>
        <w:numPr>
          <w:ilvl w:val="0"/>
          <w:numId w:val="0"/>
        </w:numPr>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1、检查农业合作社、家庭农场是否未妥善采取综合利用措施，对农产品采收后的秸秆及树叶、荒草予以妥善处理，是否露天焚烧；</w:t>
      </w:r>
    </w:p>
    <w:p w14:paraId="678EA92E">
      <w:pPr>
        <w:numPr>
          <w:ilvl w:val="0"/>
          <w:numId w:val="0"/>
        </w:numPr>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2、检查从事车辆清洗、维修经营活动，是否在室内进行，是否占用道路、绿地、公共场所等；</w:t>
      </w:r>
    </w:p>
    <w:p w14:paraId="794FBBD4">
      <w:pPr>
        <w:numPr>
          <w:ilvl w:val="0"/>
          <w:numId w:val="0"/>
        </w:numPr>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3、检查生产、经营清真食品企业是否按照要求进行生产、经营活动。</w:t>
      </w:r>
    </w:p>
    <w:p w14:paraId="187D7C88">
      <w:pPr>
        <w:numPr>
          <w:ilvl w:val="0"/>
          <w:numId w:val="0"/>
        </w:numPr>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七、检查标准</w:t>
      </w:r>
    </w:p>
    <w:p w14:paraId="387AB260">
      <w:pPr>
        <w:numPr>
          <w:ilvl w:val="0"/>
          <w:numId w:val="0"/>
        </w:numPr>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1、合法性：行政执法检查必须依法进行，检查依据必须是已经公布的法律法规，确保检查行为本身不违反法律规定。</w:t>
      </w:r>
    </w:p>
    <w:p w14:paraId="0D421179">
      <w:pPr>
        <w:numPr>
          <w:ilvl w:val="0"/>
          <w:numId w:val="0"/>
        </w:numPr>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2、公正性：检查过程应当公正无私，避免任何可能影响检查结果公正性的因素。检查结果应当及时公开，接受社会监督。</w:t>
      </w:r>
    </w:p>
    <w:p w14:paraId="4AEC4C6C">
      <w:pPr>
        <w:numPr>
          <w:ilvl w:val="0"/>
          <w:numId w:val="0"/>
        </w:numPr>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3、透明性：行政执法检查的过程和结果应当公开透明，检查机关应当定期公布检查结果，接受公众查询和监督。</w:t>
      </w:r>
    </w:p>
    <w:p w14:paraId="01C54A29">
      <w:pPr>
        <w:numPr>
          <w:ilvl w:val="0"/>
          <w:numId w:val="0"/>
        </w:numPr>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4、效率性：检查应当高效进行，避免不必要的繁琐程序，确保检查活动对被检查对象的影响降到最低。</w:t>
      </w:r>
    </w:p>
    <w:p w14:paraId="0489D16E">
      <w:pPr>
        <w:numPr>
          <w:ilvl w:val="0"/>
          <w:numId w:val="0"/>
        </w:numPr>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5、责任性：检查机关应当对检查结果负责，对于检查中发现的问题需要依法进行处理，并对处理结果进行公开。</w:t>
      </w:r>
    </w:p>
    <w:p w14:paraId="4C61FAEA">
      <w:pPr>
        <w:numPr>
          <w:ilvl w:val="0"/>
          <w:numId w:val="0"/>
        </w:numPr>
        <w:ind w:firstLine="640" w:firstLineChars="200"/>
        <w:rPr>
          <w:rFonts w:hint="eastAsia" w:ascii="仿宋" w:hAnsi="仿宋" w:eastAsia="仿宋" w:cs="仿宋"/>
          <w:color w:val="auto"/>
          <w:sz w:val="32"/>
          <w:szCs w:val="32"/>
          <w:lang w:val="en-US" w:eastAsia="zh-CN"/>
        </w:rPr>
      </w:pPr>
    </w:p>
    <w:p w14:paraId="008746EF">
      <w:pPr>
        <w:numPr>
          <w:ilvl w:val="0"/>
          <w:numId w:val="0"/>
        </w:numPr>
        <w:ind w:firstLine="640" w:firstLineChars="200"/>
        <w:rPr>
          <w:rFonts w:hint="eastAsia" w:ascii="仿宋" w:hAnsi="仿宋" w:eastAsia="仿宋" w:cs="仿宋"/>
          <w:color w:val="auto"/>
          <w:sz w:val="32"/>
          <w:szCs w:val="32"/>
          <w:lang w:val="en-US" w:eastAsia="zh-CN"/>
        </w:rPr>
      </w:pPr>
    </w:p>
    <w:p w14:paraId="753CA4CE">
      <w:pPr>
        <w:numPr>
          <w:ilvl w:val="0"/>
          <w:numId w:val="0"/>
        </w:numPr>
        <w:ind w:firstLine="640" w:firstLineChars="200"/>
        <w:rPr>
          <w:rFonts w:hint="eastAsia" w:ascii="仿宋" w:hAnsi="仿宋" w:eastAsia="仿宋" w:cs="仿宋"/>
          <w:color w:val="auto"/>
          <w:sz w:val="32"/>
          <w:szCs w:val="32"/>
          <w:lang w:val="en-US" w:eastAsia="zh-CN"/>
        </w:rPr>
      </w:pPr>
    </w:p>
    <w:p w14:paraId="60C2CBCB">
      <w:pPr>
        <w:numPr>
          <w:ilvl w:val="0"/>
          <w:numId w:val="0"/>
        </w:numPr>
        <w:rPr>
          <w:rFonts w:hint="eastAsia" w:ascii="仿宋" w:hAnsi="仿宋" w:eastAsia="仿宋" w:cs="仿宋"/>
          <w:color w:val="auto"/>
          <w:sz w:val="32"/>
          <w:szCs w:val="32"/>
          <w:lang w:val="en-US" w:eastAsia="zh-CN"/>
        </w:rPr>
      </w:pPr>
    </w:p>
    <w:p w14:paraId="34A93B9C">
      <w:pPr>
        <w:numPr>
          <w:ilvl w:val="0"/>
          <w:numId w:val="0"/>
        </w:numPr>
        <w:ind w:firstLine="640" w:firstLineChars="200"/>
        <w:rPr>
          <w:rFonts w:hint="eastAsia" w:ascii="仿宋" w:hAnsi="仿宋" w:eastAsia="仿宋" w:cs="仿宋"/>
          <w:color w:val="auto"/>
          <w:sz w:val="32"/>
          <w:szCs w:val="32"/>
          <w:lang w:val="en-US" w:eastAsia="zh-CN"/>
        </w:rPr>
      </w:pPr>
    </w:p>
    <w:p w14:paraId="42AF8162">
      <w:pPr>
        <w:numPr>
          <w:ilvl w:val="0"/>
          <w:numId w:val="0"/>
        </w:numPr>
        <w:ind w:firstLine="640" w:firstLineChars="200"/>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 xml:space="preserve">                               嘉禾镇人民政府</w:t>
      </w:r>
    </w:p>
    <w:p w14:paraId="21311D80">
      <w:pPr>
        <w:numPr>
          <w:ilvl w:val="0"/>
          <w:numId w:val="0"/>
        </w:numPr>
        <w:ind w:leftChars="200"/>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 xml:space="preserve"> </w:t>
      </w:r>
    </w:p>
    <w:p w14:paraId="2D789838">
      <w:pPr>
        <w:numPr>
          <w:ilvl w:val="0"/>
          <w:numId w:val="0"/>
        </w:numPr>
        <w:ind w:leftChars="200"/>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 xml:space="preserve">  </w:t>
      </w:r>
    </w:p>
    <w:p w14:paraId="53280B50">
      <w:pPr>
        <w:rPr>
          <w:rFonts w:hint="default" w:ascii="仿宋" w:hAnsi="仿宋" w:eastAsia="仿宋" w:cs="仿宋"/>
          <w:sz w:val="32"/>
          <w:szCs w:val="32"/>
          <w:lang w:val="en-US" w:eastAsia="zh-CN"/>
        </w:rPr>
      </w:pPr>
    </w:p>
    <w:p w14:paraId="4176C89A">
      <w:pPr>
        <w:rPr>
          <w:rFonts w:hint="default"/>
          <w:lang w:val="en-US" w:eastAsia="zh-C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DD0BC">
    <w:pPr>
      <w:pStyle w:val="2"/>
      <w:rPr>
        <w:rFonts w:hint="default" w:ascii="仿宋" w:hAnsi="仿宋" w:eastAsia="仿宋" w:cs="仿宋"/>
        <w:lang w:val="en-US" w:eastAsia="zh-CN"/>
      </w:rPr>
    </w:pPr>
    <w:r>
      <w:rPr>
        <w:rFonts w:hint="eastAsia"/>
        <w:lang w:val="en-US" w:eastAsia="zh-CN"/>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D7CC47"/>
    <w:multiLevelType w:val="singleLevel"/>
    <w:tmpl w:val="E0D7CC47"/>
    <w:lvl w:ilvl="0" w:tentative="0">
      <w:start w:val="5"/>
      <w:numFmt w:val="chineseCounting"/>
      <w:suff w:val="nothing"/>
      <w:lvlText w:val="%1、"/>
      <w:lvlJc w:val="left"/>
      <w:rPr>
        <w:rFonts w:hint="eastAsia"/>
      </w:rPr>
    </w:lvl>
  </w:abstractNum>
  <w:abstractNum w:abstractNumId="1">
    <w:nsid w:val="6C706C75"/>
    <w:multiLevelType w:val="singleLevel"/>
    <w:tmpl w:val="6C706C75"/>
    <w:lvl w:ilvl="0" w:tentative="0">
      <w:start w:val="1"/>
      <w:numFmt w:val="decimal"/>
      <w:suff w:val="nothing"/>
      <w:lvlText w:val="%1、"/>
      <w:lvlJc w:val="left"/>
      <w:pPr>
        <w:ind w:left="64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F45D54"/>
    <w:rsid w:val="1BAE484B"/>
    <w:rsid w:val="389771E3"/>
    <w:rsid w:val="46427E11"/>
    <w:rsid w:val="484F7B73"/>
    <w:rsid w:val="60EB31F4"/>
    <w:rsid w:val="64A34B3A"/>
    <w:rsid w:val="6BA1123B"/>
    <w:rsid w:val="7FB04FB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Style w:val="4"/>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897</Words>
  <Characters>903</Characters>
  <Lines>0</Lines>
  <Paragraphs>0</Paragraphs>
  <TotalTime>43</TotalTime>
  <ScaleCrop>false</ScaleCrop>
  <LinksUpToDate>false</LinksUpToDate>
  <CharactersWithSpaces>937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2025-06-19T01:30:35Z</dcterms:created>
  <dc:creator>Lenovo</dc:creator>
  <cp:lastModifiedBy>忆雪霜寒</cp:lastModifiedBy>
  <dcterms:modified xsi:type="dcterms:W3CDTF">2026-04-14T02:24:41Z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eyJoZGlkIjoiYTEzMmM3YzhjN2RmODc4NjUxYzlmYzBjMmQzOTA2YzAiLCJ1c2VySWQiOiIzNTE3OTcwNDgifQ==</vt:lpwstr>
  </property>
  <property fmtid="{D5CDD505-2E9C-101B-9397-08002B2CF9AE}" pid="4" name="ICV">
    <vt:lpwstr>DE4D4C2046D24775AEF7E99EC2665330_13</vt:lpwstr>
  </property>
</Properties>
</file>