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keepNext w:val="0"/>
        <w:keepLines w:val="0"/>
        <w:pageBreakBefore w:val="0"/>
        <w:widowControl w:val="0"/>
        <w:kinsoku/>
        <w:wordWrap/>
        <w:overflowPunct/>
        <w:topLinePunct w:val="0"/>
        <w:bidi w:val="0"/>
        <w:snapToGrid/>
        <w:spacing w:line="560" w:lineRule="exact"/>
        <w:ind w:rightChars="-200" w:right="-420"/>
        <w:jc w:val="center"/>
        <w:textAlignment w:val="auto"/>
        <w:rPr>
          <w:rFonts w:ascii="方正小标宋简体" w:eastAsia="方正小标宋简体" w:cs="方正小标宋简体" w:hAnsi="方正小标宋简体" w:hint="eastAsia"/>
          <w:b w:val="0"/>
          <w:bCs/>
          <w:color w:val="000000"/>
          <w:sz w:val="44"/>
          <w:szCs w:val="44"/>
        </w:rPr>
      </w:pPr>
      <w:r>
        <w:rPr>
          <w:rFonts w:ascii="方正小标宋简体" w:eastAsia="方正小标宋简体" w:cs="方正小标宋简体" w:hAnsi="方正小标宋简体" w:hint="eastAsia"/>
          <w:b w:val="0"/>
          <w:bCs/>
          <w:color w:val="000000"/>
          <w:sz w:val="44"/>
          <w:szCs w:val="44"/>
          <w:lang w:eastAsia="zh-CN"/>
        </w:rPr>
        <w:t>曲阳县</w:t>
      </w:r>
      <w:r>
        <w:rPr>
          <w:rFonts w:ascii="方正小标宋简体" w:eastAsia="方正小标宋简体" w:cs="方正小标宋简体" w:hAnsi="方正小标宋简体"/>
          <w:b w:val="0"/>
          <w:bCs/>
          <w:color w:val="000000"/>
          <w:sz w:val="44"/>
          <w:szCs w:val="44"/>
          <w:lang w:eastAsia="zh-CN"/>
        </w:rPr>
        <w:t>互联网信息办公室</w:t>
      </w:r>
    </w:p>
    <w:p>
      <w:pPr>
        <w:keepNext w:val="0"/>
        <w:keepLines w:val="0"/>
        <w:pageBreakBefore w:val="0"/>
        <w:widowControl w:val="0"/>
        <w:kinsoku/>
        <w:wordWrap/>
        <w:overflowPunct/>
        <w:topLinePunct w:val="0"/>
        <w:bidi w:val="0"/>
        <w:snapToGrid/>
        <w:spacing w:line="560" w:lineRule="exact"/>
        <w:textAlignment w:val="auto"/>
        <w:rPr>
          <w:rFonts w:ascii="方正小标宋简体" w:eastAsia="方正小标宋简体" w:cs="方正小标宋简体" w:hAnsi="方正小标宋简体" w:hint="eastAsia"/>
          <w:b w:val="0"/>
          <w:bCs/>
          <w:color w:val="000000"/>
          <w:sz w:val="44"/>
          <w:szCs w:val="44"/>
          <w:lang w:eastAsia="zh-CN"/>
        </w:rPr>
      </w:pPr>
      <w:r>
        <w:rPr>
          <w:rFonts w:ascii="方正小标宋简体" w:eastAsia="方正小标宋简体" w:cs="方正小标宋简体" w:hAnsi="方正小标宋简体" w:hint="eastAsia"/>
          <w:b w:val="0"/>
          <w:bCs/>
          <w:color w:val="000000"/>
          <w:sz w:val="44"/>
          <w:szCs w:val="44"/>
        </w:rPr>
        <w:t>关于20</w:t>
      </w:r>
      <w:r>
        <w:rPr>
          <w:rFonts w:ascii="方正小标宋简体" w:eastAsia="方正小标宋简体" w:cs="方正小标宋简体" w:hAnsi="方正小标宋简体" w:hint="eastAsia"/>
          <w:b w:val="0"/>
          <w:bCs/>
          <w:color w:val="000000"/>
          <w:sz w:val="44"/>
          <w:szCs w:val="44"/>
          <w:lang w:val="en-US" w:eastAsia="zh-CN"/>
        </w:rPr>
        <w:t>2</w:t>
      </w:r>
      <w:r>
        <w:rPr>
          <w:rFonts w:ascii="方正小标宋简体" w:eastAsia="方正小标宋简体" w:cs="方正小标宋简体" w:hAnsi="方正小标宋简体"/>
          <w:b w:val="0"/>
          <w:bCs/>
          <w:color w:val="000000"/>
          <w:sz w:val="44"/>
          <w:szCs w:val="44"/>
          <w:lang w:val="en-US" w:eastAsia="zh-CN"/>
        </w:rPr>
        <w:t>6</w:t>
      </w:r>
      <w:r>
        <w:rPr>
          <w:rFonts w:ascii="方正小标宋简体" w:eastAsia="方正小标宋简体" w:cs="方正小标宋简体" w:hAnsi="方正小标宋简体" w:hint="eastAsia"/>
          <w:b w:val="0"/>
          <w:bCs/>
          <w:color w:val="000000"/>
          <w:sz w:val="44"/>
          <w:szCs w:val="44"/>
        </w:rPr>
        <w:t>年度行政执法检查计划的</w:t>
      </w:r>
      <w:r>
        <w:rPr>
          <w:rFonts w:ascii="方正小标宋简体" w:eastAsia="方正小标宋简体" w:cs="方正小标宋简体" w:hAnsi="方正小标宋简体" w:hint="eastAsia"/>
          <w:b w:val="0"/>
          <w:bCs/>
          <w:color w:val="000000"/>
          <w:sz w:val="44"/>
          <w:szCs w:val="44"/>
          <w:lang w:eastAsia="zh-CN"/>
        </w:rPr>
        <w:t>情况说明</w:t>
      </w:r>
    </w:p>
    <w:p>
      <w:pPr>
        <w:keepNext w:val="0"/>
        <w:keepLines w:val="0"/>
        <w:pageBreakBefore w:val="0"/>
        <w:widowControl w:val="0"/>
        <w:kinsoku/>
        <w:wordWrap/>
        <w:overflowPunct/>
        <w:topLinePunct w:val="0"/>
        <w:autoSpaceDE/>
        <w:autoSpaceDN/>
        <w:bidi w:val="0"/>
        <w:adjustRightInd/>
        <w:snapToGrid/>
        <w:spacing w:line="560" w:lineRule="exact"/>
        <w:ind w:firstLineChars="200" w:firstLine="640"/>
        <w:jc w:val="both"/>
        <w:textAlignment w:val="auto"/>
        <w:rPr>
          <w:rFonts w:ascii="CESI仿宋-GB2312" w:eastAsia="CESI仿宋-GB2312" w:cs="CESI仿宋-GB2312" w:hAnsi="CESI仿宋-GB2312" w:hint="eastAsia"/>
          <w:b w:val="0"/>
          <w:bCs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Chars="200" w:firstLine="640"/>
        <w:jc w:val="both"/>
        <w:textAlignment w:val="auto"/>
        <w:rPr>
          <w:rFonts w:ascii="CESI仿宋-GB2312" w:eastAsia="CESI仿宋-GB2312" w:cs="CESI仿宋-GB2312" w:hAnsi="CESI仿宋-GB2312" w:hint="eastAsia"/>
          <w:b w:val="0"/>
          <w:bCs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Chars="200" w:firstLine="640"/>
        <w:jc w:val="both"/>
        <w:textAlignment w:val="auto"/>
        <w:rPr>
          <w:rFonts w:ascii="CESI仿宋-GB2312" w:eastAsia="CESI仿宋-GB2312" w:cs="CESI仿宋-GB2312" w:hAnsi="CESI仿宋-GB2312" w:hint="eastAsia"/>
          <w:b w:val="0"/>
          <w:bCs w:val="0"/>
          <w:sz w:val="32"/>
          <w:szCs w:val="32"/>
          <w:lang w:eastAsia="zh-CN"/>
        </w:rPr>
      </w:pPr>
      <w:r>
        <w:rPr>
          <w:rFonts w:ascii="CESI仿宋-GB2312" w:eastAsia="CESI仿宋-GB2312" w:cs="CESI仿宋-GB2312" w:hAnsi="CESI仿宋-GB2312" w:hint="eastAsia"/>
          <w:b w:val="0"/>
          <w:bCs w:val="0"/>
          <w:sz w:val="32"/>
          <w:szCs w:val="32"/>
          <w:lang w:eastAsia="zh-CN"/>
        </w:rPr>
        <w:t>对照《河北省涉企行政检查事项清单》，我单位涉及</w:t>
      </w:r>
      <w:r>
        <w:rPr>
          <w:rFonts w:ascii="CESI仿宋-GB2312" w:eastAsia="CESI仿宋-GB2312" w:cs="CESI仿宋-GB2312" w:hAnsi="CESI仿宋-GB2312"/>
          <w:b w:val="0"/>
          <w:bCs w:val="0"/>
          <w:sz w:val="32"/>
          <w:szCs w:val="32"/>
          <w:lang w:eastAsia="zh-CN"/>
        </w:rPr>
        <w:t>五</w:t>
      </w:r>
      <w:r>
        <w:rPr>
          <w:rFonts w:ascii="CESI仿宋-GB2312" w:eastAsia="CESI仿宋-GB2312" w:cs="CESI仿宋-GB2312" w:hAnsi="CESI仿宋-GB2312" w:hint="eastAsia"/>
          <w:b w:val="0"/>
          <w:bCs w:val="0"/>
          <w:sz w:val="32"/>
          <w:szCs w:val="32"/>
          <w:lang w:eastAsia="zh-CN"/>
        </w:rPr>
        <w:t>项内容：</w:t>
      </w:r>
      <w:r>
        <w:rPr>
          <w:rFonts w:ascii="CESI仿宋-GB2312" w:eastAsia="CESI仿宋-GB2312" w:cs="CESI仿宋-GB2312" w:hAnsi="CESI仿宋-GB2312"/>
          <w:b w:val="0"/>
          <w:bCs w:val="0"/>
          <w:sz w:val="32"/>
          <w:szCs w:val="32"/>
          <w:lang w:eastAsia="zh-CN"/>
        </w:rPr>
        <w:t>对网络运营者建立网络信息安全投诉、举报制度，公布投诉、举报方式等信息，及时受理并处理有关网络信息安全的投诉和举报的行政检查、对个人信息处理活动的行政检查、对互联网新闻信息服务活动的行政检查、对网络信息内容服务平台履行信息内容管理主体责任情况的行政检查、对互联网信息服务提供者管理互联网用户注册、使用账号信息情况的行政检查</w:t>
      </w:r>
      <w:r>
        <w:rPr>
          <w:rFonts w:ascii="CESI仿宋-GB2312" w:eastAsia="CESI仿宋-GB2312" w:cs="CESI仿宋-GB2312" w:hAnsi="CESI仿宋-GB2312" w:hint="eastAsia"/>
          <w:b w:val="0"/>
          <w:bCs w:val="0"/>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Chars="200" w:firstLine="640"/>
        <w:jc w:val="both"/>
        <w:textAlignment w:val="auto"/>
        <w:rPr>
          <w:rFonts w:ascii="CESI仿宋-GB2312" w:eastAsia="CESI仿宋-GB2312" w:cs="CESI仿宋-GB2312" w:hAnsi="CESI仿宋-GB2312" w:hint="eastAsia"/>
          <w:b w:val="0"/>
          <w:bCs w:val="0"/>
          <w:sz w:val="32"/>
          <w:szCs w:val="32"/>
          <w:lang w:val="en-US" w:eastAsia="zh-CN"/>
        </w:rPr>
      </w:pPr>
      <w:r>
        <w:rPr>
          <w:rFonts w:ascii="CESI仿宋-GB2312" w:eastAsia="CESI仿宋-GB2312" w:cs="CESI仿宋-GB2312" w:hAnsi="CESI仿宋-GB2312" w:hint="eastAsia"/>
          <w:b w:val="0"/>
          <w:bCs w:val="0"/>
          <w:sz w:val="32"/>
          <w:szCs w:val="32"/>
          <w:lang w:eastAsia="zh-CN"/>
        </w:rPr>
        <w:t>按照省、市检查频次的要求，我县</w:t>
      </w:r>
      <w:r>
        <w:rPr>
          <w:rFonts w:ascii="CESI仿宋-GB2312" w:eastAsia="CESI仿宋-GB2312" w:cs="CESI仿宋-GB2312" w:hAnsi="CESI仿宋-GB2312"/>
          <w:b w:val="0"/>
          <w:bCs w:val="0"/>
          <w:sz w:val="32"/>
          <w:szCs w:val="32"/>
          <w:lang w:eastAsia="zh-CN"/>
        </w:rPr>
        <w:t>涉及网信</w:t>
      </w:r>
      <w:r>
        <w:rPr>
          <w:rFonts w:ascii="CESI仿宋-GB2312" w:eastAsia="CESI仿宋-GB2312" w:cs="CESI仿宋-GB2312" w:hAnsi="CESI仿宋-GB2312" w:hint="eastAsia"/>
          <w:b w:val="0"/>
          <w:bCs w:val="0"/>
          <w:sz w:val="32"/>
          <w:szCs w:val="32"/>
          <w:lang w:eastAsia="zh-CN"/>
        </w:rPr>
        <w:t>领域</w:t>
      </w:r>
      <w:r>
        <w:rPr>
          <w:rFonts w:ascii="CESI仿宋-GB2312" w:eastAsia="CESI仿宋-GB2312" w:cs="CESI仿宋-GB2312" w:hAnsi="CESI仿宋-GB2312"/>
          <w:b w:val="0"/>
          <w:bCs w:val="0"/>
          <w:sz w:val="32"/>
          <w:szCs w:val="32"/>
          <w:lang w:eastAsia="zh-CN"/>
        </w:rPr>
        <w:t>5</w:t>
      </w:r>
      <w:r>
        <w:rPr>
          <w:rFonts w:ascii="CESI仿宋-GB2312" w:eastAsia="CESI仿宋-GB2312" w:cs="CESI仿宋-GB2312" w:hAnsi="CESI仿宋-GB2312" w:hint="eastAsia"/>
          <w:b w:val="0"/>
          <w:bCs w:val="0"/>
          <w:sz w:val="32"/>
          <w:szCs w:val="32"/>
          <w:lang w:eastAsia="zh-CN"/>
        </w:rPr>
        <w:t>项，</w:t>
      </w:r>
      <w:r>
        <w:rPr>
          <w:rFonts w:ascii="CESI仿宋-GB2312" w:eastAsia="CESI仿宋-GB2312" w:cs="CESI仿宋-GB2312" w:hAnsi="CESI仿宋-GB2312"/>
          <w:b w:val="0"/>
          <w:bCs w:val="0"/>
          <w:sz w:val="32"/>
          <w:szCs w:val="32"/>
          <w:lang w:eastAsia="zh-CN"/>
        </w:rPr>
        <w:t>针对企业每年</w:t>
      </w:r>
      <w:r>
        <w:rPr>
          <w:rFonts w:ascii="CESI仿宋-GB2312" w:eastAsia="CESI仿宋-GB2312" w:cs="CESI仿宋-GB2312" w:hAnsi="CESI仿宋-GB2312" w:hint="eastAsia"/>
          <w:b w:val="0"/>
          <w:bCs w:val="0"/>
          <w:sz w:val="32"/>
          <w:szCs w:val="32"/>
          <w:lang w:eastAsia="zh-CN"/>
        </w:rPr>
        <w:t>最高检查频次为</w:t>
      </w:r>
      <w:r>
        <w:rPr>
          <w:rFonts w:ascii="CESI仿宋-GB2312" w:eastAsia="CESI仿宋-GB2312" w:cs="CESI仿宋-GB2312" w:hAnsi="CESI仿宋-GB2312" w:hint="eastAsia"/>
          <w:b w:val="0"/>
          <w:bCs w:val="0"/>
          <w:sz w:val="32"/>
          <w:szCs w:val="32"/>
          <w:lang w:val="en-US" w:eastAsia="zh-CN"/>
        </w:rPr>
        <w:t>2次。</w:t>
      </w:r>
      <w:bookmarkStart w:id="0" w:name="_GoBack"/>
      <w:bookmarkEnd w:id="0"/>
    </w:p>
    <w:p>
      <w:pPr>
        <w:keepNext w:val="0"/>
        <w:keepLines w:val="0"/>
        <w:pageBreakBefore w:val="0"/>
        <w:widowControl w:val="0"/>
        <w:kinsoku/>
        <w:wordWrap/>
        <w:overflowPunct/>
        <w:topLinePunct w:val="0"/>
        <w:autoSpaceDE/>
        <w:autoSpaceDN/>
        <w:bidi w:val="0"/>
        <w:adjustRightInd/>
        <w:snapToGrid/>
        <w:spacing w:line="560" w:lineRule="exact"/>
        <w:ind w:firstLineChars="200" w:firstLine="640"/>
        <w:jc w:val="both"/>
        <w:textAlignment w:val="auto"/>
        <w:rPr>
          <w:rFonts w:ascii="CESI仿宋-GB2312" w:eastAsia="CESI仿宋-GB2312" w:cs="CESI仿宋-GB2312" w:hAnsi="CESI仿宋-GB2312" w:hint="eastAsia"/>
          <w:b w:val="0"/>
          <w:bCs w:val="0"/>
          <w:sz w:val="32"/>
          <w:szCs w:val="32"/>
          <w:lang w:val="en-US" w:eastAsia="zh-CN"/>
        </w:rPr>
      </w:pPr>
      <w:r>
        <w:rPr>
          <w:rFonts w:ascii="CESI仿宋-GB2312" w:eastAsia="CESI仿宋-GB2312" w:cs="CESI仿宋-GB2312" w:hAnsi="CESI仿宋-GB2312" w:hint="eastAsia"/>
          <w:b w:val="0"/>
          <w:bCs w:val="0"/>
          <w:sz w:val="32"/>
          <w:szCs w:val="32"/>
          <w:lang w:val="en-US" w:eastAsia="zh-CN"/>
        </w:rPr>
        <w:t>特此说明。</w:t>
      </w:r>
    </w:p>
    <w:p>
      <w:pPr>
        <w:keepNext w:val="0"/>
        <w:keepLines w:val="0"/>
        <w:pageBreakBefore w:val="0"/>
        <w:widowControl w:val="0"/>
        <w:kinsoku/>
        <w:wordWrap/>
        <w:overflowPunct/>
        <w:topLinePunct w:val="0"/>
        <w:autoSpaceDE/>
        <w:autoSpaceDN/>
        <w:bidi w:val="0"/>
        <w:adjustRightInd/>
        <w:snapToGrid/>
        <w:spacing w:line="560" w:lineRule="exact"/>
        <w:ind w:firstLineChars="200" w:firstLine="640"/>
        <w:jc w:val="both"/>
        <w:textAlignment w:val="auto"/>
        <w:rPr>
          <w:rFonts w:ascii="CESI仿宋-GB2312" w:eastAsia="CESI仿宋-GB2312" w:cs="CESI仿宋-GB2312" w:hAnsi="CESI仿宋-GB2312" w:hint="eastAsia"/>
          <w:b w:val="0"/>
          <w:bCs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Chars="200" w:firstLine="640"/>
        <w:jc w:val="both"/>
        <w:textAlignment w:val="auto"/>
        <w:rPr>
          <w:rFonts w:ascii="CESI仿宋-GB2312" w:eastAsia="CESI仿宋-GB2312" w:cs="CESI仿宋-GB2312" w:hAnsi="CESI仿宋-GB2312" w:hint="eastAsia"/>
          <w:b w:val="0"/>
          <w:bCs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Chars="200" w:firstLine="640"/>
        <w:jc w:val="right"/>
        <w:textAlignment w:val="auto"/>
        <w:rPr>
          <w:rFonts w:ascii="CESI仿宋-GB2312" w:eastAsia="CESI仿宋-GB2312" w:cs="CESI仿宋-GB2312" w:hAnsi="CESI仿宋-GB2312" w:hint="eastAsia"/>
          <w:b w:val="0"/>
          <w:bCs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Chars="200" w:firstLine="640"/>
        <w:jc w:val="right"/>
        <w:textAlignment w:val="auto"/>
        <w:rPr>
          <w:rFonts w:ascii="CESI仿宋-GB2312" w:eastAsia="CESI仿宋-GB2312" w:cs="CESI仿宋-GB2312" w:hAnsi="CESI仿宋-GB2312" w:hint="eastAsia"/>
          <w:b w:val="0"/>
          <w:bCs w:val="0"/>
          <w:sz w:val="32"/>
          <w:szCs w:val="32"/>
          <w:lang w:val="en-US" w:eastAsia="zh-CN"/>
        </w:rPr>
      </w:pPr>
      <w:r>
        <w:rPr>
          <w:rFonts w:ascii="CESI仿宋-GB2312" w:eastAsia="CESI仿宋-GB2312" w:cs="CESI仿宋-GB2312" w:hAnsi="CESI仿宋-GB2312" w:hint="eastAsia"/>
          <w:b w:val="0"/>
          <w:bCs w:val="0"/>
          <w:sz w:val="32"/>
          <w:szCs w:val="32"/>
          <w:lang w:val="en-US" w:eastAsia="zh-CN"/>
        </w:rPr>
        <w:t xml:space="preserve">                   曲阳县</w:t>
      </w:r>
      <w:r>
        <w:rPr>
          <w:rFonts w:ascii="CESI仿宋-GB2312" w:eastAsia="CESI仿宋-GB2312" w:cs="CESI仿宋-GB2312" w:hAnsi="CESI仿宋-GB2312"/>
          <w:b w:val="0"/>
          <w:bCs w:val="0"/>
          <w:sz w:val="32"/>
          <w:szCs w:val="32"/>
          <w:lang w:val="en-US" w:eastAsia="zh-CN"/>
        </w:rPr>
        <w:t>互联网信息办公室</w:t>
      </w:r>
    </w:p>
    <w:p>
      <w:pPr>
        <w:keepNext w:val="0"/>
        <w:keepLines w:val="0"/>
        <w:pageBreakBefore w:val="0"/>
        <w:widowControl w:val="0"/>
        <w:kinsoku/>
        <w:wordWrap/>
        <w:overflowPunct/>
        <w:topLinePunct w:val="0"/>
        <w:autoSpaceDE/>
        <w:autoSpaceDN/>
        <w:bidi w:val="0"/>
        <w:adjustRightInd/>
        <w:snapToGrid/>
        <w:spacing w:line="560" w:lineRule="exact"/>
        <w:ind w:firstLineChars="200" w:firstLine="640"/>
        <w:jc w:val="right"/>
        <w:textAlignment w:val="auto"/>
        <w:rPr>
          <w:rFonts w:ascii="CESI仿宋-GB2312" w:eastAsia="CESI仿宋-GB2312" w:cs="CESI仿宋-GB2312" w:hAnsi="CESI仿宋-GB2312"/>
          <w:b w:val="0"/>
          <w:bCs w:val="0"/>
          <w:sz w:val="32"/>
          <w:szCs w:val="32"/>
          <w:lang w:val="en-US" w:eastAsia="zh-CN"/>
        </w:rPr>
      </w:pPr>
      <w:r>
        <w:rPr>
          <w:rFonts w:ascii="CESI仿宋-GB2312" w:eastAsia="CESI仿宋-GB2312" w:cs="CESI仿宋-GB2312" w:hAnsi="CESI仿宋-GB2312" w:hint="eastAsia"/>
          <w:b w:val="0"/>
          <w:bCs w:val="0"/>
          <w:sz w:val="32"/>
          <w:szCs w:val="32"/>
          <w:lang w:val="en-US" w:eastAsia="zh-CN"/>
        </w:rPr>
        <w:t xml:space="preserve">                    202</w:t>
      </w:r>
      <w:r>
        <w:rPr>
          <w:rFonts w:ascii="CESI仿宋-GB2312" w:eastAsia="CESI仿宋-GB2312" w:cs="CESI仿宋-GB2312" w:hAnsi="CESI仿宋-GB2312"/>
          <w:b w:val="0"/>
          <w:bCs w:val="0"/>
          <w:sz w:val="32"/>
          <w:szCs w:val="32"/>
          <w:lang w:val="en-US" w:eastAsia="zh-CN"/>
        </w:rPr>
        <w:t>6</w:t>
      </w:r>
      <w:r>
        <w:rPr>
          <w:rFonts w:ascii="CESI仿宋-GB2312" w:eastAsia="CESI仿宋-GB2312" w:cs="CESI仿宋-GB2312" w:hAnsi="CESI仿宋-GB2312" w:hint="eastAsia"/>
          <w:b w:val="0"/>
          <w:bCs w:val="0"/>
          <w:sz w:val="32"/>
          <w:szCs w:val="32"/>
          <w:lang w:val="en-US" w:eastAsia="zh-CN"/>
        </w:rPr>
        <w:t>年</w:t>
      </w:r>
      <w:r>
        <w:rPr>
          <w:rFonts w:ascii="CESI仿宋-GB2312" w:eastAsia="CESI仿宋-GB2312" w:cs="CESI仿宋-GB2312" w:hAnsi="CESI仿宋-GB2312"/>
          <w:b w:val="0"/>
          <w:bCs w:val="0"/>
          <w:sz w:val="32"/>
          <w:szCs w:val="32"/>
          <w:lang w:val="en-US" w:eastAsia="zh-CN"/>
        </w:rPr>
        <w:t>4</w:t>
      </w:r>
      <w:r>
        <w:rPr>
          <w:rFonts w:ascii="CESI仿宋-GB2312" w:eastAsia="CESI仿宋-GB2312" w:cs="CESI仿宋-GB2312" w:hAnsi="CESI仿宋-GB2312" w:hint="eastAsia"/>
          <w:b w:val="0"/>
          <w:bCs w:val="0"/>
          <w:sz w:val="32"/>
          <w:szCs w:val="32"/>
          <w:lang w:val="en-US" w:eastAsia="zh-CN"/>
        </w:rPr>
        <w:t>月</w:t>
      </w:r>
      <w:r>
        <w:rPr>
          <w:rFonts w:ascii="CESI仿宋-GB2312" w:eastAsia="CESI仿宋-GB2312" w:cs="CESI仿宋-GB2312" w:hAnsi="CESI仿宋-GB2312"/>
          <w:b w:val="0"/>
          <w:bCs w:val="0"/>
          <w:sz w:val="32"/>
          <w:szCs w:val="32"/>
          <w:lang w:val="en-US" w:eastAsia="zh-CN"/>
        </w:rPr>
        <w:t>1</w:t>
      </w:r>
      <w:r>
        <w:rPr>
          <w:rFonts w:ascii="CESI仿宋-GB2312" w:eastAsia="CESI仿宋-GB2312" w:cs="CESI仿宋-GB2312" w:hAnsi="CESI仿宋-GB2312" w:hint="eastAsia"/>
          <w:b w:val="0"/>
          <w:bCs w:val="0"/>
          <w:sz w:val="32"/>
          <w:szCs w:val="32"/>
          <w:lang w:val="en-US" w:eastAsia="zh-CN"/>
        </w:rPr>
        <w:t>3日</w:t>
      </w:r>
    </w:p>
    <w:p/>
    <w:sectPr>
      <w:footerReference w:type="default" r:id="rId2"/>
      <w:pgSz w:w="11906" w:h="16838"/>
      <w:pgMar w:top="2041" w:right="1531" w:bottom="2041" w:left="1531" w:header="851" w:footer="992" w:gutter="0"/>
      <w:pgNumType/>
      <w:cols w:num="1" w:space="425"/>
      <w:docGrid w:type="lines" w:linePitch="312" w:charSpace="0"/>
    </w:sectPr>
  </w:body>
</w:document>
</file>

<file path=word/fontTable.xml><?xml version="1.0" encoding="utf-8"?>
<w:fonts xmlns:w="http://schemas.openxmlformats.org/wordprocessingml/2006/main" xmlns:r="http://schemas.openxmlformats.org/officeDocument/2006/relationships">
  <w:font w:name="方正小标宋简体">
    <w:altName w:val="方正粗黑宋简体"/>
    <w:panose1 w:val="02000000000000000000"/>
    <w:charset w:val="86"/>
    <w:family w:val="auto"/>
    <w:pitch w:val="variable"/>
    <w:sig w:usb0="A00002BF" w:usb1="184F6CFA" w:usb2="00000012" w:usb3="00000000" w:csb0="00040001" w:csb1="00000000"/>
  </w:font>
  <w:font w:name="CESI仿宋-GB2312">
    <w:altName w:val="华文仿宋"/>
    <w:panose1 w:val="02000500000000000000"/>
    <w:charset w:val="86"/>
    <w:family w:val="auto"/>
    <w:pitch w:val="variable"/>
    <w:sig w:usb0="800002AF" w:usb1="084F6CF8" w:usb2="00000010" w:usb3="00000000" w:csb0="0004000F" w:csb1="00000000"/>
  </w:font>
  <w:font w:name="Times New Roman">
    <w:altName w:val="DejaVu Sans"/>
    <w:panose1 w:val="02020603050405020304"/>
    <w:charset w:val="86"/>
    <w:family w:val="auto"/>
    <w:pitch w:val="variable"/>
    <w:sig w:usb0="00000000" w:usb1="00000000" w:usb2="00000009" w:usb3="00000000" w:csb0="400001FF" w:csb1="FFFF0000"/>
  </w:font>
  <w:font w:name="宋体">
    <w:altName w:val="方正书宋_GBK"/>
    <w:panose1 w:val="00000000000000000000"/>
    <w:charset w:val="86"/>
    <w:family w:val="auto"/>
    <w:pitch w:val="variable"/>
    <w:sig w:usb0="00000000" w:usb1="00000000" w:usb2="00000000" w:usb3="00000000" w:csb0="00040001" w:csb1="00000000"/>
  </w:font>
  <w:font w:name="Arial">
    <w:panose1 w:val="020B0604020202020204"/>
    <w:charset w:val="00"/>
    <w:family w:val="auto"/>
    <w:pitch w:val="variable"/>
    <w:sig w:usb0="00007A87" w:usb1="80000000" w:usb2="00000008" w:usb3="00000000" w:csb0="400001FF" w:csb1="FFFF0000"/>
  </w:font>
  <w:font w:name="Calibri">
    <w:altName w:val="DejaVu Sans"/>
    <w:panose1 w:val="020F0502020204030204"/>
    <w:charset w:val="00"/>
    <w:family w:val="swiss"/>
    <w:pitch w:val="variable"/>
    <w:sig w:usb0="00000000" w:usb1="00000000" w:usb2="00000001" w:usb3="00000000" w:csb0="0000019F" w:csb1="00000000"/>
  </w:font>
  <w:font w:name="黑体">
    <w:panose1 w:val="02010609060101010101"/>
    <w:charset w:val="86"/>
    <w:family w:val="auto"/>
    <w:pitch w:val="variable"/>
    <w:sig w:usb0="800002BF" w:usb1="38CF7CFA" w:usb2="00000016" w:usb3="00000000" w:csb0="00040001"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5"/>
      <w:tabs>
        <w:tab w:val="center" w:pos="4153"/>
        <w:tab w:val="right" w:pos="8306"/>
      </w:tabs>
    </w:pPr>
    <w:r>
      <w:rPr>
        <w:sz w:val="18"/>
      </w:rPr>
      <mc:AlternateContent>
        <mc:Choice Requires="wps">
          <w:drawing>
            <wp:anchor distT="0" distB="0" distL="114298" distR="114298" simplePos="0" relativeHeight="12" behindDoc="0" locked="0" layoutInCell="1" hidden="0" allowOverlap="1">
              <wp:simplePos x="0" y="0"/>
              <wp:positionH relativeFrom="margin">
                <wp:align>center</wp:align>
              </wp:positionH>
              <wp:positionV relativeFrom="paragraph">
                <wp:posOffset>0</wp:posOffset>
              </wp:positionV>
              <wp:extent cx="76198" cy="139560"/>
              <wp:effectExtent l="0" t="0" r="0" b="0"/>
              <wp:wrapNone/>
              <wp:docPr id="1" name="文本框 1"/>
              <wp:cNvGraphicFramePr>
                <a:graphicFrameLocks noChangeAspect="0"/>
              </wp:cNvGraphicFramePr>
              <a:graphic>
                <a:graphicData uri="http://schemas.microsoft.com/office/word/2010/wordprocessingShape">
                  <wps:wsp>
                    <wps:cNvSpPr/>
                    <wps:spPr>
                      <a:xfrm rot="0">
                        <a:off x="0" y="0"/>
                        <a:ext cx="76198" cy="139560"/>
                      </a:xfrm>
                      <a:prstGeom prst="rect"/>
                      <a:noFill/>
                      <a:ln w="6350" cmpd="sng" cap="flat">
                        <a:noFill/>
                        <a:prstDash val="solid"/>
                        <a:round/>
                      </a:ln>
                    </wps:spPr>
                    <wps:txbx id="2">
                      <w:txbxContent>
                        <w:p>
                          <w:pPr>
                            <w:pStyle w:val="15"/>
                            <w:tabs>
                              <w:tab w:val="center" w:pos="4153"/>
                              <w:tab w:val="right" w:pos="8306"/>
                            </w:tabs>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type="#_x0000_t202" id="文本框 1 3" o:spid="_x0000_s3" filled="f" stroked="f" strokeweight="0.5pt" style="position:absolute;margin-left:0.0pt;margin-top:0.0pt;width:5.9999084pt;height:10.988999pt;z-index:12;mso-position-horizontal:center;mso-position-horizontal-relative:margin;mso-position-vertical:absolute;mso-wrap-distance-left:8.999863pt;mso-wrap-distance-right:8.999863pt;mso-wrap-style:none;">
              <v:stroke color="#000000"/>
              <v:textbox id="848" inset="0mm,0mm,0mm,0mm" o:insetmode="custom" style="layout-flow:horizontal;v-text-anchor:top;mso-fit-shape-to-text:t;">
                <w:txbxContent>
                  <w:p>
                    <w:pPr>
                      <w:pStyle w:val="15"/>
                      <w:tabs>
                        <w:tab w:val="center" w:pos="4153"/>
                        <w:tab w:val="right" w:pos="8306"/>
                      </w:tabs>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val="bestFit" w:percent="111"/>
  <w:bordersDoNotSurroundHeader w:val="0"/>
  <w:bordersDoNotSurroundFooter w:val="0"/>
  <w:documentProtection w:edit="readOnly" w:enforcement="0"/>
  <w:defaultTabStop w:val="420"/>
  <w:drawingGridHorizontalSpacing w:val="105"/>
  <w:drawingGridVerticalSpacing w:val="156"/>
  <w:displayHorizontalDrawingGridEvery w:val="1"/>
  <w:displayVerticalDrawingGridEvery w:val="1"/>
  <w:noPunctuationKerning/>
  <w:characterSpacingControl w:val="compressPunctuation"/>
  <w:compat>
    <w:spaceForUL/>
    <w:balanceSingleByteDoubleByteWidth/>
    <w:ulTrailSpace/>
    <w:doNotExpandShiftReturn/>
    <w:adjustLineHeightInTable/>
    <w:doNotUseIndentAsNumberingTabStop/>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Arial"/>
        <w:lang w:val="en-US" w:eastAsia="zh-CN" w:bidi="ar-SA"/>
      </w:rPr>
    </w:rPrDefault>
    <w:pPrDefault/>
  </w:docDefaults>
  <w:style w:type="paragraph" w:default="1" w:styleId="0">
    <w:name w:val="Normal"/>
    <w:pPr>
      <w:widowControl w:val="0"/>
      <w:jc w:val="both"/>
    </w:pPr>
    <w:rPr>
      <w:rFonts w:ascii="Calibri" w:eastAsia="宋体" w:cs="Calibri" w:hAnsi="Calibri"/>
      <w:kern w:val="2"/>
      <w:sz w:val="21"/>
      <w:szCs w:val="21"/>
      <w:lang w:val="en-US" w:eastAsia="zh-CN" w:bidi="ar-SA"/>
    </w:rPr>
  </w:style>
  <w:style w:type="paragraph" w:styleId="1">
    <w:name w:val="heading 1"/>
    <w:basedOn w:val="0"/>
    <w:next w:val="0"/>
    <w:pPr>
      <w:keepNext/>
      <w:keepLines/>
      <w:widowControl w:val="0"/>
      <w:spacing w:before="340" w:after="330" w:line="578" w:lineRule="auto"/>
      <w:outlineLvl w:val="0"/>
    </w:pPr>
    <w:rPr>
      <w:b/>
      <w:bCs/>
      <w:kern w:val="44"/>
      <w:sz w:val="44"/>
      <w:szCs w:val="44"/>
    </w:rPr>
  </w:style>
  <w:style w:type="paragraph" w:styleId="2">
    <w:name w:val="heading 2"/>
    <w:basedOn w:val="0"/>
    <w:next w:val="0"/>
    <w:pPr>
      <w:keepNext/>
      <w:keepLines/>
      <w:widowControl w:val="0"/>
      <w:spacing w:before="260" w:after="260" w:line="415" w:lineRule="auto"/>
      <w:outlineLvl w:val="1"/>
    </w:pPr>
    <w:rPr>
      <w:rFonts w:ascii="Times New Roman" w:eastAsia="黑体" w:hAnsi="Times New Roman"/>
      <w:b/>
      <w:bCs/>
      <w:sz w:val="32"/>
      <w:szCs w:val="32"/>
    </w:rPr>
  </w:style>
  <w:style w:type="paragraph" w:styleId="3">
    <w:name w:val="heading 3"/>
    <w:basedOn w:val="0"/>
    <w:next w:val="0"/>
    <w:pPr>
      <w:keepNext/>
      <w:keepLines/>
      <w:widowControl w:val="0"/>
      <w:spacing w:before="260" w:after="260" w:line="415" w:lineRule="auto"/>
      <w:outlineLvl w:val="2"/>
    </w:pPr>
    <w:rPr>
      <w:b/>
      <w:bCs/>
      <w:sz w:val="32"/>
      <w:szCs w:val="32"/>
    </w:rPr>
  </w:style>
  <w:style w:type="character" w:default="1" w:styleId="10">
    <w:name w:val="Default Paragraph Font"/>
  </w:style>
  <w:style w:type="paragraph" w:styleId="15">
    <w:name w:val="footer"/>
    <w:basedOn w:val="0"/>
    <w:pPr>
      <w:tabs>
        <w:tab w:val="center" w:pos="4153"/>
        <w:tab w:val="right" w:pos="8306"/>
      </w:tabs>
      <w:snapToGrid w:val="0"/>
      <w:jc w:val="left"/>
    </w:pPr>
    <w:rPr>
      <w:sz w:val="18"/>
    </w:rPr>
  </w:style>
  <w:style w:type="paragraph" w:styleId="16">
    <w:name w:val="header"/>
    <w:basedOn w:val="0"/>
    <w:pPr>
      <w:pBdr>
        <w:top w:val="none" w:sz="0" w:space="0" w:color="auto"/>
        <w:left w:val="none" w:sz="0" w:space="0" w:color="auto"/>
        <w:bottom w:val="none" w:sz="0" w:space="0" w:color="auto"/>
        <w:right w:val="none" w:sz="0" w:space="0" w:color="auto"/>
      </w:pBdr>
      <w:tabs>
        <w:tab w:val="center" w:pos="4153"/>
        <w:tab w:val="right" w:pos="8306"/>
      </w:tabs>
      <w:snapToGrid w:val="0"/>
      <w:spacing w:line="240" w:lineRule="auto"/>
      <w:jc w:val="both"/>
      <w:outlineLvl w:val="9"/>
    </w:pPr>
    <w:rPr>
      <w:sz w:val="18"/>
    </w:rPr>
  </w:style>
  <w:style w:type="paragraph" w:styleId="17">
    <w:name w:val="toc 2"/>
    <w:basedOn w:val="0"/>
    <w:next w:val="0"/>
    <w:pPr>
      <w:spacing w:line="560" w:lineRule="exact"/>
      <w:ind w:leftChars="200" w:left="200"/>
    </w:pPr>
    <w:rPr>
      <w:rFonts w:ascii="Calibri" w:cs="Calibri" w:hAnsi="Calibri"/>
      <w:szCs w:val="21"/>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styles" Target="styles.xml"/><Relationship Id="rId4" Type="http://schemas.openxmlformats.org/officeDocument/2006/relationships/fontTable" Target="fontTable.xml"/><Relationship Id="rId5" Type="http://schemas.openxmlformats.org/officeDocument/2006/relationships/customXml" Target="../customXml/item1.xml"/></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ustomData xmlns="http://www.yozosoft.com.cn/officeDocument/2016/customData">
  <customProps>
    <docPr revisions="3 0 5 0 0 0 1 0 0 0 3000 0 1 1 1 1"/>
    <sectPr/>
  </customProps>
</customData>
</file>

<file path=customXml/itemProps1.xml><?xml version="1.0" encoding="utf-8"?>
<ds:datastoreItem xmlns:ds="http://schemas.openxmlformats.org/officeDocument/2006/customXml" ds:itemID="{31770E5A-F657-4205-BA77-693D61FD3ED7}">
  <ds:schemaRefs>
    <ds:schemaRef ds:uri="http://www.yozosoft.com.cn/officeDocument/2016/customData"/>
  </ds:schemaRefs>
</ds:datastoreItem>
</file>

<file path=docProps/app.xml><?xml version="1.0" encoding="utf-8"?>
<Properties xmlns="http://schemas.openxmlformats.org/officeDocument/2006/extended-properties">
  <Template>Normal.eit</Template>
  <TotalTime>75</TotalTime>
  <Application>Yozo_Office27021597764231179</Application>
  <Pages>1</Pages>
  <Words>0</Words>
  <Characters>254</Characters>
  <Lines>0</Lines>
  <Paragraphs>13</Paragraphs>
  <CharactersWithSpaces>339</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admin</dc:creator>
  <cp:lastModifiedBy>Administrator</cp:lastModifiedBy>
  <cp:revision>1</cp:revision>
  <cp:lastPrinted>2025-03-19T09:15:00Z</cp:lastPrinted>
  <dcterms:created xsi:type="dcterms:W3CDTF">2025-03-13T02:20:00Z</dcterms:created>
  <dcterms:modified xsi:type="dcterms:W3CDTF">2026-04-13T02:20:05Z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2052-11.8.2.12219</vt:lpwstr>
  </property>
  <property fmtid="{D5CDD505-2E9C-101B-9397-08002B2CF9AE}" pid="3" name="ICV">
    <vt:lpwstr>98D18D4BEB22FE60258DD767EE8915C6</vt:lpwstr>
  </property>
</Properties>
</file>