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7D2D97">
      <w:pPr>
        <w:pStyle w:val="2"/>
        <w:spacing w:line="243" w:lineRule="auto"/>
      </w:pPr>
      <w:bookmarkStart w:id="40" w:name="_GoBack"/>
      <w:bookmarkEnd w:id="40"/>
    </w:p>
    <w:p w14:paraId="3D135109">
      <w:pPr>
        <w:pStyle w:val="2"/>
        <w:spacing w:line="243" w:lineRule="auto"/>
      </w:pPr>
    </w:p>
    <w:p w14:paraId="7784E8C4">
      <w:pPr>
        <w:pStyle w:val="2"/>
        <w:spacing w:line="243" w:lineRule="auto"/>
      </w:pPr>
    </w:p>
    <w:p w14:paraId="11841AD6">
      <w:pPr>
        <w:pStyle w:val="2"/>
        <w:spacing w:line="243" w:lineRule="auto"/>
      </w:pPr>
    </w:p>
    <w:p w14:paraId="27E146C4">
      <w:pPr>
        <w:pStyle w:val="2"/>
        <w:spacing w:line="243" w:lineRule="auto"/>
      </w:pPr>
    </w:p>
    <w:p w14:paraId="7A4E9C37">
      <w:pPr>
        <w:pStyle w:val="2"/>
        <w:spacing w:line="243" w:lineRule="auto"/>
      </w:pPr>
    </w:p>
    <w:p w14:paraId="0D5A8FF5">
      <w:pPr>
        <w:pStyle w:val="2"/>
        <w:spacing w:line="243" w:lineRule="auto"/>
      </w:pPr>
    </w:p>
    <w:p w14:paraId="23BE2F89">
      <w:pPr>
        <w:pStyle w:val="2"/>
        <w:spacing w:line="243" w:lineRule="auto"/>
      </w:pPr>
    </w:p>
    <w:p w14:paraId="16EFE00C">
      <w:pPr>
        <w:pStyle w:val="2"/>
        <w:spacing w:line="243" w:lineRule="auto"/>
      </w:pPr>
    </w:p>
    <w:p w14:paraId="67DD3266">
      <w:pPr>
        <w:pStyle w:val="2"/>
        <w:spacing w:line="244" w:lineRule="auto"/>
      </w:pPr>
    </w:p>
    <w:p w14:paraId="6909E67A">
      <w:pPr>
        <w:pStyle w:val="2"/>
        <w:spacing w:line="244" w:lineRule="auto"/>
      </w:pPr>
    </w:p>
    <w:p w14:paraId="2E8D6EE9">
      <w:pPr>
        <w:pStyle w:val="2"/>
        <w:spacing w:line="244" w:lineRule="auto"/>
      </w:pPr>
    </w:p>
    <w:p w14:paraId="091FAF35">
      <w:pPr>
        <w:pStyle w:val="2"/>
        <w:spacing w:line="244" w:lineRule="auto"/>
      </w:pPr>
    </w:p>
    <w:p w14:paraId="02CD1FB1">
      <w:pPr>
        <w:spacing w:before="221" w:line="263" w:lineRule="auto"/>
        <w:ind w:left="2869" w:right="342" w:hanging="2830"/>
        <w:outlineLvl w:val="0"/>
        <w:rPr>
          <w:rFonts w:ascii="黑体" w:hAnsi="黑体" w:eastAsia="黑体" w:cs="黑体"/>
          <w:sz w:val="68"/>
          <w:szCs w:val="68"/>
        </w:rPr>
      </w:pPr>
      <w:r>
        <w:rPr>
          <w:rFonts w:ascii="黑体" w:hAnsi="黑体" w:eastAsia="黑体" w:cs="黑体"/>
          <w:b/>
          <w:bCs/>
          <w:spacing w:val="21"/>
          <w:sz w:val="68"/>
          <w:szCs w:val="68"/>
        </w:rPr>
        <w:t>部门整体支出绩效自评报告</w:t>
      </w:r>
      <w:r>
        <w:rPr>
          <w:rFonts w:ascii="黑体" w:hAnsi="黑体" w:eastAsia="黑体" w:cs="黑体"/>
          <w:spacing w:val="9"/>
          <w:sz w:val="68"/>
          <w:szCs w:val="68"/>
        </w:rPr>
        <w:t xml:space="preserve"> </w:t>
      </w:r>
      <w:r>
        <w:rPr>
          <w:rFonts w:ascii="黑体" w:hAnsi="黑体" w:eastAsia="黑体" w:cs="黑体"/>
          <w:b/>
          <w:bCs/>
          <w:spacing w:val="39"/>
          <w:sz w:val="68"/>
          <w:szCs w:val="68"/>
        </w:rPr>
        <w:t>2020年度</w:t>
      </w:r>
    </w:p>
    <w:p w14:paraId="1DAE8E3A">
      <w:pPr>
        <w:pStyle w:val="2"/>
        <w:spacing w:line="248" w:lineRule="auto"/>
      </w:pPr>
    </w:p>
    <w:p w14:paraId="2120C72C">
      <w:pPr>
        <w:pStyle w:val="2"/>
        <w:spacing w:line="248" w:lineRule="auto"/>
      </w:pPr>
    </w:p>
    <w:p w14:paraId="48D85D64">
      <w:pPr>
        <w:pStyle w:val="2"/>
        <w:spacing w:line="248" w:lineRule="auto"/>
      </w:pPr>
    </w:p>
    <w:p w14:paraId="4D2C992D">
      <w:pPr>
        <w:pStyle w:val="2"/>
        <w:spacing w:line="248" w:lineRule="auto"/>
      </w:pPr>
    </w:p>
    <w:p w14:paraId="176E2291">
      <w:pPr>
        <w:pStyle w:val="2"/>
        <w:spacing w:line="248" w:lineRule="auto"/>
      </w:pPr>
    </w:p>
    <w:p w14:paraId="67BFC60A">
      <w:pPr>
        <w:pStyle w:val="2"/>
        <w:spacing w:line="248" w:lineRule="auto"/>
      </w:pPr>
    </w:p>
    <w:p w14:paraId="190AA0FA">
      <w:pPr>
        <w:pStyle w:val="2"/>
        <w:spacing w:line="248" w:lineRule="auto"/>
      </w:pPr>
    </w:p>
    <w:p w14:paraId="58ECF6D1">
      <w:pPr>
        <w:pStyle w:val="2"/>
        <w:spacing w:line="248" w:lineRule="auto"/>
      </w:pPr>
    </w:p>
    <w:p w14:paraId="454342A2">
      <w:pPr>
        <w:pStyle w:val="2"/>
        <w:spacing w:line="248" w:lineRule="auto"/>
      </w:pPr>
    </w:p>
    <w:p w14:paraId="01140CC1">
      <w:pPr>
        <w:pStyle w:val="2"/>
        <w:spacing w:line="248" w:lineRule="auto"/>
      </w:pPr>
    </w:p>
    <w:p w14:paraId="64433244">
      <w:pPr>
        <w:pStyle w:val="2"/>
        <w:spacing w:line="248" w:lineRule="auto"/>
      </w:pPr>
    </w:p>
    <w:p w14:paraId="4FFD1389">
      <w:pPr>
        <w:pStyle w:val="2"/>
        <w:spacing w:line="248" w:lineRule="auto"/>
      </w:pPr>
    </w:p>
    <w:p w14:paraId="5BBA8E33">
      <w:pPr>
        <w:pStyle w:val="2"/>
        <w:spacing w:line="248" w:lineRule="auto"/>
      </w:pPr>
    </w:p>
    <w:p w14:paraId="0B52E770">
      <w:pPr>
        <w:pStyle w:val="2"/>
        <w:spacing w:line="249" w:lineRule="auto"/>
      </w:pPr>
    </w:p>
    <w:p w14:paraId="3F06F8C8">
      <w:pPr>
        <w:pStyle w:val="2"/>
        <w:spacing w:line="249" w:lineRule="auto"/>
      </w:pPr>
    </w:p>
    <w:p w14:paraId="62AC9478">
      <w:pPr>
        <w:pStyle w:val="2"/>
        <w:spacing w:line="249" w:lineRule="auto"/>
      </w:pPr>
    </w:p>
    <w:p w14:paraId="1C056356">
      <w:pPr>
        <w:pStyle w:val="2"/>
        <w:spacing w:line="249" w:lineRule="auto"/>
      </w:pPr>
    </w:p>
    <w:p w14:paraId="77004EFA">
      <w:pPr>
        <w:pStyle w:val="2"/>
        <w:spacing w:line="249" w:lineRule="auto"/>
      </w:pPr>
    </w:p>
    <w:p w14:paraId="2566EB84">
      <w:pPr>
        <w:pStyle w:val="2"/>
        <w:spacing w:line="249" w:lineRule="auto"/>
      </w:pPr>
    </w:p>
    <w:p w14:paraId="6B6DB782">
      <w:pPr>
        <w:pStyle w:val="2"/>
        <w:spacing w:line="249" w:lineRule="auto"/>
      </w:pPr>
    </w:p>
    <w:p w14:paraId="6001C1DC">
      <w:pPr>
        <w:pStyle w:val="2"/>
        <w:spacing w:line="249" w:lineRule="auto"/>
      </w:pPr>
    </w:p>
    <w:p w14:paraId="5D7AA2B2">
      <w:pPr>
        <w:pStyle w:val="2"/>
        <w:spacing w:line="249" w:lineRule="auto"/>
      </w:pPr>
    </w:p>
    <w:p w14:paraId="31770FB0">
      <w:pPr>
        <w:pStyle w:val="2"/>
        <w:spacing w:line="249" w:lineRule="auto"/>
      </w:pPr>
    </w:p>
    <w:p w14:paraId="0979755E">
      <w:pPr>
        <w:spacing w:before="114" w:line="228" w:lineRule="auto"/>
        <w:ind w:left="2330"/>
        <w:rPr>
          <w:rFonts w:ascii="楷体" w:hAnsi="楷体" w:eastAsia="楷体" w:cs="楷体"/>
          <w:sz w:val="35"/>
          <w:szCs w:val="35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2094865</wp:posOffset>
            </wp:positionH>
            <wp:positionV relativeFrom="paragraph">
              <wp:posOffset>-584200</wp:posOffset>
            </wp:positionV>
            <wp:extent cx="1555750" cy="1651000"/>
            <wp:effectExtent l="0" t="0" r="0" b="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1555732" cy="16510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楷体" w:hAnsi="楷体" w:eastAsia="楷体" w:cs="楷体"/>
          <w:spacing w:val="2"/>
          <w:sz w:val="35"/>
          <w:szCs w:val="35"/>
        </w:rPr>
        <w:t>曲阳县住房和城乡建设局</w:t>
      </w:r>
    </w:p>
    <w:p w14:paraId="4553419C">
      <w:pPr>
        <w:spacing w:before="192" w:line="225" w:lineRule="auto"/>
        <w:ind w:left="3309"/>
        <w:rPr>
          <w:rFonts w:ascii="楷体" w:hAnsi="楷体" w:eastAsia="楷体" w:cs="楷体"/>
          <w:sz w:val="35"/>
          <w:szCs w:val="35"/>
        </w:rPr>
      </w:pPr>
      <w:r>
        <w:rPr>
          <w:rFonts w:ascii="楷体" w:hAnsi="楷体" w:eastAsia="楷体" w:cs="楷体"/>
          <w:spacing w:val="52"/>
          <w:sz w:val="35"/>
          <w:szCs w:val="35"/>
        </w:rPr>
        <w:t>2021年4月</w:t>
      </w:r>
    </w:p>
    <w:p w14:paraId="72D2FFB5">
      <w:pPr>
        <w:spacing w:line="225" w:lineRule="auto"/>
        <w:rPr>
          <w:rFonts w:ascii="楷体" w:hAnsi="楷体" w:eastAsia="楷体" w:cs="楷体"/>
          <w:sz w:val="35"/>
          <w:szCs w:val="35"/>
        </w:rPr>
        <w:sectPr>
          <w:headerReference r:id="rId5" w:type="default"/>
          <w:pgSz w:w="11900" w:h="16820"/>
          <w:pgMar w:top="1199" w:right="1549" w:bottom="0" w:left="1460" w:header="1179" w:footer="0" w:gutter="0"/>
          <w:cols w:space="720" w:num="1"/>
        </w:sectPr>
      </w:pPr>
    </w:p>
    <w:p w14:paraId="22B41284">
      <w:pPr>
        <w:pStyle w:val="2"/>
        <w:spacing w:line="242" w:lineRule="auto"/>
      </w:pPr>
    </w:p>
    <w:p w14:paraId="7B20B1B6">
      <w:pPr>
        <w:pStyle w:val="2"/>
        <w:spacing w:line="242" w:lineRule="auto"/>
      </w:pPr>
    </w:p>
    <w:p w14:paraId="2023C88E">
      <w:pPr>
        <w:pStyle w:val="2"/>
        <w:spacing w:line="243" w:lineRule="auto"/>
      </w:pPr>
    </w:p>
    <w:sdt>
      <w:sdtPr>
        <w:rPr>
          <w:rFonts w:ascii="宋体" w:hAnsi="宋体" w:eastAsia="宋体" w:cs="宋体"/>
          <w:sz w:val="38"/>
          <w:szCs w:val="38"/>
        </w:rPr>
        <w:id w:val="147483352"/>
        <w:docPartObj>
          <w:docPartGallery w:val="Table of Contents"/>
          <w:docPartUnique/>
        </w:docPartObj>
      </w:sdtPr>
      <w:sdtEndPr>
        <w:rPr>
          <w:rFonts w:ascii="Times New Roman" w:hAnsi="Times New Roman" w:eastAsia="Times New Roman" w:cs="Times New Roman"/>
          <w:sz w:val="24"/>
          <w:szCs w:val="24"/>
        </w:rPr>
      </w:sdtEndPr>
      <w:sdtContent>
        <w:p w14:paraId="1B62BCF9">
          <w:pPr>
            <w:spacing w:before="123" w:line="221" w:lineRule="auto"/>
            <w:ind w:left="4115"/>
            <w:rPr>
              <w:rFonts w:ascii="宋体" w:hAnsi="宋体" w:eastAsia="宋体" w:cs="宋体"/>
              <w:sz w:val="38"/>
              <w:szCs w:val="38"/>
            </w:rPr>
          </w:pPr>
          <w:r>
            <w:rPr>
              <w:rFonts w:ascii="宋体" w:hAnsi="宋体" w:eastAsia="宋体" w:cs="宋体"/>
              <w:b/>
              <w:bCs/>
              <w:spacing w:val="-48"/>
              <w:sz w:val="38"/>
              <w:szCs w:val="38"/>
            </w:rPr>
            <w:t>目</w:t>
          </w:r>
          <w:r>
            <w:rPr>
              <w:rFonts w:ascii="宋体" w:hAnsi="宋体" w:eastAsia="宋体" w:cs="宋体"/>
              <w:spacing w:val="-50"/>
              <w:sz w:val="38"/>
              <w:szCs w:val="38"/>
            </w:rPr>
            <w:t xml:space="preserve"> </w:t>
          </w:r>
          <w:r>
            <w:rPr>
              <w:rFonts w:ascii="宋体" w:hAnsi="宋体" w:eastAsia="宋体" w:cs="宋体"/>
              <w:b/>
              <w:bCs/>
              <w:spacing w:val="-48"/>
              <w:sz w:val="38"/>
              <w:szCs w:val="38"/>
            </w:rPr>
            <w:t>录</w:t>
          </w:r>
        </w:p>
        <w:p w14:paraId="29CC77B6">
          <w:pPr>
            <w:tabs>
              <w:tab w:val="right" w:leader="dot" w:pos="8202"/>
            </w:tabs>
            <w:spacing w:before="109" w:line="219" w:lineRule="auto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"bookmark1" </w:instrText>
          </w:r>
          <w:r>
            <w:fldChar w:fldCharType="separate"/>
          </w:r>
          <w:r>
            <w:rPr>
              <w:rFonts w:ascii="宋体" w:hAnsi="宋体" w:eastAsia="宋体" w:cs="宋体"/>
              <w:spacing w:val="-5"/>
              <w:sz w:val="24"/>
              <w:szCs w:val="24"/>
            </w:rPr>
            <w:t>第一部分</w:t>
          </w:r>
          <w:r>
            <w:rPr>
              <w:rFonts w:ascii="宋体" w:hAnsi="宋体" w:eastAsia="宋体" w:cs="宋体"/>
              <w:spacing w:val="44"/>
              <w:sz w:val="24"/>
              <w:szCs w:val="24"/>
            </w:rPr>
            <w:t xml:space="preserve">  </w:t>
          </w:r>
          <w:r>
            <w:rPr>
              <w:rFonts w:ascii="宋体" w:hAnsi="宋体" w:eastAsia="宋体" w:cs="宋体"/>
              <w:spacing w:val="-5"/>
              <w:sz w:val="24"/>
              <w:szCs w:val="24"/>
            </w:rPr>
            <w:t>摘</w:t>
          </w:r>
          <w:r>
            <w:rPr>
              <w:rFonts w:ascii="宋体" w:hAnsi="宋体" w:eastAsia="宋体" w:cs="宋体"/>
              <w:spacing w:val="93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5"/>
              <w:sz w:val="24"/>
              <w:szCs w:val="24"/>
            </w:rPr>
            <w:t>要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t>1</w:t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fldChar w:fldCharType="end"/>
          </w:r>
        </w:p>
        <w:p w14:paraId="689C58D1">
          <w:pPr>
            <w:tabs>
              <w:tab w:val="right" w:leader="dot" w:pos="8210"/>
            </w:tabs>
            <w:spacing w:before="119" w:line="218" w:lineRule="auto"/>
            <w:ind w:left="3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"bookmark2" </w:instrText>
          </w:r>
          <w:r>
            <w:fldChar w:fldCharType="separate"/>
          </w:r>
          <w:r>
            <w:rPr>
              <w:rFonts w:ascii="宋体" w:hAnsi="宋体" w:eastAsia="宋体" w:cs="宋体"/>
              <w:b/>
              <w:bCs/>
              <w:spacing w:val="11"/>
              <w:sz w:val="24"/>
              <w:szCs w:val="24"/>
            </w:rPr>
            <w:t>第二部分</w:t>
          </w:r>
          <w:r>
            <w:rPr>
              <w:rFonts w:ascii="宋体" w:hAnsi="宋体" w:eastAsia="宋体" w:cs="宋体"/>
              <w:spacing w:val="49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b/>
              <w:bCs/>
              <w:spacing w:val="11"/>
              <w:sz w:val="24"/>
              <w:szCs w:val="24"/>
            </w:rPr>
            <w:t>整体支出绩效自评报告</w:t>
          </w:r>
          <w:r>
            <w:rPr>
              <w:rFonts w:ascii="宋体" w:hAnsi="宋体" w:eastAsia="宋体" w:cs="宋体"/>
              <w:b/>
              <w:bCs/>
              <w:sz w:val="24"/>
              <w:szCs w:val="24"/>
            </w:rPr>
            <w:tab/>
          </w:r>
          <w:r>
            <w:rPr>
              <w:rFonts w:ascii="宋体" w:hAnsi="宋体" w:eastAsia="宋体" w:cs="宋体"/>
              <w:spacing w:val="-43"/>
              <w:sz w:val="24"/>
              <w:szCs w:val="24"/>
            </w:rPr>
            <w:t xml:space="preserve"> </w:t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t>3</w:t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fldChar w:fldCharType="end"/>
          </w:r>
        </w:p>
        <w:p w14:paraId="7A984FDA">
          <w:pPr>
            <w:tabs>
              <w:tab w:val="right" w:leader="dot" w:pos="8200"/>
            </w:tabs>
            <w:spacing w:before="117" w:line="219" w:lineRule="auto"/>
            <w:ind w:left="3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"bookmark3" </w:instrText>
          </w:r>
          <w:r>
            <w:fldChar w:fldCharType="separate"/>
          </w:r>
          <w:r>
            <w:rPr>
              <w:rFonts w:ascii="宋体" w:hAnsi="宋体" w:eastAsia="宋体" w:cs="宋体"/>
              <w:b/>
              <w:bCs/>
              <w:spacing w:val="-6"/>
              <w:sz w:val="24"/>
              <w:szCs w:val="24"/>
            </w:rPr>
            <w:t>一</w:t>
          </w:r>
          <w:r>
            <w:rPr>
              <w:rFonts w:ascii="宋体" w:hAnsi="宋体" w:eastAsia="宋体" w:cs="宋体"/>
              <w:spacing w:val="-69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b/>
              <w:bCs/>
              <w:spacing w:val="-6"/>
              <w:sz w:val="24"/>
              <w:szCs w:val="24"/>
            </w:rPr>
            <w:t>、曲阳县住房和城乡建设局基本情况</w:t>
          </w:r>
          <w:r>
            <w:rPr>
              <w:rFonts w:ascii="宋体" w:hAnsi="宋体" w:eastAsia="宋体" w:cs="宋体"/>
              <w:spacing w:val="-107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t>3</w:t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fldChar w:fldCharType="end"/>
          </w:r>
        </w:p>
        <w:p w14:paraId="5B77FF6A">
          <w:pPr>
            <w:tabs>
              <w:tab w:val="right" w:leader="dot" w:pos="8220"/>
            </w:tabs>
            <w:spacing w:before="130" w:line="219" w:lineRule="auto"/>
            <w:ind w:left="370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"bookmark4" </w:instrText>
          </w:r>
          <w:r>
            <w:fldChar w:fldCharType="separate"/>
          </w:r>
          <w:r>
            <w:rPr>
              <w:rFonts w:ascii="宋体" w:hAnsi="宋体" w:eastAsia="宋体" w:cs="宋体"/>
              <w:spacing w:val="-5"/>
              <w:sz w:val="24"/>
              <w:szCs w:val="24"/>
            </w:rPr>
            <w:t>(</w:t>
          </w:r>
          <w:r>
            <w:rPr>
              <w:rFonts w:ascii="宋体" w:hAnsi="宋体" w:eastAsia="宋体" w:cs="宋体"/>
              <w:spacing w:val="-36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5"/>
              <w:sz w:val="24"/>
              <w:szCs w:val="24"/>
            </w:rPr>
            <w:t>一</w:t>
          </w:r>
          <w:r>
            <w:rPr>
              <w:rFonts w:ascii="宋体" w:hAnsi="宋体" w:eastAsia="宋体" w:cs="宋体"/>
              <w:spacing w:val="-48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5"/>
              <w:sz w:val="24"/>
              <w:szCs w:val="24"/>
            </w:rPr>
            <w:t>)部门职责和工作活动</w:t>
          </w:r>
          <w:r>
            <w:rPr>
              <w:rFonts w:ascii="宋体" w:hAnsi="宋体" w:eastAsia="宋体" w:cs="宋体"/>
              <w:spacing w:val="-88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t>3</w:t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fldChar w:fldCharType="end"/>
          </w:r>
        </w:p>
        <w:p w14:paraId="1DCECC55">
          <w:pPr>
            <w:tabs>
              <w:tab w:val="right" w:leader="dot" w:pos="8199"/>
            </w:tabs>
            <w:spacing w:before="136" w:line="219" w:lineRule="auto"/>
            <w:ind w:left="370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"bookmark5" </w:instrText>
          </w:r>
          <w:r>
            <w:fldChar w:fldCharType="separate"/>
          </w:r>
          <w:r>
            <w:rPr>
              <w:rFonts w:ascii="宋体" w:hAnsi="宋体" w:eastAsia="宋体" w:cs="宋体"/>
              <w:spacing w:val="-3"/>
              <w:sz w:val="24"/>
              <w:szCs w:val="24"/>
            </w:rPr>
            <w:t>(</w:t>
          </w:r>
          <w:r>
            <w:rPr>
              <w:rFonts w:ascii="宋体" w:hAnsi="宋体" w:eastAsia="宋体" w:cs="宋体"/>
              <w:spacing w:val="-43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3"/>
              <w:sz w:val="24"/>
              <w:szCs w:val="24"/>
            </w:rPr>
            <w:t>二</w:t>
          </w:r>
          <w:r>
            <w:rPr>
              <w:rFonts w:ascii="宋体" w:hAnsi="宋体" w:eastAsia="宋体" w:cs="宋体"/>
              <w:spacing w:val="-47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3"/>
              <w:sz w:val="24"/>
              <w:szCs w:val="24"/>
            </w:rPr>
            <w:t>)部门年度发展规划总体目标和职责分类绩效目标</w:t>
          </w:r>
          <w:r>
            <w:rPr>
              <w:rFonts w:ascii="宋体" w:hAnsi="宋体" w:eastAsia="宋体" w:cs="宋体"/>
              <w:spacing w:val="-99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t>6</w:t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fldChar w:fldCharType="end"/>
          </w:r>
        </w:p>
        <w:p w14:paraId="248C809E">
          <w:pPr>
            <w:tabs>
              <w:tab w:val="right" w:leader="dot" w:pos="8205"/>
            </w:tabs>
            <w:spacing w:before="105" w:line="219" w:lineRule="auto"/>
            <w:ind w:left="370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"bookmark6" </w:instrText>
          </w:r>
          <w:r>
            <w:fldChar w:fldCharType="separate"/>
          </w:r>
          <w:r>
            <w:rPr>
              <w:rFonts w:ascii="宋体" w:hAnsi="宋体" w:eastAsia="宋体" w:cs="宋体"/>
              <w:spacing w:val="-3"/>
              <w:sz w:val="24"/>
              <w:szCs w:val="24"/>
            </w:rPr>
            <w:t>(</w:t>
          </w:r>
          <w:r>
            <w:rPr>
              <w:rFonts w:ascii="宋体" w:hAnsi="宋体" w:eastAsia="宋体" w:cs="宋体"/>
              <w:spacing w:val="-49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3"/>
              <w:sz w:val="24"/>
              <w:szCs w:val="24"/>
            </w:rPr>
            <w:t>三</w:t>
          </w:r>
          <w:r>
            <w:rPr>
              <w:rFonts w:ascii="宋体" w:hAnsi="宋体" w:eastAsia="宋体" w:cs="宋体"/>
              <w:spacing w:val="-53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3"/>
              <w:sz w:val="24"/>
              <w:szCs w:val="24"/>
            </w:rPr>
            <w:t>)部门预算收入及决算收入</w:t>
          </w:r>
          <w:r>
            <w:rPr>
              <w:rFonts w:ascii="宋体" w:hAnsi="宋体" w:eastAsia="宋体" w:cs="宋体"/>
              <w:spacing w:val="-97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t>8</w:t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fldChar w:fldCharType="end"/>
          </w:r>
        </w:p>
      </w:sdtContent>
    </w:sdt>
    <w:p w14:paraId="5F94D2C9">
      <w:pPr>
        <w:spacing w:before="133" w:line="188" w:lineRule="auto"/>
        <w:ind w:left="380"/>
        <w:rPr>
          <w:rFonts w:ascii="Times New Roman" w:hAnsi="Times New Roman" w:eastAsia="Times New Roman" w:cs="Times New Roman"/>
          <w:sz w:val="29"/>
          <w:szCs w:val="29"/>
        </w:rPr>
      </w:pPr>
      <w:r>
        <w:rPr>
          <w:rFonts w:ascii="Times New Roman" w:hAnsi="Times New Roman" w:eastAsia="Times New Roman" w:cs="Times New Roman"/>
          <w:sz w:val="29"/>
          <w:szCs w:val="29"/>
        </w:rPr>
        <w:t>9</w:t>
      </w:r>
    </w:p>
    <w:sdt>
      <w:sdtPr>
        <w:rPr>
          <w:rFonts w:ascii="宋体" w:hAnsi="宋体" w:eastAsia="宋体" w:cs="宋体"/>
          <w:sz w:val="24"/>
          <w:szCs w:val="24"/>
        </w:rPr>
        <w:id w:val="147477663"/>
        <w:docPartObj>
          <w:docPartGallery w:val="Table of Contents"/>
          <w:docPartUnique/>
        </w:docPartObj>
      </w:sdtPr>
      <w:sdtEndPr>
        <w:rPr>
          <w:rFonts w:ascii="Times New Roman" w:hAnsi="Times New Roman" w:eastAsia="Times New Roman" w:cs="Times New Roman"/>
          <w:sz w:val="24"/>
          <w:szCs w:val="24"/>
        </w:rPr>
      </w:sdtEndPr>
      <w:sdtContent>
        <w:p w14:paraId="436685AB">
          <w:pPr>
            <w:tabs>
              <w:tab w:val="right" w:leader="dot" w:pos="8190"/>
            </w:tabs>
            <w:spacing w:before="141" w:line="219" w:lineRule="auto"/>
            <w:ind w:left="370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"bookmark7" </w:instrText>
          </w:r>
          <w:r>
            <w:fldChar w:fldCharType="separate"/>
          </w:r>
          <w:r>
            <w:rPr>
              <w:rFonts w:ascii="宋体" w:hAnsi="宋体" w:eastAsia="宋体" w:cs="宋体"/>
              <w:spacing w:val="-7"/>
              <w:sz w:val="24"/>
              <w:szCs w:val="24"/>
            </w:rPr>
            <w:t>(</w:t>
          </w:r>
          <w:r>
            <w:rPr>
              <w:rFonts w:ascii="宋体" w:hAnsi="宋体" w:eastAsia="宋体" w:cs="宋体"/>
              <w:spacing w:val="-38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7"/>
              <w:sz w:val="24"/>
              <w:szCs w:val="24"/>
            </w:rPr>
            <w:t>五</w:t>
          </w:r>
          <w:r>
            <w:rPr>
              <w:rFonts w:ascii="宋体" w:hAnsi="宋体" w:eastAsia="宋体" w:cs="宋体"/>
              <w:spacing w:val="-48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7"/>
              <w:sz w:val="24"/>
              <w:szCs w:val="24"/>
            </w:rPr>
            <w:t>)</w:t>
          </w:r>
          <w:r>
            <w:rPr>
              <w:rFonts w:ascii="宋体" w:hAnsi="宋体" w:eastAsia="宋体" w:cs="宋体"/>
              <w:spacing w:val="-59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7"/>
              <w:sz w:val="24"/>
              <w:szCs w:val="24"/>
            </w:rPr>
            <w:t>“三公”经费预算安排及支出情况</w:t>
          </w:r>
          <w:r>
            <w:rPr>
              <w:rFonts w:ascii="宋体" w:hAnsi="宋体" w:eastAsia="宋体" w:cs="宋体"/>
              <w:spacing w:val="-101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宋体" w:hAnsi="宋体" w:eastAsia="宋体" w:cs="宋体"/>
              <w:spacing w:val="-33"/>
              <w:sz w:val="24"/>
              <w:szCs w:val="24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8"/>
              <w:sz w:val="24"/>
              <w:szCs w:val="24"/>
            </w:rPr>
            <w:t>10</w:t>
          </w:r>
          <w:r>
            <w:rPr>
              <w:rFonts w:ascii="Times New Roman" w:hAnsi="Times New Roman" w:eastAsia="Times New Roman" w:cs="Times New Roman"/>
              <w:spacing w:val="-8"/>
              <w:sz w:val="24"/>
              <w:szCs w:val="24"/>
            </w:rPr>
            <w:fldChar w:fldCharType="end"/>
          </w:r>
        </w:p>
        <w:p w14:paraId="6B9CD55C">
          <w:pPr>
            <w:tabs>
              <w:tab w:val="right" w:leader="dot" w:pos="8210"/>
            </w:tabs>
            <w:spacing w:before="132" w:line="219" w:lineRule="auto"/>
            <w:ind w:left="3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"bookmark8" </w:instrText>
          </w:r>
          <w:r>
            <w:fldChar w:fldCharType="separate"/>
          </w:r>
          <w:r>
            <w:rPr>
              <w:rFonts w:ascii="宋体" w:hAnsi="宋体" w:eastAsia="宋体" w:cs="宋体"/>
              <w:b/>
              <w:bCs/>
              <w:spacing w:val="-5"/>
              <w:sz w:val="24"/>
              <w:szCs w:val="24"/>
            </w:rPr>
            <w:t>二、部门整体支出绩效自评指标体系设定情况</w:t>
          </w:r>
          <w:r>
            <w:rPr>
              <w:rFonts w:ascii="宋体" w:hAnsi="宋体" w:eastAsia="宋体" w:cs="宋体"/>
              <w:spacing w:val="-65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宋体" w:hAnsi="宋体" w:eastAsia="宋体" w:cs="宋体"/>
              <w:spacing w:val="-23"/>
              <w:sz w:val="24"/>
              <w:szCs w:val="24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8"/>
              <w:sz w:val="24"/>
              <w:szCs w:val="24"/>
            </w:rPr>
            <w:t>11</w:t>
          </w:r>
          <w:r>
            <w:rPr>
              <w:rFonts w:ascii="Times New Roman" w:hAnsi="Times New Roman" w:eastAsia="Times New Roman" w:cs="Times New Roman"/>
              <w:spacing w:val="-8"/>
              <w:sz w:val="24"/>
              <w:szCs w:val="24"/>
            </w:rPr>
            <w:fldChar w:fldCharType="end"/>
          </w:r>
        </w:p>
        <w:p w14:paraId="3AF31319">
          <w:pPr>
            <w:tabs>
              <w:tab w:val="right" w:leader="dot" w:pos="8200"/>
            </w:tabs>
            <w:spacing w:before="109" w:line="220" w:lineRule="auto"/>
            <w:ind w:left="370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"bookmark9" </w:instrText>
          </w:r>
          <w:r>
            <w:fldChar w:fldCharType="separate"/>
          </w:r>
          <w:r>
            <w:rPr>
              <w:rFonts w:ascii="宋体" w:hAnsi="宋体" w:eastAsia="宋体" w:cs="宋体"/>
              <w:spacing w:val="-2"/>
              <w:sz w:val="24"/>
              <w:szCs w:val="24"/>
            </w:rPr>
            <w:t>(</w:t>
          </w:r>
          <w:r>
            <w:rPr>
              <w:rFonts w:ascii="宋体" w:hAnsi="宋体" w:eastAsia="宋体" w:cs="宋体"/>
              <w:spacing w:val="-39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2"/>
              <w:sz w:val="24"/>
              <w:szCs w:val="24"/>
            </w:rPr>
            <w:t>一</w:t>
          </w:r>
          <w:r>
            <w:rPr>
              <w:rFonts w:ascii="宋体" w:hAnsi="宋体" w:eastAsia="宋体" w:cs="宋体"/>
              <w:spacing w:val="-42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2"/>
              <w:sz w:val="24"/>
              <w:szCs w:val="24"/>
            </w:rPr>
            <w:t>)投入</w:t>
          </w:r>
          <w:r>
            <w:rPr>
              <w:rFonts w:ascii="宋体" w:hAnsi="宋体" w:eastAsia="宋体" w:cs="宋体"/>
              <w:spacing w:val="-101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宋体" w:hAnsi="宋体" w:eastAsia="宋体" w:cs="宋体"/>
              <w:spacing w:val="-83"/>
              <w:sz w:val="24"/>
              <w:szCs w:val="24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8"/>
              <w:sz w:val="24"/>
              <w:szCs w:val="24"/>
            </w:rPr>
            <w:t>12</w:t>
          </w:r>
          <w:r>
            <w:rPr>
              <w:rFonts w:ascii="Times New Roman" w:hAnsi="Times New Roman" w:eastAsia="Times New Roman" w:cs="Times New Roman"/>
              <w:spacing w:val="-8"/>
              <w:sz w:val="24"/>
              <w:szCs w:val="24"/>
            </w:rPr>
            <w:fldChar w:fldCharType="end"/>
          </w:r>
        </w:p>
        <w:p w14:paraId="46513389">
          <w:pPr>
            <w:tabs>
              <w:tab w:val="right" w:leader="dot" w:pos="8210"/>
            </w:tabs>
            <w:spacing w:before="124" w:line="220" w:lineRule="auto"/>
            <w:ind w:left="370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"bookmark10" </w:instrText>
          </w:r>
          <w:r>
            <w:fldChar w:fldCharType="separate"/>
          </w:r>
          <w:r>
            <w:rPr>
              <w:rFonts w:ascii="宋体" w:hAnsi="宋体" w:eastAsia="宋体" w:cs="宋体"/>
              <w:spacing w:val="-10"/>
              <w:sz w:val="24"/>
              <w:szCs w:val="24"/>
            </w:rPr>
            <w:t>(</w:t>
          </w:r>
          <w:r>
            <w:rPr>
              <w:rFonts w:ascii="宋体" w:hAnsi="宋体" w:eastAsia="宋体" w:cs="宋体"/>
              <w:spacing w:val="-44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10"/>
              <w:sz w:val="24"/>
              <w:szCs w:val="24"/>
            </w:rPr>
            <w:t>二</w:t>
          </w:r>
          <w:r>
            <w:rPr>
              <w:rFonts w:ascii="宋体" w:hAnsi="宋体" w:eastAsia="宋体" w:cs="宋体"/>
              <w:spacing w:val="-48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10"/>
              <w:sz w:val="24"/>
              <w:szCs w:val="24"/>
            </w:rPr>
            <w:t>)过程</w:t>
          </w:r>
          <w:r>
            <w:rPr>
              <w:rFonts w:ascii="宋体" w:hAnsi="宋体" w:eastAsia="宋体" w:cs="宋体"/>
              <w:spacing w:val="-80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宋体" w:hAnsi="宋体" w:eastAsia="宋体" w:cs="宋体"/>
              <w:spacing w:val="-43"/>
              <w:sz w:val="24"/>
              <w:szCs w:val="24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8"/>
              <w:sz w:val="24"/>
              <w:szCs w:val="24"/>
            </w:rPr>
            <w:t>12</w:t>
          </w:r>
          <w:r>
            <w:rPr>
              <w:rFonts w:ascii="Times New Roman" w:hAnsi="Times New Roman" w:eastAsia="Times New Roman" w:cs="Times New Roman"/>
              <w:spacing w:val="-8"/>
              <w:sz w:val="24"/>
              <w:szCs w:val="24"/>
            </w:rPr>
            <w:fldChar w:fldCharType="end"/>
          </w:r>
        </w:p>
        <w:p w14:paraId="60DE57D5">
          <w:pPr>
            <w:tabs>
              <w:tab w:val="right" w:leader="dot" w:pos="8200"/>
            </w:tabs>
            <w:spacing w:before="114" w:line="219" w:lineRule="auto"/>
            <w:ind w:left="370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"bookmark11" </w:instrText>
          </w:r>
          <w:r>
            <w:fldChar w:fldCharType="separate"/>
          </w:r>
          <w:r>
            <w:rPr>
              <w:rFonts w:ascii="宋体" w:hAnsi="宋体" w:eastAsia="宋体" w:cs="宋体"/>
              <w:spacing w:val="-3"/>
              <w:sz w:val="24"/>
              <w:szCs w:val="24"/>
            </w:rPr>
            <w:t>(</w:t>
          </w:r>
          <w:r>
            <w:rPr>
              <w:rFonts w:ascii="宋体" w:hAnsi="宋体" w:eastAsia="宋体" w:cs="宋体"/>
              <w:spacing w:val="-44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3"/>
              <w:sz w:val="24"/>
              <w:szCs w:val="24"/>
            </w:rPr>
            <w:t>三</w:t>
          </w:r>
          <w:r>
            <w:rPr>
              <w:rFonts w:ascii="宋体" w:hAnsi="宋体" w:eastAsia="宋体" w:cs="宋体"/>
              <w:spacing w:val="-43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3"/>
              <w:sz w:val="24"/>
              <w:szCs w:val="24"/>
            </w:rPr>
            <w:t>)产出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宋体" w:hAnsi="宋体" w:eastAsia="宋体" w:cs="宋体"/>
              <w:spacing w:val="-53"/>
              <w:sz w:val="24"/>
              <w:szCs w:val="24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8"/>
              <w:sz w:val="24"/>
              <w:szCs w:val="24"/>
            </w:rPr>
            <w:t>13</w:t>
          </w:r>
          <w:r>
            <w:rPr>
              <w:rFonts w:ascii="Times New Roman" w:hAnsi="Times New Roman" w:eastAsia="Times New Roman" w:cs="Times New Roman"/>
              <w:spacing w:val="-8"/>
              <w:sz w:val="24"/>
              <w:szCs w:val="24"/>
            </w:rPr>
            <w:fldChar w:fldCharType="end"/>
          </w:r>
        </w:p>
        <w:p w14:paraId="63FDC115">
          <w:pPr>
            <w:tabs>
              <w:tab w:val="right" w:leader="dot" w:pos="8210"/>
            </w:tabs>
            <w:spacing w:before="126" w:line="220" w:lineRule="auto"/>
            <w:ind w:left="370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"bookmark12" </w:instrText>
          </w:r>
          <w:r>
            <w:fldChar w:fldCharType="separate"/>
          </w:r>
          <w:r>
            <w:rPr>
              <w:rFonts w:ascii="宋体" w:hAnsi="宋体" w:eastAsia="宋体" w:cs="宋体"/>
              <w:spacing w:val="-5"/>
              <w:sz w:val="24"/>
              <w:szCs w:val="24"/>
            </w:rPr>
            <w:t>(</w:t>
          </w:r>
          <w:r>
            <w:rPr>
              <w:rFonts w:ascii="宋体" w:hAnsi="宋体" w:eastAsia="宋体" w:cs="宋体"/>
              <w:spacing w:val="-25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5"/>
              <w:sz w:val="24"/>
              <w:szCs w:val="24"/>
            </w:rPr>
            <w:t>四</w:t>
          </w:r>
          <w:r>
            <w:rPr>
              <w:rFonts w:ascii="宋体" w:hAnsi="宋体" w:eastAsia="宋体" w:cs="宋体"/>
              <w:spacing w:val="-47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5"/>
              <w:sz w:val="24"/>
              <w:szCs w:val="24"/>
            </w:rPr>
            <w:t>)效果</w:t>
          </w:r>
          <w:r>
            <w:rPr>
              <w:rFonts w:ascii="宋体" w:hAnsi="宋体" w:eastAsia="宋体" w:cs="宋体"/>
              <w:spacing w:val="-105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宋体" w:hAnsi="宋体" w:eastAsia="宋体" w:cs="宋体"/>
              <w:spacing w:val="-63"/>
              <w:sz w:val="24"/>
              <w:szCs w:val="24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8"/>
              <w:sz w:val="24"/>
              <w:szCs w:val="24"/>
            </w:rPr>
            <w:t>13</w:t>
          </w:r>
          <w:r>
            <w:rPr>
              <w:rFonts w:ascii="Times New Roman" w:hAnsi="Times New Roman" w:eastAsia="Times New Roman" w:cs="Times New Roman"/>
              <w:spacing w:val="-8"/>
              <w:sz w:val="24"/>
              <w:szCs w:val="24"/>
            </w:rPr>
            <w:fldChar w:fldCharType="end"/>
          </w:r>
        </w:p>
        <w:p w14:paraId="226206BB">
          <w:pPr>
            <w:tabs>
              <w:tab w:val="right" w:leader="dot" w:pos="8170"/>
            </w:tabs>
            <w:spacing w:before="110" w:line="220" w:lineRule="auto"/>
            <w:ind w:left="3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"bookmark13" </w:instrText>
          </w:r>
          <w:r>
            <w:fldChar w:fldCharType="separate"/>
          </w:r>
          <w:r>
            <w:rPr>
              <w:rFonts w:ascii="宋体" w:hAnsi="宋体" w:eastAsia="宋体" w:cs="宋体"/>
              <w:b/>
              <w:bCs/>
              <w:spacing w:val="-2"/>
              <w:sz w:val="24"/>
              <w:szCs w:val="24"/>
            </w:rPr>
            <w:t>三、绩效自评开展情况</w:t>
          </w:r>
          <w:r>
            <w:rPr>
              <w:rFonts w:ascii="宋体" w:hAnsi="宋体" w:eastAsia="宋体" w:cs="宋体"/>
              <w:spacing w:val="-100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宋体" w:hAnsi="宋体" w:eastAsia="宋体" w:cs="宋体"/>
              <w:spacing w:val="-83"/>
              <w:sz w:val="24"/>
              <w:szCs w:val="24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8"/>
              <w:sz w:val="24"/>
              <w:szCs w:val="24"/>
            </w:rPr>
            <w:t>13</w:t>
          </w:r>
          <w:r>
            <w:rPr>
              <w:rFonts w:ascii="Times New Roman" w:hAnsi="Times New Roman" w:eastAsia="Times New Roman" w:cs="Times New Roman"/>
              <w:spacing w:val="-8"/>
              <w:sz w:val="24"/>
              <w:szCs w:val="24"/>
            </w:rPr>
            <w:fldChar w:fldCharType="end"/>
          </w:r>
        </w:p>
        <w:p w14:paraId="0BA01985">
          <w:pPr>
            <w:tabs>
              <w:tab w:val="right" w:leader="dot" w:pos="8200"/>
            </w:tabs>
            <w:spacing w:before="168" w:line="220" w:lineRule="auto"/>
            <w:ind w:left="370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"bookmark14" </w:instrText>
          </w:r>
          <w:r>
            <w:fldChar w:fldCharType="separate"/>
          </w:r>
          <w:r>
            <w:rPr>
              <w:rFonts w:ascii="宋体" w:hAnsi="宋体" w:eastAsia="宋体" w:cs="宋体"/>
              <w:spacing w:val="6"/>
              <w:sz w:val="24"/>
              <w:szCs w:val="24"/>
            </w:rPr>
            <w:t>(</w:t>
          </w:r>
          <w:r>
            <w:rPr>
              <w:rFonts w:ascii="宋体" w:hAnsi="宋体" w:eastAsia="宋体" w:cs="宋体"/>
              <w:spacing w:val="-39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6"/>
              <w:sz w:val="24"/>
              <w:szCs w:val="24"/>
            </w:rPr>
            <w:t>一</w:t>
          </w:r>
          <w:r>
            <w:rPr>
              <w:rFonts w:ascii="宋体" w:hAnsi="宋体" w:eastAsia="宋体" w:cs="宋体"/>
              <w:spacing w:val="-48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6"/>
              <w:sz w:val="24"/>
              <w:szCs w:val="24"/>
            </w:rPr>
            <w:t>)绩效自评目的</w:t>
          </w:r>
          <w:r>
            <w:rPr>
              <w:rFonts w:ascii="宋体" w:hAnsi="宋体" w:eastAsia="宋体" w:cs="宋体"/>
              <w:spacing w:val="-109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Times New Roman" w:hAnsi="Times New Roman" w:eastAsia="Times New Roman" w:cs="Times New Roman"/>
              <w:spacing w:val="-11"/>
              <w:sz w:val="24"/>
              <w:szCs w:val="24"/>
            </w:rPr>
            <w:t>13</w:t>
          </w:r>
          <w:r>
            <w:rPr>
              <w:rFonts w:ascii="Times New Roman" w:hAnsi="Times New Roman" w:eastAsia="Times New Roman" w:cs="Times New Roman"/>
              <w:spacing w:val="-11"/>
              <w:sz w:val="24"/>
              <w:szCs w:val="24"/>
            </w:rPr>
            <w:fldChar w:fldCharType="end"/>
          </w:r>
        </w:p>
        <w:p w14:paraId="266067A8">
          <w:pPr>
            <w:tabs>
              <w:tab w:val="right" w:leader="dot" w:pos="8200"/>
            </w:tabs>
            <w:spacing w:before="191" w:line="219" w:lineRule="auto"/>
            <w:ind w:left="370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"bookmark15" </w:instrText>
          </w:r>
          <w:r>
            <w:fldChar w:fldCharType="separate"/>
          </w:r>
          <w:r>
            <w:rPr>
              <w:rFonts w:ascii="宋体" w:hAnsi="宋体" w:eastAsia="宋体" w:cs="宋体"/>
              <w:spacing w:val="6"/>
              <w:sz w:val="24"/>
              <w:szCs w:val="24"/>
            </w:rPr>
            <w:t>(</w:t>
          </w:r>
          <w:r>
            <w:rPr>
              <w:rFonts w:ascii="宋体" w:hAnsi="宋体" w:eastAsia="宋体" w:cs="宋体"/>
              <w:spacing w:val="-44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6"/>
              <w:sz w:val="24"/>
              <w:szCs w:val="24"/>
            </w:rPr>
            <w:t>二</w:t>
          </w:r>
          <w:r>
            <w:rPr>
              <w:rFonts w:ascii="宋体" w:hAnsi="宋体" w:eastAsia="宋体" w:cs="宋体"/>
              <w:spacing w:val="-47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6"/>
              <w:sz w:val="24"/>
              <w:szCs w:val="24"/>
            </w:rPr>
            <w:t>)绩效自评依据</w:t>
          </w:r>
          <w:r>
            <w:rPr>
              <w:rFonts w:ascii="宋体" w:hAnsi="宋体" w:eastAsia="宋体" w:cs="宋体"/>
              <w:spacing w:val="-105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Times New Roman" w:hAnsi="Times New Roman" w:eastAsia="Times New Roman" w:cs="Times New Roman"/>
              <w:spacing w:val="-11"/>
              <w:sz w:val="24"/>
              <w:szCs w:val="24"/>
            </w:rPr>
            <w:t>14</w:t>
          </w:r>
          <w:r>
            <w:rPr>
              <w:rFonts w:ascii="Times New Roman" w:hAnsi="Times New Roman" w:eastAsia="Times New Roman" w:cs="Times New Roman"/>
              <w:spacing w:val="-11"/>
              <w:sz w:val="24"/>
              <w:szCs w:val="24"/>
            </w:rPr>
            <w:fldChar w:fldCharType="end"/>
          </w:r>
        </w:p>
        <w:p w14:paraId="5B99EBE0">
          <w:pPr>
            <w:tabs>
              <w:tab w:val="right" w:leader="dot" w:pos="8190"/>
            </w:tabs>
            <w:spacing w:before="187" w:line="219" w:lineRule="auto"/>
            <w:ind w:left="370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"bookmark16" </w:instrText>
          </w:r>
          <w:r>
            <w:fldChar w:fldCharType="separate"/>
          </w:r>
          <w:r>
            <w:rPr>
              <w:rFonts w:ascii="宋体" w:hAnsi="宋体" w:eastAsia="宋体" w:cs="宋体"/>
              <w:spacing w:val="6"/>
              <w:sz w:val="24"/>
              <w:szCs w:val="24"/>
            </w:rPr>
            <w:t>(</w:t>
          </w:r>
          <w:r>
            <w:rPr>
              <w:rFonts w:ascii="宋体" w:hAnsi="宋体" w:eastAsia="宋体" w:cs="宋体"/>
              <w:spacing w:val="-46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6"/>
              <w:sz w:val="24"/>
              <w:szCs w:val="24"/>
            </w:rPr>
            <w:t>三</w:t>
          </w:r>
          <w:r>
            <w:rPr>
              <w:rFonts w:ascii="宋体" w:hAnsi="宋体" w:eastAsia="宋体" w:cs="宋体"/>
              <w:spacing w:val="-47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6"/>
              <w:sz w:val="24"/>
              <w:szCs w:val="24"/>
            </w:rPr>
            <w:t>)绩效自评内容</w:t>
          </w:r>
          <w:r>
            <w:rPr>
              <w:rFonts w:ascii="宋体" w:hAnsi="宋体" w:eastAsia="宋体" w:cs="宋体"/>
              <w:spacing w:val="-103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Times New Roman" w:hAnsi="Times New Roman" w:eastAsia="Times New Roman" w:cs="Times New Roman"/>
              <w:spacing w:val="-7"/>
              <w:sz w:val="24"/>
              <w:szCs w:val="24"/>
            </w:rPr>
            <w:t>14</w:t>
          </w:r>
          <w:r>
            <w:rPr>
              <w:rFonts w:ascii="Times New Roman" w:hAnsi="Times New Roman" w:eastAsia="Times New Roman" w:cs="Times New Roman"/>
              <w:spacing w:val="-7"/>
              <w:sz w:val="24"/>
              <w:szCs w:val="24"/>
            </w:rPr>
            <w:fldChar w:fldCharType="end"/>
          </w:r>
        </w:p>
        <w:p w14:paraId="1A0B2938">
          <w:pPr>
            <w:tabs>
              <w:tab w:val="right" w:leader="dot" w:pos="8200"/>
            </w:tabs>
            <w:spacing w:before="186" w:line="220" w:lineRule="auto"/>
            <w:ind w:left="370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"bookmark17" </w:instrText>
          </w:r>
          <w:r>
            <w:fldChar w:fldCharType="separate"/>
          </w:r>
          <w:r>
            <w:rPr>
              <w:rFonts w:ascii="宋体" w:hAnsi="宋体" w:eastAsia="宋体" w:cs="宋体"/>
              <w:spacing w:val="5"/>
              <w:sz w:val="24"/>
              <w:szCs w:val="24"/>
            </w:rPr>
            <w:t>(</w:t>
          </w:r>
          <w:r>
            <w:rPr>
              <w:rFonts w:ascii="宋体" w:hAnsi="宋体" w:eastAsia="宋体" w:cs="宋体"/>
              <w:spacing w:val="-27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5"/>
              <w:sz w:val="24"/>
              <w:szCs w:val="24"/>
            </w:rPr>
            <w:t>四</w:t>
          </w:r>
          <w:r>
            <w:rPr>
              <w:rFonts w:ascii="宋体" w:hAnsi="宋体" w:eastAsia="宋体" w:cs="宋体"/>
              <w:spacing w:val="-48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5"/>
              <w:sz w:val="24"/>
              <w:szCs w:val="24"/>
            </w:rPr>
            <w:t>)绩效自评原则</w:t>
          </w:r>
          <w:r>
            <w:rPr>
              <w:rFonts w:ascii="宋体" w:hAnsi="宋体" w:eastAsia="宋体" w:cs="宋体"/>
              <w:spacing w:val="-112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Times New Roman" w:hAnsi="Times New Roman" w:eastAsia="Times New Roman" w:cs="Times New Roman"/>
              <w:spacing w:val="-11"/>
              <w:sz w:val="24"/>
              <w:szCs w:val="24"/>
            </w:rPr>
            <w:t>15</w:t>
          </w:r>
          <w:r>
            <w:rPr>
              <w:rFonts w:ascii="Times New Roman" w:hAnsi="Times New Roman" w:eastAsia="Times New Roman" w:cs="Times New Roman"/>
              <w:spacing w:val="-11"/>
              <w:sz w:val="24"/>
              <w:szCs w:val="24"/>
            </w:rPr>
            <w:fldChar w:fldCharType="end"/>
          </w:r>
        </w:p>
        <w:p w14:paraId="215630F1">
          <w:pPr>
            <w:tabs>
              <w:tab w:val="right" w:leader="dot" w:pos="8200"/>
            </w:tabs>
            <w:spacing w:before="194" w:line="220" w:lineRule="auto"/>
            <w:ind w:left="370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"bookmark18" </w:instrText>
          </w:r>
          <w:r>
            <w:fldChar w:fldCharType="separate"/>
          </w:r>
          <w:r>
            <w:rPr>
              <w:rFonts w:ascii="宋体" w:hAnsi="宋体" w:eastAsia="宋体" w:cs="宋体"/>
              <w:spacing w:val="5"/>
              <w:sz w:val="24"/>
              <w:szCs w:val="24"/>
            </w:rPr>
            <w:t>(</w:t>
          </w:r>
          <w:r>
            <w:rPr>
              <w:rFonts w:ascii="宋体" w:hAnsi="宋体" w:eastAsia="宋体" w:cs="宋体"/>
              <w:spacing w:val="-40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5"/>
              <w:sz w:val="24"/>
              <w:szCs w:val="24"/>
            </w:rPr>
            <w:t>五</w:t>
          </w:r>
          <w:r>
            <w:rPr>
              <w:rFonts w:ascii="宋体" w:hAnsi="宋体" w:eastAsia="宋体" w:cs="宋体"/>
              <w:spacing w:val="-48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5"/>
              <w:sz w:val="24"/>
              <w:szCs w:val="24"/>
            </w:rPr>
            <w:t>)绩效自评方法</w:t>
          </w:r>
          <w:r>
            <w:rPr>
              <w:rFonts w:ascii="宋体" w:hAnsi="宋体" w:eastAsia="宋体" w:cs="宋体"/>
              <w:spacing w:val="-99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Times New Roman" w:hAnsi="Times New Roman" w:eastAsia="Times New Roman" w:cs="Times New Roman"/>
              <w:spacing w:val="-11"/>
              <w:sz w:val="24"/>
              <w:szCs w:val="24"/>
            </w:rPr>
            <w:t>15</w:t>
          </w:r>
          <w:r>
            <w:rPr>
              <w:rFonts w:ascii="Times New Roman" w:hAnsi="Times New Roman" w:eastAsia="Times New Roman" w:cs="Times New Roman"/>
              <w:spacing w:val="-11"/>
              <w:sz w:val="24"/>
              <w:szCs w:val="24"/>
            </w:rPr>
            <w:fldChar w:fldCharType="end"/>
          </w:r>
        </w:p>
        <w:p w14:paraId="356477D4">
          <w:pPr>
            <w:tabs>
              <w:tab w:val="right" w:leader="dot" w:pos="8210"/>
            </w:tabs>
            <w:spacing w:before="174" w:line="220" w:lineRule="auto"/>
            <w:ind w:left="370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"bookmark19" </w:instrText>
          </w:r>
          <w:r>
            <w:fldChar w:fldCharType="separate"/>
          </w:r>
          <w:r>
            <w:rPr>
              <w:rFonts w:ascii="宋体" w:hAnsi="宋体" w:eastAsia="宋体" w:cs="宋体"/>
              <w:spacing w:val="4"/>
              <w:sz w:val="24"/>
              <w:szCs w:val="24"/>
            </w:rPr>
            <w:t>(</w:t>
          </w:r>
          <w:r>
            <w:rPr>
              <w:rFonts w:ascii="宋体" w:hAnsi="宋体" w:eastAsia="宋体" w:cs="宋体"/>
              <w:spacing w:val="-41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4"/>
              <w:sz w:val="24"/>
              <w:szCs w:val="24"/>
            </w:rPr>
            <w:t>六</w:t>
          </w:r>
          <w:r>
            <w:rPr>
              <w:rFonts w:ascii="宋体" w:hAnsi="宋体" w:eastAsia="宋体" w:cs="宋体"/>
              <w:spacing w:val="-48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4"/>
              <w:sz w:val="24"/>
              <w:szCs w:val="24"/>
            </w:rPr>
            <w:t>)绩效自评过程</w:t>
          </w:r>
          <w:r>
            <w:rPr>
              <w:rFonts w:ascii="宋体" w:hAnsi="宋体" w:eastAsia="宋体" w:cs="宋体"/>
              <w:spacing w:val="-99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Times New Roman" w:hAnsi="Times New Roman" w:eastAsia="Times New Roman" w:cs="Times New Roman"/>
              <w:spacing w:val="-6"/>
              <w:sz w:val="24"/>
              <w:szCs w:val="24"/>
            </w:rPr>
            <w:t>16</w:t>
          </w:r>
          <w:r>
            <w:rPr>
              <w:rFonts w:ascii="Times New Roman" w:hAnsi="Times New Roman" w:eastAsia="Times New Roman" w:cs="Times New Roman"/>
              <w:spacing w:val="-6"/>
              <w:sz w:val="24"/>
              <w:szCs w:val="24"/>
            </w:rPr>
            <w:fldChar w:fldCharType="end"/>
          </w:r>
        </w:p>
        <w:p w14:paraId="4AC3E748">
          <w:pPr>
            <w:tabs>
              <w:tab w:val="right" w:leader="dot" w:pos="8200"/>
            </w:tabs>
            <w:spacing w:before="140" w:line="219" w:lineRule="auto"/>
            <w:ind w:left="3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"bookmark20" </w:instrText>
          </w:r>
          <w:r>
            <w:fldChar w:fldCharType="separate"/>
          </w:r>
          <w:r>
            <w:rPr>
              <w:rFonts w:ascii="宋体" w:hAnsi="宋体" w:eastAsia="宋体" w:cs="宋体"/>
              <w:b/>
              <w:bCs/>
              <w:spacing w:val="-9"/>
              <w:sz w:val="24"/>
              <w:szCs w:val="24"/>
            </w:rPr>
            <w:t>四</w:t>
          </w:r>
          <w:r>
            <w:rPr>
              <w:rFonts w:ascii="宋体" w:hAnsi="宋体" w:eastAsia="宋体" w:cs="宋体"/>
              <w:spacing w:val="-53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b/>
              <w:bCs/>
              <w:spacing w:val="-9"/>
              <w:sz w:val="24"/>
              <w:szCs w:val="24"/>
            </w:rPr>
            <w:t>、绩效自评得分情况</w:t>
          </w:r>
          <w:r>
            <w:rPr>
              <w:rFonts w:ascii="宋体" w:hAnsi="宋体" w:eastAsia="宋体" w:cs="宋体"/>
              <w:spacing w:val="-97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宋体" w:hAnsi="宋体" w:eastAsia="宋体" w:cs="宋体"/>
              <w:spacing w:val="-53"/>
              <w:sz w:val="24"/>
              <w:szCs w:val="24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8"/>
              <w:sz w:val="24"/>
              <w:szCs w:val="24"/>
            </w:rPr>
            <w:t>17</w:t>
          </w:r>
          <w:r>
            <w:rPr>
              <w:rFonts w:ascii="Times New Roman" w:hAnsi="Times New Roman" w:eastAsia="Times New Roman" w:cs="Times New Roman"/>
              <w:spacing w:val="-8"/>
              <w:sz w:val="24"/>
              <w:szCs w:val="24"/>
            </w:rPr>
            <w:fldChar w:fldCharType="end"/>
          </w:r>
        </w:p>
        <w:p w14:paraId="75FFC770">
          <w:pPr>
            <w:tabs>
              <w:tab w:val="right" w:leader="dot" w:pos="8220"/>
            </w:tabs>
            <w:spacing w:before="160" w:line="220" w:lineRule="auto"/>
            <w:ind w:left="370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"bookmark21" </w:instrText>
          </w:r>
          <w:r>
            <w:fldChar w:fldCharType="separate"/>
          </w:r>
          <w:r>
            <w:rPr>
              <w:rFonts w:ascii="宋体" w:hAnsi="宋体" w:eastAsia="宋体" w:cs="宋体"/>
              <w:spacing w:val="-12"/>
              <w:sz w:val="24"/>
              <w:szCs w:val="24"/>
            </w:rPr>
            <w:t>(</w:t>
          </w:r>
          <w:r>
            <w:rPr>
              <w:rFonts w:ascii="宋体" w:hAnsi="宋体" w:eastAsia="宋体" w:cs="宋体"/>
              <w:spacing w:val="-35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12"/>
              <w:sz w:val="24"/>
              <w:szCs w:val="24"/>
            </w:rPr>
            <w:t>一</w:t>
          </w:r>
          <w:r>
            <w:rPr>
              <w:rFonts w:ascii="宋体" w:hAnsi="宋体" w:eastAsia="宋体" w:cs="宋体"/>
              <w:spacing w:val="-38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12"/>
              <w:sz w:val="24"/>
              <w:szCs w:val="24"/>
            </w:rPr>
            <w:t>)投入</w:t>
          </w:r>
          <w:r>
            <w:rPr>
              <w:rFonts w:ascii="宋体" w:hAnsi="宋体" w:eastAsia="宋体" w:cs="宋体"/>
              <w:spacing w:val="-88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宋体" w:hAnsi="宋体" w:eastAsia="宋体" w:cs="宋体"/>
              <w:spacing w:val="-33"/>
              <w:sz w:val="24"/>
              <w:szCs w:val="24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8"/>
              <w:sz w:val="24"/>
              <w:szCs w:val="24"/>
            </w:rPr>
            <w:t>17</w:t>
          </w:r>
          <w:r>
            <w:rPr>
              <w:rFonts w:ascii="Times New Roman" w:hAnsi="Times New Roman" w:eastAsia="Times New Roman" w:cs="Times New Roman"/>
              <w:spacing w:val="-8"/>
              <w:sz w:val="24"/>
              <w:szCs w:val="24"/>
            </w:rPr>
            <w:fldChar w:fldCharType="end"/>
          </w:r>
        </w:p>
        <w:p w14:paraId="4A740EB6">
          <w:pPr>
            <w:tabs>
              <w:tab w:val="right" w:leader="dot" w:pos="8234"/>
            </w:tabs>
            <w:spacing w:before="104" w:line="220" w:lineRule="auto"/>
            <w:ind w:left="370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"bookmark22" </w:instrText>
          </w:r>
          <w:r>
            <w:fldChar w:fldCharType="separate"/>
          </w:r>
          <w:r>
            <w:rPr>
              <w:rFonts w:ascii="宋体" w:hAnsi="宋体" w:eastAsia="宋体" w:cs="宋体"/>
              <w:spacing w:val="-20"/>
              <w:sz w:val="24"/>
              <w:szCs w:val="24"/>
            </w:rPr>
            <w:t>(</w:t>
          </w:r>
          <w:r>
            <w:rPr>
              <w:rFonts w:ascii="宋体" w:hAnsi="宋体" w:eastAsia="宋体" w:cs="宋体"/>
              <w:spacing w:val="-42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20"/>
              <w:sz w:val="24"/>
              <w:szCs w:val="24"/>
            </w:rPr>
            <w:t>二</w:t>
          </w:r>
          <w:r>
            <w:rPr>
              <w:rFonts w:ascii="宋体" w:hAnsi="宋体" w:eastAsia="宋体" w:cs="宋体"/>
              <w:spacing w:val="-47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20"/>
              <w:sz w:val="24"/>
              <w:szCs w:val="24"/>
            </w:rPr>
            <w:t>)过程</w:t>
          </w:r>
          <w:r>
            <w:rPr>
              <w:rFonts w:ascii="宋体" w:hAnsi="宋体" w:eastAsia="宋体" w:cs="宋体"/>
              <w:spacing w:val="18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Times New Roman" w:hAnsi="Times New Roman" w:eastAsia="Times New Roman" w:cs="Times New Roman"/>
              <w:spacing w:val="10"/>
              <w:sz w:val="24"/>
              <w:szCs w:val="24"/>
            </w:rPr>
            <w:t>21</w:t>
          </w:r>
          <w:r>
            <w:rPr>
              <w:rFonts w:ascii="Times New Roman" w:hAnsi="Times New Roman" w:eastAsia="Times New Roman" w:cs="Times New Roman"/>
              <w:spacing w:val="10"/>
              <w:sz w:val="24"/>
              <w:szCs w:val="24"/>
            </w:rPr>
            <w:fldChar w:fldCharType="end"/>
          </w:r>
        </w:p>
        <w:p w14:paraId="667FB1F2">
          <w:pPr>
            <w:tabs>
              <w:tab w:val="right" w:leader="dot" w:pos="8214"/>
            </w:tabs>
            <w:spacing w:before="103" w:line="219" w:lineRule="auto"/>
            <w:ind w:left="370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"bookmark23" </w:instrText>
          </w:r>
          <w:r>
            <w:fldChar w:fldCharType="separate"/>
          </w:r>
          <w:r>
            <w:rPr>
              <w:rFonts w:ascii="宋体" w:hAnsi="宋体" w:eastAsia="宋体" w:cs="宋体"/>
              <w:spacing w:val="-3"/>
              <w:sz w:val="24"/>
              <w:szCs w:val="24"/>
            </w:rPr>
            <w:t>(</w:t>
          </w:r>
          <w:r>
            <w:rPr>
              <w:rFonts w:ascii="宋体" w:hAnsi="宋体" w:eastAsia="宋体" w:cs="宋体"/>
              <w:spacing w:val="-49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3"/>
              <w:sz w:val="24"/>
              <w:szCs w:val="24"/>
            </w:rPr>
            <w:t>三</w:t>
          </w:r>
          <w:r>
            <w:rPr>
              <w:rFonts w:ascii="宋体" w:hAnsi="宋体" w:eastAsia="宋体" w:cs="宋体"/>
              <w:spacing w:val="-48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3"/>
              <w:sz w:val="24"/>
              <w:szCs w:val="24"/>
            </w:rPr>
            <w:t>)产出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宋体" w:hAnsi="宋体" w:eastAsia="宋体" w:cs="宋体"/>
              <w:spacing w:val="-53"/>
              <w:sz w:val="24"/>
              <w:szCs w:val="24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2"/>
              <w:sz w:val="24"/>
              <w:szCs w:val="24"/>
            </w:rPr>
            <w:t>27</w:t>
          </w:r>
          <w:r>
            <w:rPr>
              <w:rFonts w:ascii="Times New Roman" w:hAnsi="Times New Roman" w:eastAsia="Times New Roman" w:cs="Times New Roman"/>
              <w:spacing w:val="-2"/>
              <w:sz w:val="24"/>
              <w:szCs w:val="24"/>
            </w:rPr>
            <w:fldChar w:fldCharType="end"/>
          </w:r>
        </w:p>
        <w:p w14:paraId="22B8936B">
          <w:pPr>
            <w:tabs>
              <w:tab w:val="right" w:leader="dot" w:pos="8214"/>
            </w:tabs>
            <w:spacing w:before="126" w:line="220" w:lineRule="auto"/>
            <w:ind w:left="370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"bookmark24" </w:instrText>
          </w:r>
          <w:r>
            <w:fldChar w:fldCharType="separate"/>
          </w:r>
          <w:r>
            <w:rPr>
              <w:rFonts w:ascii="宋体" w:hAnsi="宋体" w:eastAsia="宋体" w:cs="宋体"/>
              <w:spacing w:val="-7"/>
              <w:sz w:val="24"/>
              <w:szCs w:val="24"/>
            </w:rPr>
            <w:t>(</w:t>
          </w:r>
          <w:r>
            <w:rPr>
              <w:rFonts w:ascii="宋体" w:hAnsi="宋体" w:eastAsia="宋体" w:cs="宋体"/>
              <w:spacing w:val="-30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7"/>
              <w:sz w:val="24"/>
              <w:szCs w:val="24"/>
            </w:rPr>
            <w:t>四</w:t>
          </w:r>
          <w:r>
            <w:rPr>
              <w:rFonts w:ascii="宋体" w:hAnsi="宋体" w:eastAsia="宋体" w:cs="宋体"/>
              <w:spacing w:val="-52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-7"/>
              <w:sz w:val="24"/>
              <w:szCs w:val="24"/>
            </w:rPr>
            <w:t>)效果</w:t>
          </w:r>
          <w:r>
            <w:rPr>
              <w:rFonts w:ascii="宋体" w:hAnsi="宋体" w:eastAsia="宋体" w:cs="宋体"/>
              <w:spacing w:val="-105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宋体" w:hAnsi="宋体" w:eastAsia="宋体" w:cs="宋体"/>
              <w:spacing w:val="-63"/>
              <w:sz w:val="24"/>
              <w:szCs w:val="24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2"/>
              <w:sz w:val="24"/>
              <w:szCs w:val="24"/>
            </w:rPr>
            <w:t>28</w:t>
          </w:r>
          <w:r>
            <w:rPr>
              <w:rFonts w:ascii="Times New Roman" w:hAnsi="Times New Roman" w:eastAsia="Times New Roman" w:cs="Times New Roman"/>
              <w:spacing w:val="-2"/>
              <w:sz w:val="24"/>
              <w:szCs w:val="24"/>
            </w:rPr>
            <w:fldChar w:fldCharType="end"/>
          </w:r>
        </w:p>
        <w:p w14:paraId="24FA5A28">
          <w:pPr>
            <w:tabs>
              <w:tab w:val="right" w:leader="dot" w:pos="8214"/>
            </w:tabs>
            <w:spacing w:before="110" w:line="219" w:lineRule="auto"/>
            <w:ind w:left="3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"bookmark25" </w:instrText>
          </w:r>
          <w:r>
            <w:fldChar w:fldCharType="separate"/>
          </w:r>
          <w:r>
            <w:rPr>
              <w:rFonts w:ascii="宋体" w:hAnsi="宋体" w:eastAsia="宋体" w:cs="宋体"/>
              <w:b/>
              <w:bCs/>
              <w:spacing w:val="-4"/>
              <w:sz w:val="24"/>
              <w:szCs w:val="24"/>
            </w:rPr>
            <w:t>五、绩效自评发现的问题、意见及建议</w:t>
          </w:r>
          <w:r>
            <w:rPr>
              <w:rFonts w:ascii="宋体" w:hAnsi="宋体" w:eastAsia="宋体" w:cs="宋体"/>
              <w:spacing w:val="-90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宋体" w:hAnsi="宋体" w:eastAsia="宋体" w:cs="宋体"/>
              <w:spacing w:val="-43"/>
              <w:sz w:val="24"/>
              <w:szCs w:val="24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2"/>
              <w:sz w:val="24"/>
              <w:szCs w:val="24"/>
            </w:rPr>
            <w:t>29</w:t>
          </w:r>
          <w:r>
            <w:rPr>
              <w:rFonts w:ascii="Times New Roman" w:hAnsi="Times New Roman" w:eastAsia="Times New Roman" w:cs="Times New Roman"/>
              <w:spacing w:val="-2"/>
              <w:sz w:val="24"/>
              <w:szCs w:val="24"/>
            </w:rPr>
            <w:fldChar w:fldCharType="end"/>
          </w:r>
        </w:p>
      </w:sdtContent>
    </w:sdt>
    <w:p w14:paraId="620B2F92">
      <w:pPr>
        <w:spacing w:line="219" w:lineRule="auto"/>
        <w:rPr>
          <w:rFonts w:ascii="Times New Roman" w:hAnsi="Times New Roman" w:eastAsia="Times New Roman" w:cs="Times New Roman"/>
          <w:sz w:val="24"/>
          <w:szCs w:val="24"/>
        </w:rPr>
        <w:sectPr>
          <w:headerReference r:id="rId6" w:type="default"/>
          <w:pgSz w:w="11900" w:h="16820"/>
          <w:pgMar w:top="1069" w:right="1785" w:bottom="0" w:left="1619" w:header="1050" w:footer="0" w:gutter="0"/>
          <w:cols w:space="720" w:num="1"/>
        </w:sectPr>
      </w:pPr>
    </w:p>
    <w:p w14:paraId="772B2262">
      <w:pPr>
        <w:pStyle w:val="2"/>
        <w:spacing w:line="296" w:lineRule="auto"/>
      </w:pPr>
    </w:p>
    <w:p w14:paraId="438003F6">
      <w:pPr>
        <w:pStyle w:val="2"/>
        <w:spacing w:line="296" w:lineRule="auto"/>
      </w:pPr>
    </w:p>
    <w:p w14:paraId="4F193688">
      <w:pPr>
        <w:spacing w:before="100" w:line="222" w:lineRule="auto"/>
        <w:ind w:left="2944"/>
        <w:outlineLvl w:val="0"/>
        <w:rPr>
          <w:rFonts w:ascii="黑体" w:hAnsi="黑体" w:eastAsia="黑体" w:cs="黑体"/>
          <w:sz w:val="31"/>
          <w:szCs w:val="31"/>
        </w:rPr>
      </w:pPr>
      <w:bookmarkStart w:id="0" w:name="bookmark26"/>
      <w:bookmarkEnd w:id="0"/>
      <w:bookmarkStart w:id="1" w:name="bookmark1"/>
      <w:bookmarkEnd w:id="1"/>
      <w:r>
        <w:rPr>
          <w:rFonts w:ascii="黑体" w:hAnsi="黑体" w:eastAsia="黑体" w:cs="黑体"/>
          <w:b/>
          <w:bCs/>
          <w:sz w:val="31"/>
          <w:szCs w:val="31"/>
        </w:rPr>
        <w:t>第一部分</w:t>
      </w:r>
      <w:r>
        <w:rPr>
          <w:rFonts w:ascii="黑体" w:hAnsi="黑体" w:eastAsia="黑体" w:cs="黑体"/>
          <w:sz w:val="31"/>
          <w:szCs w:val="31"/>
        </w:rPr>
        <w:t xml:space="preserve">   </w:t>
      </w:r>
      <w:r>
        <w:rPr>
          <w:rFonts w:ascii="黑体" w:hAnsi="黑体" w:eastAsia="黑体" w:cs="黑体"/>
          <w:b/>
          <w:bCs/>
          <w:sz w:val="31"/>
          <w:szCs w:val="31"/>
        </w:rPr>
        <w:t>摘</w:t>
      </w:r>
      <w:r>
        <w:rPr>
          <w:rFonts w:ascii="黑体" w:hAnsi="黑体" w:eastAsia="黑体" w:cs="黑体"/>
          <w:spacing w:val="17"/>
          <w:sz w:val="31"/>
          <w:szCs w:val="31"/>
        </w:rPr>
        <w:t xml:space="preserve">  </w:t>
      </w:r>
      <w:r>
        <w:rPr>
          <w:rFonts w:ascii="黑体" w:hAnsi="黑体" w:eastAsia="黑体" w:cs="黑体"/>
          <w:b/>
          <w:bCs/>
          <w:sz w:val="31"/>
          <w:szCs w:val="31"/>
        </w:rPr>
        <w:t>要</w:t>
      </w:r>
    </w:p>
    <w:p w14:paraId="3AFCC87A">
      <w:pPr>
        <w:spacing w:before="309" w:line="369" w:lineRule="auto"/>
        <w:ind w:left="110" w:right="129" w:firstLine="72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sz w:val="31"/>
          <w:szCs w:val="31"/>
        </w:rPr>
        <w:t>为深入贯彻落实中共中央国务院《关于全面实施预算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1"/>
          <w:sz w:val="31"/>
          <w:szCs w:val="31"/>
        </w:rPr>
        <w:t>绩效管理的意见》、中共河北省委河北省人民政府《关于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全面实施预算绩效管理的实施意见》、河北省财政</w:t>
      </w:r>
      <w:r>
        <w:rPr>
          <w:rFonts w:ascii="仿宋" w:hAnsi="仿宋" w:eastAsia="仿宋" w:cs="仿宋"/>
          <w:spacing w:val="17"/>
          <w:sz w:val="31"/>
          <w:szCs w:val="31"/>
        </w:rPr>
        <w:t>厅《全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面实施预算绩效管理推进工作方案》的精神，进一步加强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和规范预算绩效运行监控工作，确保绩效目标如期保质保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量实现，提高预算执行效率和财政资金使用效益，我</w:t>
      </w:r>
      <w:r>
        <w:rPr>
          <w:rFonts w:ascii="仿宋" w:hAnsi="仿宋" w:eastAsia="仿宋" w:cs="仿宋"/>
          <w:spacing w:val="17"/>
          <w:sz w:val="31"/>
          <w:szCs w:val="31"/>
        </w:rPr>
        <w:t>单位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对2020年部门整体支出情况开展了绩效自评价工作。</w:t>
      </w:r>
    </w:p>
    <w:p w14:paraId="2072185A">
      <w:pPr>
        <w:spacing w:before="20" w:line="365" w:lineRule="auto"/>
        <w:ind w:left="110" w:right="200" w:firstLine="65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sz w:val="31"/>
          <w:szCs w:val="31"/>
        </w:rPr>
        <w:t>曲阳县住房和城乡建设局为正科级行政单位，经费保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障形式为财政拨款，下设4个股室。</w:t>
      </w:r>
    </w:p>
    <w:p w14:paraId="6B12C31D">
      <w:pPr>
        <w:spacing w:before="38" w:line="363" w:lineRule="auto"/>
        <w:ind w:right="199" w:firstLine="73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绩效评价是制定科学合理的评价方法、评价标准和指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0"/>
          <w:sz w:val="31"/>
          <w:szCs w:val="31"/>
        </w:rPr>
        <w:t>标体系，对财政资金的使用及产生的效益进行客观、公正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0"/>
          <w:sz w:val="31"/>
          <w:szCs w:val="31"/>
        </w:rPr>
        <w:t>的评价。通过部门整体支出绩效评价工作了解</w:t>
      </w:r>
      <w:r>
        <w:rPr>
          <w:rFonts w:ascii="仿宋" w:hAnsi="仿宋" w:eastAsia="仿宋" w:cs="仿宋"/>
          <w:spacing w:val="19"/>
          <w:sz w:val="31"/>
          <w:szCs w:val="31"/>
        </w:rPr>
        <w:t>部门绩效目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0"/>
          <w:sz w:val="31"/>
          <w:szCs w:val="31"/>
        </w:rPr>
        <w:t>标和指标的设置及完成情况；部门整体资金预算情况、实</w:t>
      </w:r>
      <w:r>
        <w:rPr>
          <w:rFonts w:ascii="仿宋" w:hAnsi="仿宋" w:eastAsia="仿宋" w:cs="仿宋"/>
          <w:spacing w:val="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0"/>
          <w:sz w:val="31"/>
          <w:szCs w:val="31"/>
        </w:rPr>
        <w:t>际收支及结转结余情况；部门履职对社会发展所带来的直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0"/>
          <w:sz w:val="31"/>
          <w:szCs w:val="31"/>
        </w:rPr>
        <w:t>接或间接影响及服务对象对部门履职效果的满意程度，促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使相关部门根据绩效评价过程中发现的问题，及时整</w:t>
      </w:r>
      <w:r>
        <w:rPr>
          <w:rFonts w:ascii="仿宋" w:hAnsi="仿宋" w:eastAsia="仿宋" w:cs="仿宋"/>
          <w:spacing w:val="17"/>
          <w:sz w:val="31"/>
          <w:szCs w:val="31"/>
        </w:rPr>
        <w:t>改并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总结经验，提高部门管理水平，牢固树立预算绩效理</w:t>
      </w:r>
      <w:r>
        <w:rPr>
          <w:rFonts w:ascii="仿宋" w:hAnsi="仿宋" w:eastAsia="仿宋" w:cs="仿宋"/>
          <w:spacing w:val="14"/>
          <w:sz w:val="31"/>
          <w:szCs w:val="31"/>
        </w:rPr>
        <w:t>念，</w:t>
      </w:r>
    </w:p>
    <w:p w14:paraId="3A79D1FC">
      <w:pPr>
        <w:spacing w:before="3" w:line="379" w:lineRule="auto"/>
        <w:ind w:right="31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sz w:val="31"/>
          <w:szCs w:val="31"/>
        </w:rPr>
        <w:t>强化部门支出责任，提高预算执行效率和财政资金使</w:t>
      </w:r>
      <w:r>
        <w:rPr>
          <w:rFonts w:ascii="仿宋" w:hAnsi="仿宋" w:eastAsia="仿宋" w:cs="仿宋"/>
          <w:spacing w:val="17"/>
          <w:sz w:val="31"/>
          <w:szCs w:val="31"/>
        </w:rPr>
        <w:t>用效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9"/>
          <w:sz w:val="31"/>
          <w:szCs w:val="31"/>
        </w:rPr>
        <w:t>益。</w:t>
      </w:r>
    </w:p>
    <w:p w14:paraId="0D91A130">
      <w:pPr>
        <w:spacing w:before="65" w:line="352" w:lineRule="auto"/>
        <w:ind w:right="313" w:firstLine="65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sz w:val="31"/>
          <w:szCs w:val="31"/>
        </w:rPr>
        <w:t>绩效自评工作经过了前期准备、拟定实施方案和设定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指标体系制定、组织实施、绩效自评报告撰写四个阶段。</w:t>
      </w:r>
    </w:p>
    <w:p w14:paraId="47AC1257">
      <w:pPr>
        <w:spacing w:line="352" w:lineRule="auto"/>
        <w:rPr>
          <w:rFonts w:ascii="仿宋" w:hAnsi="仿宋" w:eastAsia="仿宋" w:cs="仿宋"/>
          <w:sz w:val="31"/>
          <w:szCs w:val="31"/>
        </w:rPr>
        <w:sectPr>
          <w:headerReference r:id="rId7" w:type="default"/>
          <w:footerReference r:id="rId8" w:type="default"/>
          <w:pgSz w:w="11900" w:h="16820"/>
          <w:pgMar w:top="1069" w:right="1785" w:bottom="1339" w:left="1599" w:header="1050" w:footer="1195" w:gutter="0"/>
          <w:cols w:space="720" w:num="1"/>
        </w:sectPr>
      </w:pPr>
    </w:p>
    <w:p w14:paraId="05EFA95C">
      <w:pPr>
        <w:pStyle w:val="2"/>
        <w:spacing w:line="424" w:lineRule="auto"/>
      </w:pPr>
    </w:p>
    <w:p w14:paraId="38420D6C">
      <w:pPr>
        <w:spacing w:before="101" w:line="363" w:lineRule="auto"/>
        <w:ind w:left="130" w:right="61" w:firstLine="68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0"/>
          <w:sz w:val="31"/>
          <w:szCs w:val="31"/>
        </w:rPr>
        <w:t>按照中共河北省委河北省人民政府《关于全面实施预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2"/>
          <w:sz w:val="31"/>
          <w:szCs w:val="31"/>
        </w:rPr>
        <w:t>算绩效管理的实施意见》的相关规定，以河北省财政厅</w:t>
      </w:r>
      <w:r>
        <w:rPr>
          <w:rFonts w:ascii="仿宋" w:hAnsi="仿宋" w:eastAsia="仿宋" w:cs="仿宋"/>
          <w:spacing w:val="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0"/>
          <w:sz w:val="31"/>
          <w:szCs w:val="31"/>
        </w:rPr>
        <w:t>《全面实施预算绩效管理推进工作方案》中的相关工作要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求作为评价标准，采取定量和定性评价相结合的方法，对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资料进行审核、分析，实事求是、客观公正地完成了我单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位2020年部门整体支出绩效评价工作。</w:t>
      </w:r>
    </w:p>
    <w:p w14:paraId="2F97C3EE">
      <w:pPr>
        <w:spacing w:before="81" w:line="364" w:lineRule="auto"/>
        <w:ind w:left="45" w:right="143" w:firstLine="73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sz w:val="31"/>
          <w:szCs w:val="31"/>
        </w:rPr>
        <w:t>我单位2020 年部门整体支出绩效评价指标体系共设置</w:t>
      </w:r>
      <w:r>
        <w:rPr>
          <w:rFonts w:ascii="仿宋" w:hAnsi="仿宋" w:eastAsia="仿宋" w:cs="仿宋"/>
          <w:spacing w:val="1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9"/>
          <w:sz w:val="31"/>
          <w:szCs w:val="31"/>
        </w:rPr>
        <w:t xml:space="preserve">4 </w:t>
      </w:r>
      <w:r>
        <w:rPr>
          <w:rFonts w:ascii="仿宋" w:hAnsi="仿宋" w:eastAsia="仿宋" w:cs="仿宋"/>
          <w:spacing w:val="19"/>
          <w:sz w:val="31"/>
          <w:szCs w:val="31"/>
        </w:rPr>
        <w:t>个一级指标、5个二级指标、8个三级指标，从</w:t>
      </w:r>
      <w:r>
        <w:rPr>
          <w:rFonts w:ascii="仿宋" w:hAnsi="仿宋" w:eastAsia="仿宋" w:cs="仿宋"/>
          <w:spacing w:val="18"/>
          <w:sz w:val="31"/>
          <w:szCs w:val="31"/>
        </w:rPr>
        <w:t>投入、过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程、产出、效果四个方面对部门整体支出情况评分定级。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7"/>
          <w:sz w:val="31"/>
          <w:szCs w:val="31"/>
        </w:rPr>
        <w:t>指标体系设定满分为100</w:t>
      </w:r>
      <w:r>
        <w:rPr>
          <w:rFonts w:ascii="仿宋" w:hAnsi="仿宋" w:eastAsia="仿宋" w:cs="仿宋"/>
          <w:spacing w:val="10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7"/>
          <w:sz w:val="31"/>
          <w:szCs w:val="31"/>
        </w:rPr>
        <w:t>分，绩效评价分</w:t>
      </w:r>
      <w:r>
        <w:rPr>
          <w:rFonts w:ascii="仿宋" w:hAnsi="仿宋" w:eastAsia="仿宋" w:cs="仿宋"/>
          <w:spacing w:val="46"/>
          <w:sz w:val="31"/>
          <w:szCs w:val="31"/>
        </w:rPr>
        <w:t>值≥90 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9"/>
          <w:sz w:val="31"/>
          <w:szCs w:val="31"/>
        </w:rPr>
        <w:t>“优”;80≤分值&lt;90 为“良”;60≤</w:t>
      </w:r>
      <w:r>
        <w:rPr>
          <w:rFonts w:ascii="仿宋" w:hAnsi="仿宋" w:eastAsia="仿宋" w:cs="仿宋"/>
          <w:spacing w:val="38"/>
          <w:sz w:val="31"/>
          <w:szCs w:val="31"/>
        </w:rPr>
        <w:t>分值&lt;80 为“合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1"/>
          <w:sz w:val="31"/>
          <w:szCs w:val="31"/>
        </w:rPr>
        <w:t>格”;60分以下为“差”。</w:t>
      </w:r>
    </w:p>
    <w:p w14:paraId="1C7F5A45">
      <w:pPr>
        <w:spacing w:before="53" w:line="360" w:lineRule="auto"/>
        <w:ind w:left="50" w:right="249" w:firstLine="65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sz w:val="31"/>
          <w:szCs w:val="31"/>
        </w:rPr>
        <w:t>我单位2020 年部门整体支出综合评价得分为94 分，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评价等级为“优”。</w:t>
      </w:r>
    </w:p>
    <w:p w14:paraId="540C48D1">
      <w:pPr>
        <w:spacing w:before="47" w:line="370" w:lineRule="auto"/>
        <w:ind w:right="211" w:firstLine="67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2"/>
          <w:sz w:val="31"/>
          <w:szCs w:val="31"/>
        </w:rPr>
        <w:t>经评价，我部门2020 年部门预算编制完整性、项目预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0"/>
          <w:sz w:val="31"/>
          <w:szCs w:val="31"/>
        </w:rPr>
        <w:t>算细化率、在职人员控制率、收入完成率、财政拨款支出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完成率、“三公经费”控制率、资金使用合规性、决算真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实性、管理制度健全性、预决算信息公开、资</w:t>
      </w:r>
      <w:r>
        <w:rPr>
          <w:rFonts w:ascii="仿宋" w:hAnsi="仿宋" w:eastAsia="仿宋" w:cs="仿宋"/>
          <w:spacing w:val="18"/>
          <w:sz w:val="31"/>
          <w:szCs w:val="31"/>
        </w:rPr>
        <w:t>产管理规范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性、绩效自评覆盖率、绩效评价优等率、结转结</w:t>
      </w:r>
      <w:r>
        <w:rPr>
          <w:rFonts w:ascii="仿宋" w:hAnsi="仿宋" w:eastAsia="仿宋" w:cs="仿宋"/>
          <w:spacing w:val="17"/>
          <w:sz w:val="31"/>
          <w:szCs w:val="31"/>
        </w:rPr>
        <w:t>余率、部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门整体效益等指标完成情况较好。</w:t>
      </w:r>
    </w:p>
    <w:p w14:paraId="2D3D2A6E">
      <w:pPr>
        <w:spacing w:before="23" w:line="351" w:lineRule="auto"/>
        <w:ind w:right="268" w:firstLine="63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通过本次绩效评价工作，发现我单位在以下几个方面</w:t>
      </w:r>
      <w:r>
        <w:rPr>
          <w:rFonts w:ascii="仿宋" w:hAnsi="仿宋" w:eastAsia="仿宋" w:cs="仿宋"/>
          <w:spacing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存在一些不足之处，具体如下：</w:t>
      </w:r>
    </w:p>
    <w:p w14:paraId="5E5132BE">
      <w:pPr>
        <w:spacing w:line="351" w:lineRule="auto"/>
        <w:rPr>
          <w:rFonts w:ascii="仿宋" w:hAnsi="仿宋" w:eastAsia="仿宋" w:cs="仿宋"/>
          <w:sz w:val="31"/>
          <w:szCs w:val="31"/>
        </w:rPr>
        <w:sectPr>
          <w:headerReference r:id="rId9" w:type="default"/>
          <w:footerReference r:id="rId10" w:type="default"/>
          <w:pgSz w:w="11900" w:h="16820"/>
          <w:pgMar w:top="1080" w:right="1785" w:bottom="1329" w:left="1629" w:header="1059" w:footer="1185" w:gutter="0"/>
          <w:cols w:space="720" w:num="1"/>
        </w:sectPr>
      </w:pPr>
    </w:p>
    <w:p w14:paraId="16BBC9AF">
      <w:pPr>
        <w:pStyle w:val="2"/>
        <w:spacing w:line="426" w:lineRule="auto"/>
      </w:pPr>
    </w:p>
    <w:p w14:paraId="4A927635">
      <w:pPr>
        <w:spacing w:before="100" w:line="296" w:lineRule="auto"/>
        <w:ind w:left="154" w:right="74" w:firstLine="66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8"/>
          <w:sz w:val="31"/>
          <w:szCs w:val="31"/>
        </w:rPr>
        <w:t>1.</w:t>
      </w:r>
      <w:r>
        <w:rPr>
          <w:rFonts w:ascii="仿宋" w:hAnsi="仿宋" w:eastAsia="仿宋" w:cs="仿宋"/>
          <w:spacing w:val="18"/>
          <w:sz w:val="31"/>
          <w:szCs w:val="31"/>
        </w:rPr>
        <w:t>绩效指标方面：绩效指标的设定还有待于进一步精</w:t>
      </w:r>
      <w:r>
        <w:rPr>
          <w:rFonts w:ascii="仿宋" w:hAnsi="仿宋" w:eastAsia="仿宋" w:cs="仿宋"/>
          <w:spacing w:val="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细化、科学化，以便于绩效评价与考核。</w:t>
      </w:r>
    </w:p>
    <w:p w14:paraId="61D6FA36">
      <w:pPr>
        <w:spacing w:before="246" w:line="292" w:lineRule="auto"/>
        <w:ind w:left="154" w:right="169" w:firstLine="59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7"/>
          <w:sz w:val="31"/>
          <w:szCs w:val="31"/>
        </w:rPr>
        <w:t>2.</w:t>
      </w:r>
      <w:r>
        <w:rPr>
          <w:rFonts w:ascii="仿宋" w:hAnsi="仿宋" w:eastAsia="仿宋" w:cs="仿宋"/>
          <w:spacing w:val="17"/>
          <w:sz w:val="31"/>
          <w:szCs w:val="31"/>
        </w:rPr>
        <w:t>项目资金使用率：部分项目需要加强监督与管理，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资金支付进度有待进一步提高。</w:t>
      </w:r>
    </w:p>
    <w:p w14:paraId="20568917">
      <w:pPr>
        <w:spacing w:before="270" w:line="386" w:lineRule="auto"/>
        <w:ind w:left="65" w:right="155" w:firstLine="689"/>
        <w:rPr>
          <w:rFonts w:ascii="仿宋" w:hAnsi="仿宋" w:eastAsia="仿宋" w:cs="仿宋"/>
          <w:sz w:val="27"/>
          <w:szCs w:val="27"/>
        </w:rPr>
      </w:pPr>
      <w:r>
        <w:rPr>
          <w:rFonts w:ascii="仿宋" w:hAnsi="仿宋" w:eastAsia="仿宋" w:cs="仿宋"/>
          <w:spacing w:val="18"/>
          <w:sz w:val="31"/>
          <w:szCs w:val="31"/>
        </w:rPr>
        <w:t>针对此次绩效评价过程中发现的问题，我们提出了改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6"/>
          <w:sz w:val="27"/>
          <w:szCs w:val="27"/>
        </w:rPr>
        <w:t>进措施：</w:t>
      </w:r>
    </w:p>
    <w:p w14:paraId="0FBE9AD9">
      <w:pPr>
        <w:spacing w:before="12" w:line="220" w:lineRule="auto"/>
        <w:ind w:left="754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3"/>
          <w:sz w:val="31"/>
          <w:szCs w:val="31"/>
        </w:rPr>
        <w:t>1.</w:t>
      </w:r>
      <w:r>
        <w:rPr>
          <w:rFonts w:ascii="仿宋" w:hAnsi="仿宋" w:eastAsia="仿宋" w:cs="仿宋"/>
          <w:spacing w:val="3"/>
          <w:sz w:val="31"/>
          <w:szCs w:val="31"/>
        </w:rPr>
        <w:t>增强绩效指标设置的明确性</w:t>
      </w:r>
    </w:p>
    <w:p w14:paraId="660A8C05">
      <w:pPr>
        <w:spacing w:before="248" w:line="370" w:lineRule="auto"/>
        <w:ind w:left="65" w:right="152" w:firstLine="68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sz w:val="31"/>
          <w:szCs w:val="31"/>
        </w:rPr>
        <w:t>工作活动、预算项目绩效指标应当清晰、可评价、可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衡量。建议在设置职责活动绩效指标时，将绩效目标细化</w:t>
      </w:r>
      <w:r>
        <w:rPr>
          <w:rFonts w:ascii="仿宋" w:hAnsi="仿宋" w:eastAsia="仿宋" w:cs="仿宋"/>
          <w:spacing w:val="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分解为具体的工作任务数，从而使绩效目标可量化，便于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对目标实现情况进行考核。</w:t>
      </w:r>
    </w:p>
    <w:p w14:paraId="6557B895">
      <w:pPr>
        <w:spacing w:before="12" w:line="222" w:lineRule="auto"/>
        <w:ind w:left="705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4"/>
          <w:sz w:val="31"/>
          <w:szCs w:val="31"/>
        </w:rPr>
        <w:t>2.</w:t>
      </w:r>
      <w:r>
        <w:rPr>
          <w:rFonts w:ascii="仿宋" w:hAnsi="仿宋" w:eastAsia="仿宋" w:cs="仿宋"/>
          <w:spacing w:val="4"/>
          <w:sz w:val="31"/>
          <w:szCs w:val="31"/>
        </w:rPr>
        <w:t>提高项目资金使用率</w:t>
      </w:r>
    </w:p>
    <w:p w14:paraId="6D4AAF99">
      <w:pPr>
        <w:spacing w:before="261" w:line="369" w:lineRule="auto"/>
        <w:ind w:left="55" w:right="188" w:firstLine="6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4"/>
          <w:sz w:val="31"/>
          <w:szCs w:val="31"/>
        </w:rPr>
        <w:t>对项目资金进行梳理，督促项目进度和资金拨付进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2"/>
          <w:sz w:val="31"/>
          <w:szCs w:val="31"/>
        </w:rPr>
        <w:t>度，应拨付的资金及时拨付，不具备条件的资金及时交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回，同时，对于按规定可以结转至下年的省级项目资金，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在下年的项目安排时优先考虑。</w:t>
      </w:r>
    </w:p>
    <w:p w14:paraId="06A64474">
      <w:pPr>
        <w:pStyle w:val="2"/>
        <w:spacing w:line="290" w:lineRule="auto"/>
      </w:pPr>
    </w:p>
    <w:p w14:paraId="2FE1D6C8">
      <w:pPr>
        <w:spacing w:before="100" w:line="221" w:lineRule="auto"/>
        <w:ind w:left="1689"/>
        <w:outlineLvl w:val="0"/>
        <w:rPr>
          <w:rFonts w:ascii="黑体" w:hAnsi="黑体" w:eastAsia="黑体" w:cs="黑体"/>
          <w:sz w:val="31"/>
          <w:szCs w:val="31"/>
        </w:rPr>
      </w:pPr>
      <w:bookmarkStart w:id="2" w:name="bookmark2"/>
      <w:bookmarkEnd w:id="2"/>
      <w:r>
        <w:rPr>
          <w:rFonts w:ascii="黑体" w:hAnsi="黑体" w:eastAsia="黑体" w:cs="黑体"/>
          <w:b/>
          <w:bCs/>
          <w:spacing w:val="3"/>
          <w:sz w:val="31"/>
          <w:szCs w:val="31"/>
        </w:rPr>
        <w:t>第二部分</w:t>
      </w:r>
      <w:r>
        <w:rPr>
          <w:rFonts w:ascii="黑体" w:hAnsi="黑体" w:eastAsia="黑体" w:cs="黑体"/>
          <w:spacing w:val="3"/>
          <w:sz w:val="31"/>
          <w:szCs w:val="31"/>
        </w:rPr>
        <w:t xml:space="preserve">   </w:t>
      </w:r>
      <w:r>
        <w:rPr>
          <w:rFonts w:ascii="黑体" w:hAnsi="黑体" w:eastAsia="黑体" w:cs="黑体"/>
          <w:b/>
          <w:bCs/>
          <w:spacing w:val="3"/>
          <w:sz w:val="31"/>
          <w:szCs w:val="31"/>
        </w:rPr>
        <w:t>整体支出绩效自评报告</w:t>
      </w:r>
    </w:p>
    <w:p w14:paraId="3DF283AC">
      <w:pPr>
        <w:pStyle w:val="2"/>
        <w:spacing w:line="315" w:lineRule="auto"/>
      </w:pPr>
    </w:p>
    <w:p w14:paraId="3FCF5852">
      <w:pPr>
        <w:spacing w:before="102" w:line="225" w:lineRule="auto"/>
        <w:ind w:left="19"/>
        <w:outlineLvl w:val="0"/>
        <w:rPr>
          <w:rFonts w:ascii="楷体" w:hAnsi="楷体" w:eastAsia="楷体" w:cs="楷体"/>
          <w:sz w:val="31"/>
          <w:szCs w:val="31"/>
        </w:rPr>
      </w:pPr>
      <w:bookmarkStart w:id="3" w:name="bookmark3"/>
      <w:bookmarkEnd w:id="3"/>
      <w:r>
        <w:rPr>
          <w:rFonts w:ascii="楷体" w:hAnsi="楷体" w:eastAsia="楷体" w:cs="楷体"/>
          <w:b/>
          <w:bCs/>
          <w:spacing w:val="-1"/>
          <w:sz w:val="31"/>
          <w:szCs w:val="31"/>
        </w:rPr>
        <w:t>一</w:t>
      </w:r>
      <w:r>
        <w:rPr>
          <w:rFonts w:ascii="楷体" w:hAnsi="楷体" w:eastAsia="楷体" w:cs="楷体"/>
          <w:spacing w:val="-49"/>
          <w:sz w:val="31"/>
          <w:szCs w:val="31"/>
        </w:rPr>
        <w:t xml:space="preserve"> </w:t>
      </w:r>
      <w:r>
        <w:rPr>
          <w:rFonts w:ascii="楷体" w:hAnsi="楷体" w:eastAsia="楷体" w:cs="楷体"/>
          <w:b/>
          <w:bCs/>
          <w:spacing w:val="-1"/>
          <w:sz w:val="31"/>
          <w:szCs w:val="31"/>
        </w:rPr>
        <w:t>、曲阳县住房和城乡建设局单位基本情况</w:t>
      </w:r>
    </w:p>
    <w:p w14:paraId="18CB9B3D">
      <w:pPr>
        <w:spacing w:before="299" w:line="220" w:lineRule="auto"/>
        <w:ind w:left="759"/>
        <w:outlineLvl w:val="1"/>
        <w:rPr>
          <w:rFonts w:ascii="仿宋" w:hAnsi="仿宋" w:eastAsia="仿宋" w:cs="仿宋"/>
          <w:sz w:val="31"/>
          <w:szCs w:val="31"/>
        </w:rPr>
      </w:pPr>
      <w:bookmarkStart w:id="4" w:name="bookmark4"/>
      <w:bookmarkEnd w:id="4"/>
      <w:r>
        <w:rPr>
          <w:rFonts w:ascii="仿宋" w:hAnsi="仿宋" w:eastAsia="仿宋" w:cs="仿宋"/>
          <w:b/>
          <w:bCs/>
          <w:spacing w:val="17"/>
          <w:sz w:val="31"/>
          <w:szCs w:val="31"/>
        </w:rPr>
        <w:t>(一)部门职责和工作活动</w:t>
      </w:r>
    </w:p>
    <w:p w14:paraId="457674E6">
      <w:pPr>
        <w:spacing w:before="275" w:line="383" w:lineRule="auto"/>
        <w:ind w:right="265" w:firstLine="66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2"/>
          <w:sz w:val="31"/>
          <w:szCs w:val="31"/>
        </w:rPr>
        <w:t>根据中共曲阳县委办公室、曲阳县人民政府办公室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《关于印发曲阳县住房和城乡建设局职能配置、内设机构</w:t>
      </w:r>
    </w:p>
    <w:p w14:paraId="5492EEE9">
      <w:pPr>
        <w:spacing w:line="383" w:lineRule="auto"/>
        <w:rPr>
          <w:rFonts w:ascii="仿宋" w:hAnsi="仿宋" w:eastAsia="仿宋" w:cs="仿宋"/>
          <w:sz w:val="31"/>
          <w:szCs w:val="31"/>
        </w:rPr>
        <w:sectPr>
          <w:headerReference r:id="rId11" w:type="default"/>
          <w:footerReference r:id="rId12" w:type="default"/>
          <w:pgSz w:w="11900" w:h="16820"/>
          <w:pgMar w:top="1059" w:right="1785" w:bottom="1351" w:left="1644" w:header="1039" w:footer="1207" w:gutter="0"/>
          <w:cols w:space="720" w:num="1"/>
        </w:sectPr>
      </w:pPr>
    </w:p>
    <w:p w14:paraId="16BA7F4A">
      <w:pPr>
        <w:pStyle w:val="2"/>
        <w:spacing w:line="435" w:lineRule="auto"/>
      </w:pPr>
    </w:p>
    <w:p w14:paraId="562D97E5">
      <w:pPr>
        <w:spacing w:before="101" w:line="358" w:lineRule="auto"/>
        <w:ind w:left="159" w:right="57"/>
        <w:rPr>
          <w:rFonts w:ascii="仿宋" w:hAnsi="仿宋" w:eastAsia="仿宋" w:cs="仿宋"/>
          <w:sz w:val="31"/>
          <w:szCs w:val="31"/>
        </w:rPr>
      </w:pPr>
      <w:bookmarkStart w:id="5" w:name="bookmark27"/>
      <w:bookmarkEnd w:id="5"/>
      <w:r>
        <w:rPr>
          <w:rFonts w:ascii="仿宋" w:hAnsi="仿宋" w:eastAsia="仿宋" w:cs="仿宋"/>
          <w:spacing w:val="11"/>
          <w:sz w:val="31"/>
          <w:szCs w:val="31"/>
        </w:rPr>
        <w:t>和人员编制规定》的通知(曲办字[2019]41</w:t>
      </w:r>
      <w:r>
        <w:rPr>
          <w:rFonts w:ascii="仿宋" w:hAnsi="仿宋" w:eastAsia="仿宋" w:cs="仿宋"/>
          <w:spacing w:val="-2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号</w:t>
      </w:r>
      <w:r>
        <w:rPr>
          <w:rFonts w:ascii="仿宋" w:hAnsi="仿宋" w:eastAsia="仿宋" w:cs="仿宋"/>
          <w:spacing w:val="-6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)</w:t>
      </w:r>
      <w:r>
        <w:rPr>
          <w:rFonts w:ascii="仿宋" w:hAnsi="仿宋" w:eastAsia="仿宋" w:cs="仿宋"/>
          <w:spacing w:val="-3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,</w:t>
      </w:r>
      <w:r>
        <w:rPr>
          <w:rFonts w:ascii="仿宋" w:hAnsi="仿宋" w:eastAsia="仿宋" w:cs="仿宋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现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将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我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局部门概况说明如下：</w:t>
      </w:r>
    </w:p>
    <w:p w14:paraId="2C87443A">
      <w:pPr>
        <w:spacing w:before="36" w:line="370" w:lineRule="auto"/>
        <w:ind w:left="79" w:right="92" w:firstLine="69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3"/>
          <w:sz w:val="31"/>
          <w:szCs w:val="31"/>
        </w:rPr>
        <w:t>1、</w:t>
      </w:r>
      <w:r>
        <w:rPr>
          <w:rFonts w:ascii="仿宋" w:hAnsi="仿宋" w:eastAsia="仿宋" w:cs="仿宋"/>
          <w:spacing w:val="13"/>
          <w:sz w:val="31"/>
          <w:szCs w:val="31"/>
        </w:rPr>
        <w:t>贯彻执行国家、省、市住房城乡建设的方针、政策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0"/>
          <w:sz w:val="31"/>
          <w:szCs w:val="31"/>
        </w:rPr>
        <w:t>和法律、法规。拟订全县住房城乡建设行业发展规划并组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织实施；研究提出住房城乡建设重大问题的政策建议。</w:t>
      </w:r>
    </w:p>
    <w:p w14:paraId="4A856DD2">
      <w:pPr>
        <w:spacing w:before="7" w:line="294" w:lineRule="auto"/>
        <w:ind w:left="79" w:right="132" w:firstLine="65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3"/>
          <w:sz w:val="31"/>
          <w:szCs w:val="31"/>
        </w:rPr>
        <w:t>2、</w:t>
      </w:r>
      <w:r>
        <w:rPr>
          <w:rFonts w:ascii="仿宋" w:hAnsi="仿宋" w:eastAsia="仿宋" w:cs="仿宋"/>
          <w:spacing w:val="13"/>
          <w:sz w:val="31"/>
          <w:szCs w:val="31"/>
        </w:rPr>
        <w:t>负责城镇低收入家庭住房保障。拟定城镇住房保障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相关政策并指导实施；组织实施城镇住房保障年度计划。</w:t>
      </w:r>
    </w:p>
    <w:p w14:paraId="6A3A0FE3">
      <w:pPr>
        <w:spacing w:before="263" w:line="311" w:lineRule="auto"/>
        <w:ind w:left="79" w:right="132" w:firstLine="64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24"/>
          <w:sz w:val="31"/>
          <w:szCs w:val="31"/>
        </w:rPr>
        <w:t>3、</w:t>
      </w:r>
      <w:r>
        <w:rPr>
          <w:rFonts w:ascii="宋体" w:hAnsi="宋体" w:eastAsia="宋体" w:cs="宋体"/>
          <w:spacing w:val="-7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4"/>
          <w:sz w:val="31"/>
          <w:szCs w:val="31"/>
        </w:rPr>
        <w:t>负责推进住房制度改革。拟订适合县情的住房政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策，指导住房建设，推动住房制度改革；拟定住房建</w:t>
      </w:r>
      <w:r>
        <w:rPr>
          <w:rFonts w:ascii="仿宋" w:hAnsi="仿宋" w:eastAsia="仿宋" w:cs="仿宋"/>
          <w:spacing w:val="18"/>
          <w:sz w:val="31"/>
          <w:szCs w:val="31"/>
        </w:rPr>
        <w:t>设发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展规划并组织实施。</w:t>
      </w:r>
    </w:p>
    <w:p w14:paraId="483C2630">
      <w:pPr>
        <w:spacing w:before="301" w:line="292" w:lineRule="auto"/>
        <w:ind w:left="79" w:right="172" w:firstLine="60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3"/>
          <w:sz w:val="31"/>
          <w:szCs w:val="31"/>
        </w:rPr>
        <w:t>4、</w:t>
      </w:r>
      <w:r>
        <w:rPr>
          <w:rFonts w:ascii="仿宋" w:hAnsi="仿宋" w:eastAsia="仿宋" w:cs="仿宋"/>
          <w:spacing w:val="13"/>
          <w:sz w:val="31"/>
          <w:szCs w:val="31"/>
        </w:rPr>
        <w:t>负责推行工程建设标准。组织实施工程建设实施阶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段的国家标准及全国统一的行业标准；指导工程建设标准</w:t>
      </w:r>
    </w:p>
    <w:p w14:paraId="6AAA6EB8">
      <w:pPr>
        <w:spacing w:before="242"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和工程量计量规则的实施。</w:t>
      </w:r>
    </w:p>
    <w:p w14:paraId="264E45E0">
      <w:pPr>
        <w:spacing w:before="266" w:line="339" w:lineRule="auto"/>
        <w:ind w:right="197" w:firstLine="66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3"/>
          <w:sz w:val="31"/>
          <w:szCs w:val="31"/>
        </w:rPr>
        <w:t>5、</w:t>
      </w:r>
      <w:r>
        <w:rPr>
          <w:rFonts w:ascii="仿宋" w:hAnsi="仿宋" w:eastAsia="仿宋" w:cs="仿宋"/>
          <w:spacing w:val="13"/>
          <w:sz w:val="31"/>
          <w:szCs w:val="31"/>
        </w:rPr>
        <w:t>负责房地产市场的监督管理。会同有关部门拟定房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3"/>
          <w:sz w:val="31"/>
          <w:szCs w:val="31"/>
        </w:rPr>
        <w:t>地产市场调控政策并监督执行；拟定房地产行业发展规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划；制定房地产开发、房屋预售、房屋交易、房屋租赁，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2"/>
          <w:sz w:val="31"/>
          <w:szCs w:val="31"/>
        </w:rPr>
        <w:t>房地产估价与经纪管理、物业管理的规章制度并监督实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施；指导国有土地上房屋征收与补偿工作。</w:t>
      </w:r>
    </w:p>
    <w:p w14:paraId="67C593F1">
      <w:pPr>
        <w:spacing w:before="287" w:line="331" w:lineRule="auto"/>
        <w:ind w:right="261" w:firstLine="61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2"/>
          <w:sz w:val="31"/>
          <w:szCs w:val="31"/>
        </w:rPr>
        <w:t>6、</w:t>
      </w:r>
      <w:r>
        <w:rPr>
          <w:rFonts w:ascii="仿宋" w:hAnsi="仿宋" w:eastAsia="仿宋" w:cs="仿宋"/>
          <w:spacing w:val="12"/>
          <w:sz w:val="31"/>
          <w:szCs w:val="31"/>
        </w:rPr>
        <w:t>负责建筑市场的监督管理；负责国家规定必须招标</w:t>
      </w:r>
      <w:r>
        <w:rPr>
          <w:rFonts w:ascii="仿宋" w:hAnsi="仿宋" w:eastAsia="仿宋" w:cs="仿宋"/>
          <w:spacing w:val="1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2"/>
          <w:sz w:val="31"/>
          <w:szCs w:val="31"/>
        </w:rPr>
        <w:t>的房屋建筑和市政基础设施工程招标投标活动的监督工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作；制定工程建设、建筑业、勘察设计的行业发展规划、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2"/>
          <w:sz w:val="31"/>
          <w:szCs w:val="31"/>
        </w:rPr>
        <w:t>改革方案、产业政策并监督执行；负责建筑施工噪声污</w:t>
      </w:r>
    </w:p>
    <w:p w14:paraId="177CDA30">
      <w:pPr>
        <w:spacing w:line="331" w:lineRule="auto"/>
        <w:rPr>
          <w:rFonts w:ascii="仿宋" w:hAnsi="仿宋" w:eastAsia="仿宋" w:cs="仿宋"/>
          <w:sz w:val="31"/>
          <w:szCs w:val="31"/>
        </w:rPr>
        <w:sectPr>
          <w:headerReference r:id="rId13" w:type="default"/>
          <w:footerReference r:id="rId14" w:type="default"/>
          <w:pgSz w:w="11900" w:h="16820"/>
          <w:pgMar w:top="1080" w:right="1785" w:bottom="1332" w:left="1640" w:header="1059" w:footer="1197" w:gutter="0"/>
          <w:cols w:space="720" w:num="1"/>
        </w:sectPr>
      </w:pPr>
    </w:p>
    <w:p w14:paraId="41A354BC">
      <w:pPr>
        <w:pStyle w:val="2"/>
        <w:spacing w:line="424" w:lineRule="auto"/>
      </w:pPr>
    </w:p>
    <w:p w14:paraId="5B3183A6">
      <w:pPr>
        <w:spacing w:before="101" w:line="350" w:lineRule="auto"/>
        <w:ind w:left="199" w:right="94" w:hanging="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sz w:val="31"/>
          <w:szCs w:val="31"/>
        </w:rPr>
        <w:t>染、建筑施工扬尘污染管理；制定规范建筑市场各方主体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行为的规章制度并监督执行。</w:t>
      </w:r>
    </w:p>
    <w:p w14:paraId="6437ACE1">
      <w:pPr>
        <w:spacing w:before="71" w:line="292" w:lineRule="auto"/>
        <w:ind w:left="120" w:right="94" w:firstLine="67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3"/>
          <w:sz w:val="31"/>
          <w:szCs w:val="31"/>
        </w:rPr>
        <w:t>7、</w:t>
      </w:r>
      <w:r>
        <w:rPr>
          <w:rFonts w:ascii="仿宋" w:hAnsi="仿宋" w:eastAsia="仿宋" w:cs="仿宋"/>
          <w:spacing w:val="13"/>
          <w:sz w:val="31"/>
          <w:szCs w:val="31"/>
        </w:rPr>
        <w:t>指导县直管公房的租赁、修缮、征收工作；负责县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直管公房资产和拨用资产的监督与管理。</w:t>
      </w:r>
    </w:p>
    <w:p w14:paraId="64135602">
      <w:pPr>
        <w:spacing w:before="266" w:line="334" w:lineRule="auto"/>
        <w:ind w:left="120" w:right="113" w:firstLine="64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3"/>
          <w:sz w:val="31"/>
          <w:szCs w:val="31"/>
        </w:rPr>
        <w:t>8、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拟定县城道路设施的建设规划；拟定县城供水、排 </w:t>
      </w:r>
      <w:r>
        <w:rPr>
          <w:rFonts w:ascii="仿宋" w:hAnsi="仿宋" w:eastAsia="仿宋" w:cs="仿宋"/>
          <w:spacing w:val="18"/>
          <w:sz w:val="31"/>
          <w:szCs w:val="31"/>
        </w:rPr>
        <w:t>水、燃气、供热、污水、垃圾处理等设施建设规划；负责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2"/>
          <w:sz w:val="31"/>
          <w:szCs w:val="31"/>
        </w:rPr>
        <w:t>县城道路、桥梁、照明、供水、排水、燃气、供热、污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水、垃圾处理等市政设施建设；负责县城市政设施建设监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督检查和考核评价。</w:t>
      </w:r>
    </w:p>
    <w:p w14:paraId="13E21D8F">
      <w:pPr>
        <w:spacing w:before="303" w:line="339" w:lineRule="auto"/>
        <w:ind w:left="50" w:right="162" w:firstLine="66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24"/>
          <w:sz w:val="31"/>
          <w:szCs w:val="31"/>
        </w:rPr>
        <w:t>9、</w:t>
      </w:r>
      <w:r>
        <w:rPr>
          <w:rFonts w:ascii="宋体" w:hAnsi="宋体" w:eastAsia="宋体" w:cs="宋体"/>
          <w:spacing w:val="-7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4"/>
          <w:sz w:val="31"/>
          <w:szCs w:val="31"/>
        </w:rPr>
        <w:t>指导污水、垃圾处理设施建设。拟订城镇生活污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水、生活垃圾无害化处理设施建设规划；负责城镇生活污</w:t>
      </w:r>
      <w:r>
        <w:rPr>
          <w:rFonts w:ascii="仿宋" w:hAnsi="仿宋" w:eastAsia="仿宋" w:cs="仿宋"/>
          <w:spacing w:val="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水、生活垃圾处理设施建设和安全运行；指导乡镇生活垃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圾、生活污水处理及农村生活垃圾收运处置体系建设；负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责城镇污水、生活垃圾处理设施监督检查和考核评价。</w:t>
      </w:r>
    </w:p>
    <w:p w14:paraId="725D1557">
      <w:pPr>
        <w:spacing w:before="259" w:line="328" w:lineRule="auto"/>
        <w:ind w:left="50" w:right="234" w:firstLine="65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5"/>
          <w:sz w:val="31"/>
          <w:szCs w:val="31"/>
        </w:rPr>
        <w:t>10、</w:t>
      </w:r>
      <w:r>
        <w:rPr>
          <w:rFonts w:ascii="仿宋" w:hAnsi="仿宋" w:eastAsia="仿宋" w:cs="仿宋"/>
          <w:spacing w:val="15"/>
          <w:sz w:val="31"/>
          <w:szCs w:val="31"/>
        </w:rPr>
        <w:t>指导村镇建设；拟定村镇建设政策并指导实施；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指导农村住房建设和安全及危房改造；指导农村气代煤工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程建设；指导重点镇和特色小镇建设；负责农村气代煤工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程质量和安全运行的监管。</w:t>
      </w:r>
    </w:p>
    <w:p w14:paraId="417FDC86">
      <w:pPr>
        <w:spacing w:before="315" w:line="332" w:lineRule="auto"/>
        <w:ind w:right="256" w:firstLine="670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8"/>
          <w:sz w:val="31"/>
          <w:szCs w:val="31"/>
        </w:rPr>
        <w:t>11、</w:t>
      </w:r>
      <w:r>
        <w:rPr>
          <w:rFonts w:ascii="仿宋" w:hAnsi="仿宋" w:eastAsia="仿宋" w:cs="仿宋"/>
          <w:spacing w:val="18"/>
          <w:sz w:val="31"/>
          <w:szCs w:val="31"/>
        </w:rPr>
        <w:t>负责建筑工程质量安全监管。拟定建筑工程质量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和竣工验收备案的政策、规章制度并监督执行；监督指导</w:t>
      </w:r>
      <w:r>
        <w:rPr>
          <w:rFonts w:ascii="仿宋" w:hAnsi="仿宋" w:eastAsia="仿宋" w:cs="仿宋"/>
          <w:spacing w:val="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全县房屋建筑施工安全工作；组织或参与工程重大质量、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安全事故的调查处理；拟定建筑业、工程勘察设计咨询业</w:t>
      </w:r>
    </w:p>
    <w:p w14:paraId="68E1EB67">
      <w:pPr>
        <w:spacing w:line="332" w:lineRule="auto"/>
        <w:rPr>
          <w:rFonts w:ascii="仿宋" w:hAnsi="仿宋" w:eastAsia="仿宋" w:cs="仿宋"/>
          <w:sz w:val="31"/>
          <w:szCs w:val="31"/>
        </w:rPr>
        <w:sectPr>
          <w:headerReference r:id="rId15" w:type="default"/>
          <w:footerReference r:id="rId16" w:type="default"/>
          <w:pgSz w:w="11900" w:h="16820"/>
          <w:pgMar w:top="1080" w:right="1785" w:bottom="1342" w:left="1619" w:header="1059" w:footer="1209" w:gutter="0"/>
          <w:cols w:space="720" w:num="1"/>
        </w:sectPr>
      </w:pPr>
    </w:p>
    <w:p w14:paraId="506FEFDF">
      <w:pPr>
        <w:pStyle w:val="2"/>
        <w:spacing w:line="424" w:lineRule="auto"/>
      </w:pPr>
    </w:p>
    <w:p w14:paraId="795C9271">
      <w:pPr>
        <w:spacing w:before="101" w:line="363" w:lineRule="auto"/>
        <w:ind w:left="90" w:right="104" w:firstLine="59"/>
        <w:jc w:val="both"/>
        <w:rPr>
          <w:rFonts w:ascii="仿宋" w:hAnsi="仿宋" w:eastAsia="仿宋" w:cs="仿宋"/>
          <w:sz w:val="31"/>
          <w:szCs w:val="31"/>
        </w:rPr>
      </w:pPr>
      <w:bookmarkStart w:id="6" w:name="bookmark28"/>
      <w:bookmarkEnd w:id="6"/>
      <w:r>
        <w:rPr>
          <w:rFonts w:ascii="仿宋" w:hAnsi="仿宋" w:eastAsia="仿宋" w:cs="仿宋"/>
          <w:spacing w:val="33"/>
          <w:sz w:val="31"/>
          <w:szCs w:val="31"/>
        </w:rPr>
        <w:t>的技术政策并指导实施；指导建设工程消防设计</w:t>
      </w:r>
      <w:r>
        <w:rPr>
          <w:rFonts w:ascii="仿宋" w:hAnsi="仿宋" w:eastAsia="仿宋" w:cs="仿宋"/>
          <w:spacing w:val="32"/>
          <w:sz w:val="31"/>
          <w:szCs w:val="31"/>
        </w:rPr>
        <w:t>审查工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作；指导实施各类房屋建筑及城市市政设施建设工程的抗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0"/>
          <w:sz w:val="31"/>
          <w:szCs w:val="31"/>
        </w:rPr>
        <w:t>震设计规范；监督指导和负责建设工程抗震</w:t>
      </w:r>
      <w:r>
        <w:rPr>
          <w:rFonts w:ascii="仿宋" w:hAnsi="仿宋" w:eastAsia="仿宋" w:cs="仿宋"/>
          <w:spacing w:val="19"/>
          <w:sz w:val="31"/>
          <w:szCs w:val="31"/>
        </w:rPr>
        <w:t>设防、施工图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设计、消防设计等审查工作。</w:t>
      </w:r>
    </w:p>
    <w:p w14:paraId="33B85F55">
      <w:pPr>
        <w:spacing w:before="53" w:line="327" w:lineRule="auto"/>
        <w:ind w:left="90" w:right="154" w:firstLine="65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6"/>
          <w:sz w:val="31"/>
          <w:szCs w:val="31"/>
        </w:rPr>
        <w:t>12、</w:t>
      </w:r>
      <w:r>
        <w:rPr>
          <w:rFonts w:ascii="宋体" w:hAnsi="宋体" w:eastAsia="宋体" w:cs="宋体"/>
          <w:spacing w:val="-9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负责推进建筑节能减排，会同有关部门</w:t>
      </w:r>
      <w:r>
        <w:rPr>
          <w:rFonts w:ascii="仿宋" w:hAnsi="仿宋" w:eastAsia="仿宋" w:cs="仿宋"/>
          <w:spacing w:val="15"/>
          <w:sz w:val="31"/>
          <w:szCs w:val="31"/>
        </w:rPr>
        <w:t>拟定建筑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节能政策、规划并指导实施；制定住房城乡建设的科技发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展规划和政策；组织实施重大建筑节能项目；指导、推动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建筑节能减排、绿色建筑发展工作。</w:t>
      </w:r>
    </w:p>
    <w:p w14:paraId="4476ADCE">
      <w:pPr>
        <w:spacing w:before="289" w:line="289" w:lineRule="auto"/>
        <w:ind w:left="90" w:right="212" w:firstLine="60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5"/>
          <w:sz w:val="31"/>
          <w:szCs w:val="31"/>
        </w:rPr>
        <w:t>13、</w:t>
      </w:r>
      <w:r>
        <w:rPr>
          <w:rFonts w:ascii="宋体" w:hAnsi="宋体" w:eastAsia="宋体" w:cs="宋体"/>
          <w:spacing w:val="-7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指导全县住宅专项维修资金管理工作并提供政策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咨询；承担住宅专项维修资金管理工作。</w:t>
      </w:r>
    </w:p>
    <w:p w14:paraId="1A3CD252">
      <w:pPr>
        <w:spacing w:before="262" w:line="318" w:lineRule="auto"/>
        <w:ind w:left="60" w:right="208" w:firstLine="639"/>
        <w:rPr>
          <w:rFonts w:ascii="仿宋" w:hAnsi="仿宋" w:eastAsia="仿宋" w:cs="仿宋"/>
          <w:sz w:val="25"/>
          <w:szCs w:val="25"/>
        </w:rPr>
      </w:pPr>
      <w:r>
        <w:rPr>
          <w:rFonts w:ascii="宋体" w:hAnsi="宋体" w:eastAsia="宋体" w:cs="宋体"/>
          <w:spacing w:val="18"/>
          <w:sz w:val="31"/>
          <w:szCs w:val="31"/>
        </w:rPr>
        <w:t>14、</w:t>
      </w:r>
      <w:r>
        <w:rPr>
          <w:rFonts w:ascii="仿宋" w:hAnsi="仿宋" w:eastAsia="仿宋" w:cs="仿宋"/>
          <w:spacing w:val="18"/>
          <w:sz w:val="31"/>
          <w:szCs w:val="31"/>
        </w:rPr>
        <w:t>负责住房城乡建设系统依法行政和法制宣传教育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5"/>
          <w:sz w:val="25"/>
          <w:szCs w:val="25"/>
        </w:rPr>
        <w:t>工</w:t>
      </w:r>
      <w:r>
        <w:rPr>
          <w:rFonts w:ascii="仿宋" w:hAnsi="仿宋" w:eastAsia="仿宋" w:cs="仿宋"/>
          <w:spacing w:val="-14"/>
          <w:sz w:val="25"/>
          <w:szCs w:val="25"/>
        </w:rPr>
        <w:t xml:space="preserve"> </w:t>
      </w:r>
      <w:r>
        <w:rPr>
          <w:rFonts w:ascii="仿宋" w:hAnsi="仿宋" w:eastAsia="仿宋" w:cs="仿宋"/>
          <w:spacing w:val="-15"/>
          <w:sz w:val="25"/>
          <w:szCs w:val="25"/>
        </w:rPr>
        <w:t>作</w:t>
      </w:r>
      <w:r>
        <w:rPr>
          <w:rFonts w:ascii="仿宋" w:hAnsi="仿宋" w:eastAsia="仿宋" w:cs="仿宋"/>
          <w:spacing w:val="-34"/>
          <w:sz w:val="25"/>
          <w:szCs w:val="25"/>
        </w:rPr>
        <w:t xml:space="preserve"> </w:t>
      </w:r>
      <w:r>
        <w:rPr>
          <w:rFonts w:ascii="仿宋" w:hAnsi="仿宋" w:eastAsia="仿宋" w:cs="仿宋"/>
          <w:spacing w:val="-15"/>
          <w:sz w:val="25"/>
          <w:szCs w:val="25"/>
        </w:rPr>
        <w:t>。</w:t>
      </w:r>
    </w:p>
    <w:p w14:paraId="695EEA8A">
      <w:pPr>
        <w:spacing w:before="273" w:line="220" w:lineRule="auto"/>
        <w:ind w:left="700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3"/>
          <w:sz w:val="31"/>
          <w:szCs w:val="31"/>
        </w:rPr>
        <w:t>15、</w:t>
      </w:r>
      <w:r>
        <w:rPr>
          <w:rFonts w:ascii="仿宋" w:hAnsi="仿宋" w:eastAsia="仿宋" w:cs="仿宋"/>
          <w:spacing w:val="3"/>
          <w:sz w:val="31"/>
          <w:szCs w:val="31"/>
        </w:rPr>
        <w:t>负责住房城乡建设信息管理工作。</w:t>
      </w:r>
    </w:p>
    <w:p w14:paraId="7AEB17EB">
      <w:pPr>
        <w:spacing w:before="272" w:line="222" w:lineRule="auto"/>
        <w:ind w:left="650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3"/>
          <w:sz w:val="31"/>
          <w:szCs w:val="31"/>
        </w:rPr>
        <w:t>16、</w:t>
      </w:r>
      <w:r>
        <w:rPr>
          <w:rFonts w:ascii="仿宋" w:hAnsi="仿宋" w:eastAsia="仿宋" w:cs="仿宋"/>
          <w:spacing w:val="3"/>
          <w:sz w:val="31"/>
          <w:szCs w:val="31"/>
        </w:rPr>
        <w:t>完成县委、县政府交办的其他任务。</w:t>
      </w:r>
    </w:p>
    <w:p w14:paraId="30E3E2F7">
      <w:pPr>
        <w:spacing w:before="233" w:line="222" w:lineRule="auto"/>
        <w:ind w:left="824"/>
        <w:outlineLvl w:val="1"/>
        <w:rPr>
          <w:rFonts w:ascii="仿宋" w:hAnsi="仿宋" w:eastAsia="仿宋" w:cs="仿宋"/>
          <w:sz w:val="31"/>
          <w:szCs w:val="31"/>
        </w:rPr>
      </w:pPr>
      <w:bookmarkStart w:id="7" w:name="bookmark5"/>
      <w:bookmarkEnd w:id="7"/>
      <w:r>
        <w:rPr>
          <w:rFonts w:ascii="仿宋" w:hAnsi="仿宋" w:eastAsia="仿宋" w:cs="仿宋"/>
          <w:b/>
          <w:bCs/>
          <w:spacing w:val="22"/>
          <w:sz w:val="31"/>
          <w:szCs w:val="31"/>
        </w:rPr>
        <w:t>(二)部门年度发展规划总体目标和职责分类绩效目</w:t>
      </w:r>
    </w:p>
    <w:p w14:paraId="71C7CC78">
      <w:pPr>
        <w:spacing w:before="254" w:line="222" w:lineRule="auto"/>
        <w:rPr>
          <w:rFonts w:ascii="仿宋" w:hAnsi="仿宋" w:eastAsia="仿宋" w:cs="仿宋"/>
          <w:sz w:val="31"/>
          <w:szCs w:val="31"/>
        </w:rPr>
      </w:pPr>
      <w:r>
        <w:drawing>
          <wp:anchor distT="0" distB="0" distL="0" distR="0" simplePos="0" relativeHeight="251666432" behindDoc="0" locked="0" layoutInCell="1" allowOverlap="1">
            <wp:simplePos x="0" y="0"/>
            <wp:positionH relativeFrom="column">
              <wp:posOffset>2076450</wp:posOffset>
            </wp:positionH>
            <wp:positionV relativeFrom="paragraph">
              <wp:posOffset>313055</wp:posOffset>
            </wp:positionV>
            <wp:extent cx="393700" cy="190500"/>
            <wp:effectExtent l="0" t="0" r="0" b="0"/>
            <wp:wrapNone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393769" cy="1905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仿宋" w:hAnsi="仿宋" w:eastAsia="仿宋" w:cs="仿宋"/>
          <w:sz w:val="31"/>
          <w:szCs w:val="31"/>
        </w:rPr>
        <w:t>标</w:t>
      </w:r>
    </w:p>
    <w:p w14:paraId="2AB32BB9">
      <w:pPr>
        <w:spacing w:before="265" w:line="222" w:lineRule="auto"/>
        <w:ind w:left="65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1"/>
          <w:sz w:val="31"/>
          <w:szCs w:val="31"/>
        </w:rPr>
        <w:t>按照2020 年绩效预算编制要求，住建局设置的年度发</w:t>
      </w:r>
    </w:p>
    <w:p w14:paraId="5EA45673">
      <w:pPr>
        <w:spacing w:before="229"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3"/>
          <w:sz w:val="31"/>
          <w:szCs w:val="31"/>
        </w:rPr>
        <w:t>展规划总体目标为：</w:t>
      </w:r>
    </w:p>
    <w:p w14:paraId="4D7F7BF9">
      <w:pPr>
        <w:spacing w:before="265" w:line="376" w:lineRule="auto"/>
        <w:ind w:right="274" w:firstLine="65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6"/>
          <w:sz w:val="31"/>
          <w:szCs w:val="31"/>
        </w:rPr>
        <w:t>围绕全县中心工作，按照县委、县政府的目标要求，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加快城镇化进程和城市基础设施建设，改善人居环境，增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强城市功能，整治建筑市场，提升建设水平，努力将县城</w:t>
      </w:r>
    </w:p>
    <w:p w14:paraId="2D28B761">
      <w:pPr>
        <w:spacing w:line="376" w:lineRule="auto"/>
        <w:rPr>
          <w:rFonts w:ascii="仿宋" w:hAnsi="仿宋" w:eastAsia="仿宋" w:cs="仿宋"/>
          <w:sz w:val="31"/>
          <w:szCs w:val="31"/>
        </w:rPr>
        <w:sectPr>
          <w:headerReference r:id="rId17" w:type="default"/>
          <w:footerReference r:id="rId18" w:type="default"/>
          <w:pgSz w:w="11900" w:h="16820"/>
          <w:pgMar w:top="1080" w:right="1785" w:bottom="1344" w:left="1629" w:header="1059" w:footer="1209" w:gutter="0"/>
          <w:cols w:space="720" w:num="1"/>
        </w:sectPr>
      </w:pPr>
    </w:p>
    <w:p w14:paraId="3609FCFB">
      <w:pPr>
        <w:pStyle w:val="2"/>
        <w:spacing w:line="423" w:lineRule="auto"/>
      </w:pPr>
    </w:p>
    <w:p w14:paraId="2650005C">
      <w:pPr>
        <w:spacing w:before="101" w:line="354" w:lineRule="auto"/>
        <w:ind w:left="179" w:right="91" w:hanging="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建设成为经济繁荣、环境优美、功能完善、特色彰显、社</w:t>
      </w:r>
      <w:r>
        <w:rPr>
          <w:rFonts w:ascii="仿宋" w:hAnsi="仿宋" w:eastAsia="仿宋" w:cs="仿宋"/>
          <w:spacing w:val="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会和谐的美好城市。</w:t>
      </w:r>
    </w:p>
    <w:p w14:paraId="4365D751">
      <w:pPr>
        <w:spacing w:before="34" w:line="222" w:lineRule="auto"/>
        <w:ind w:left="79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3"/>
          <w:sz w:val="31"/>
          <w:szCs w:val="31"/>
        </w:rPr>
        <w:t>职责分类绩效目标为：</w:t>
      </w:r>
    </w:p>
    <w:p w14:paraId="3A613EEF">
      <w:pPr>
        <w:spacing w:before="255" w:line="370" w:lineRule="auto"/>
        <w:ind w:left="90" w:right="133" w:firstLine="66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0"/>
          <w:sz w:val="31"/>
          <w:szCs w:val="31"/>
        </w:rPr>
        <w:t>2020</w:t>
      </w:r>
      <w:r>
        <w:rPr>
          <w:rFonts w:ascii="宋体" w:hAnsi="宋体" w:eastAsia="宋体" w:cs="宋体"/>
          <w:spacing w:val="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年我部门全面落实国家、省市住房保障政策，进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一步健全住房保障体系，按照国家要求达到城镇住房保障</w:t>
      </w:r>
      <w:r>
        <w:rPr>
          <w:rFonts w:ascii="仿宋" w:hAnsi="仿宋" w:eastAsia="仿宋" w:cs="仿宋"/>
          <w:spacing w:val="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工作目标。全力提升县城形象，内修外扩对县城路网进行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改造提升，完善市政设施建设。</w:t>
      </w:r>
    </w:p>
    <w:p w14:paraId="5AD1FE5F">
      <w:pPr>
        <w:spacing w:before="9" w:line="377" w:lineRule="auto"/>
        <w:ind w:left="60" w:right="172" w:firstLine="679"/>
        <w:jc w:val="both"/>
        <w:rPr>
          <w:rFonts w:ascii="仿宋" w:hAnsi="仿宋" w:eastAsia="仿宋" w:cs="仿宋"/>
          <w:sz w:val="25"/>
          <w:szCs w:val="25"/>
        </w:rPr>
      </w:pPr>
      <w:r>
        <w:rPr>
          <w:rFonts w:ascii="仿宋" w:hAnsi="仿宋" w:eastAsia="仿宋" w:cs="仿宋"/>
          <w:spacing w:val="21"/>
          <w:sz w:val="31"/>
          <w:szCs w:val="31"/>
        </w:rPr>
        <w:t>一</w:t>
      </w:r>
      <w:r>
        <w:rPr>
          <w:rFonts w:ascii="仿宋" w:hAnsi="仿宋" w:eastAsia="仿宋" w:cs="仿宋"/>
          <w:spacing w:val="-7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1"/>
          <w:sz w:val="31"/>
          <w:szCs w:val="31"/>
        </w:rPr>
        <w:t>、住房保障管理方面。2020 年主要实施保障房绿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0"/>
          <w:sz w:val="31"/>
          <w:szCs w:val="31"/>
        </w:rPr>
        <w:t>化、硬化、广场建设和保障房维护维修、国税局老旧小区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改造项目，完善保障性住房基础设施，提升保障房居住条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件。为进一步落实“</w:t>
      </w:r>
      <w:r>
        <w:rPr>
          <w:rFonts w:hint="eastAsia" w:ascii="仿宋" w:hAnsi="仿宋" w:eastAsia="仿宋" w:cs="仿宋"/>
          <w:spacing w:val="18"/>
          <w:sz w:val="31"/>
          <w:szCs w:val="31"/>
          <w:lang w:eastAsia="zh-CN"/>
        </w:rPr>
        <w:t>两不愁三保障</w:t>
      </w:r>
      <w:r>
        <w:rPr>
          <w:rFonts w:ascii="仿宋" w:hAnsi="仿宋" w:eastAsia="仿宋" w:cs="仿宋"/>
          <w:spacing w:val="18"/>
          <w:sz w:val="31"/>
          <w:szCs w:val="31"/>
        </w:rPr>
        <w:t>”任务要求，巩固脱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0"/>
          <w:sz w:val="31"/>
          <w:szCs w:val="31"/>
        </w:rPr>
        <w:t>贫攻坚成果，确保群众安全住房。对建档立</w:t>
      </w:r>
      <w:r>
        <w:rPr>
          <w:rFonts w:ascii="仿宋" w:hAnsi="仿宋" w:eastAsia="仿宋" w:cs="仿宋"/>
          <w:spacing w:val="19"/>
          <w:sz w:val="31"/>
          <w:szCs w:val="31"/>
        </w:rPr>
        <w:t>卡贫困户、低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保户、农村分散供养特困人员、贫困残疾人家庭危房进行</w:t>
      </w:r>
      <w:r>
        <w:rPr>
          <w:rFonts w:ascii="仿宋" w:hAnsi="仿宋" w:eastAsia="仿宋" w:cs="仿宋"/>
          <w:spacing w:val="1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6"/>
          <w:sz w:val="25"/>
          <w:szCs w:val="25"/>
        </w:rPr>
        <w:t>改</w:t>
      </w:r>
      <w:r>
        <w:rPr>
          <w:rFonts w:ascii="仿宋" w:hAnsi="仿宋" w:eastAsia="仿宋" w:cs="仿宋"/>
          <w:spacing w:val="-15"/>
          <w:sz w:val="25"/>
          <w:szCs w:val="25"/>
        </w:rPr>
        <w:t xml:space="preserve"> </w:t>
      </w:r>
      <w:r>
        <w:rPr>
          <w:rFonts w:ascii="仿宋" w:hAnsi="仿宋" w:eastAsia="仿宋" w:cs="仿宋"/>
          <w:spacing w:val="-16"/>
          <w:sz w:val="25"/>
          <w:szCs w:val="25"/>
        </w:rPr>
        <w:t>造</w:t>
      </w:r>
      <w:r>
        <w:rPr>
          <w:rFonts w:ascii="仿宋" w:hAnsi="仿宋" w:eastAsia="仿宋" w:cs="仿宋"/>
          <w:spacing w:val="-30"/>
          <w:sz w:val="25"/>
          <w:szCs w:val="25"/>
        </w:rPr>
        <w:t xml:space="preserve"> </w:t>
      </w:r>
      <w:r>
        <w:rPr>
          <w:rFonts w:ascii="仿宋" w:hAnsi="仿宋" w:eastAsia="仿宋" w:cs="仿宋"/>
          <w:spacing w:val="-16"/>
          <w:sz w:val="25"/>
          <w:szCs w:val="25"/>
        </w:rPr>
        <w:t>。</w:t>
      </w:r>
    </w:p>
    <w:p w14:paraId="5FF2E277">
      <w:pPr>
        <w:spacing w:before="71" w:line="371" w:lineRule="auto"/>
        <w:ind w:right="234" w:firstLine="68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6"/>
          <w:sz w:val="31"/>
          <w:szCs w:val="31"/>
        </w:rPr>
        <w:t>二</w:t>
      </w:r>
      <w:r>
        <w:rPr>
          <w:rFonts w:ascii="仿宋" w:hAnsi="仿宋" w:eastAsia="仿宋" w:cs="仿宋"/>
          <w:spacing w:val="-7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、城市建设管理方面。推进市政公用设施</w:t>
      </w:r>
      <w:r>
        <w:rPr>
          <w:rFonts w:ascii="仿宋" w:hAnsi="仿宋" w:eastAsia="仿宋" w:cs="仿宋"/>
          <w:spacing w:val="15"/>
          <w:sz w:val="31"/>
          <w:szCs w:val="31"/>
        </w:rPr>
        <w:t>建设、安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全和应急管理，加强管理，提高城市承载能力和宜居</w:t>
      </w:r>
      <w:r>
        <w:rPr>
          <w:rFonts w:ascii="仿宋" w:hAnsi="仿宋" w:eastAsia="仿宋" w:cs="仿宋"/>
          <w:spacing w:val="5"/>
          <w:sz w:val="31"/>
          <w:szCs w:val="31"/>
        </w:rPr>
        <w:t>度。保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护和改善了县城生态环境，为曲阳县的可持续发展带来了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环境效益、经济效益和社会效益。主要实施的项目有：羊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平供热站项目、污水处理厂搬迁扩建配套主干管道工程、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7"/>
          <w:sz w:val="31"/>
          <w:szCs w:val="31"/>
        </w:rPr>
        <w:t>污水管网(</w:t>
      </w:r>
      <w:r>
        <w:rPr>
          <w:rFonts w:ascii="仿宋" w:hAnsi="仿宋" w:eastAsia="仿宋" w:cs="仿宋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7"/>
          <w:sz w:val="31"/>
          <w:szCs w:val="31"/>
        </w:rPr>
        <w:t>一</w:t>
      </w:r>
      <w:r>
        <w:rPr>
          <w:rFonts w:ascii="仿宋" w:hAnsi="仿宋" w:eastAsia="仿宋" w:cs="仿宋"/>
          <w:spacing w:val="-6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7"/>
          <w:sz w:val="31"/>
          <w:szCs w:val="31"/>
        </w:rPr>
        <w:t>期)、</w:t>
      </w:r>
      <w:r>
        <w:rPr>
          <w:rFonts w:ascii="仿宋" w:hAnsi="仿宋" w:eastAsia="仿宋" w:cs="仿宋"/>
          <w:spacing w:val="8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7"/>
          <w:sz w:val="31"/>
          <w:szCs w:val="31"/>
        </w:rPr>
        <w:t>(二期)工程、城区散</w:t>
      </w:r>
      <w:r>
        <w:rPr>
          <w:rFonts w:ascii="仿宋" w:hAnsi="仿宋" w:eastAsia="仿宋" w:cs="仿宋"/>
          <w:spacing w:val="26"/>
          <w:sz w:val="31"/>
          <w:szCs w:val="31"/>
        </w:rPr>
        <w:t>排污水收集处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理工程、灵山镇临时污水应急处理项目、污水处理及污泥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处置等项目。逐步完善县城基础设施，改善县城路网，提</w:t>
      </w:r>
    </w:p>
    <w:p w14:paraId="419BDE71">
      <w:pPr>
        <w:spacing w:line="371" w:lineRule="auto"/>
        <w:rPr>
          <w:rFonts w:ascii="仿宋" w:hAnsi="仿宋" w:eastAsia="仿宋" w:cs="仿宋"/>
          <w:sz w:val="31"/>
          <w:szCs w:val="31"/>
        </w:rPr>
        <w:sectPr>
          <w:headerReference r:id="rId19" w:type="default"/>
          <w:footerReference r:id="rId20" w:type="default"/>
          <w:pgSz w:w="11900" w:h="16820"/>
          <w:pgMar w:top="1069" w:right="1785" w:bottom="1352" w:left="1619" w:header="1050" w:footer="1219" w:gutter="0"/>
          <w:cols w:space="720" w:num="1"/>
        </w:sectPr>
      </w:pPr>
    </w:p>
    <w:p w14:paraId="04A7BB0C">
      <w:pPr>
        <w:pStyle w:val="2"/>
        <w:spacing w:line="427" w:lineRule="auto"/>
      </w:pPr>
    </w:p>
    <w:p w14:paraId="1ADFA870">
      <w:pPr>
        <w:spacing w:before="101" w:line="357" w:lineRule="auto"/>
        <w:ind w:right="299"/>
        <w:rPr>
          <w:rFonts w:ascii="仿宋" w:hAnsi="仿宋" w:eastAsia="仿宋" w:cs="仿宋"/>
          <w:sz w:val="31"/>
          <w:szCs w:val="31"/>
        </w:rPr>
      </w:pPr>
      <w:bookmarkStart w:id="8" w:name="bookmark29"/>
      <w:bookmarkEnd w:id="8"/>
      <w:r>
        <w:rPr>
          <w:rFonts w:ascii="仿宋" w:hAnsi="仿宋" w:eastAsia="仿宋" w:cs="仿宋"/>
          <w:spacing w:val="19"/>
          <w:sz w:val="31"/>
          <w:szCs w:val="31"/>
        </w:rPr>
        <w:t>升县城承载力，努力打造一个生态、宜居、和谐、美丽的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居住环境。</w:t>
      </w:r>
    </w:p>
    <w:p w14:paraId="4052A192">
      <w:pPr>
        <w:spacing w:before="37" w:line="345" w:lineRule="auto"/>
        <w:ind w:right="264" w:firstLine="7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3"/>
          <w:sz w:val="31"/>
          <w:szCs w:val="31"/>
        </w:rPr>
        <w:t>三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、建筑业、房地产市场监管方面。规范建筑市场、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促进建筑市场健康发展。提高建筑工程质量，促进全县房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地产市场持续健康发展。实现信息化建设，</w:t>
      </w:r>
      <w:r>
        <w:rPr>
          <w:rFonts w:ascii="仿宋" w:hAnsi="仿宋" w:eastAsia="仿宋" w:cs="仿宋"/>
          <w:spacing w:val="18"/>
          <w:sz w:val="31"/>
          <w:szCs w:val="31"/>
        </w:rPr>
        <w:t>统一房屋楼盘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2"/>
          <w:sz w:val="31"/>
          <w:szCs w:val="31"/>
        </w:rPr>
        <w:t>信息格式，实现房屋楼盘清晰地展示，实现信息实时共</w:t>
      </w:r>
      <w:r>
        <w:rPr>
          <w:rFonts w:ascii="仿宋" w:hAnsi="仿宋" w:eastAsia="仿宋" w:cs="仿宋"/>
          <w:spacing w:val="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享，与不动产登记部门实现对接，共同完成业务</w:t>
      </w:r>
      <w:r>
        <w:rPr>
          <w:rFonts w:ascii="仿宋" w:hAnsi="仿宋" w:eastAsia="仿宋" w:cs="仿宋"/>
          <w:spacing w:val="18"/>
          <w:sz w:val="31"/>
          <w:szCs w:val="31"/>
        </w:rPr>
        <w:t>联办，缩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短房屋交易业务办理时限。</w:t>
      </w:r>
    </w:p>
    <w:p w14:paraId="0839862A">
      <w:pPr>
        <w:spacing w:before="259" w:line="341" w:lineRule="auto"/>
        <w:ind w:right="290" w:firstLine="69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2"/>
          <w:sz w:val="31"/>
          <w:szCs w:val="31"/>
        </w:rPr>
        <w:t>四</w:t>
      </w:r>
      <w:r>
        <w:rPr>
          <w:rFonts w:ascii="仿宋" w:hAnsi="仿宋" w:eastAsia="仿宋" w:cs="仿宋"/>
          <w:spacing w:val="-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、住建政务管理方面。加强人才队伍建设，提高人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 xml:space="preserve">才业务素质，提升机关及行业信息化水平，保障各类业务 </w:t>
      </w:r>
      <w:r>
        <w:rPr>
          <w:rFonts w:ascii="仿宋" w:hAnsi="仿宋" w:eastAsia="仿宋" w:cs="仿宋"/>
          <w:spacing w:val="17"/>
          <w:sz w:val="31"/>
          <w:szCs w:val="31"/>
        </w:rPr>
        <w:t>系统安全稳定运行。规范审批行为，推进政务公开，增加</w:t>
      </w:r>
      <w:r>
        <w:rPr>
          <w:rFonts w:ascii="仿宋" w:hAnsi="仿宋" w:eastAsia="仿宋" w:cs="仿宋"/>
          <w:spacing w:val="1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服务意识，提高工作效率。安排劳务派遣人员经费，主要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用于3名劳务派遣人员经费。</w:t>
      </w:r>
    </w:p>
    <w:p w14:paraId="25386738">
      <w:pPr>
        <w:spacing w:before="247" w:line="222" w:lineRule="auto"/>
        <w:ind w:left="834"/>
        <w:outlineLvl w:val="1"/>
        <w:rPr>
          <w:rFonts w:ascii="仿宋" w:hAnsi="仿宋" w:eastAsia="仿宋" w:cs="仿宋"/>
          <w:sz w:val="31"/>
          <w:szCs w:val="31"/>
        </w:rPr>
      </w:pPr>
      <w:bookmarkStart w:id="9" w:name="bookmark6"/>
      <w:bookmarkEnd w:id="9"/>
      <w:r>
        <w:rPr>
          <w:rFonts w:ascii="仿宋" w:hAnsi="仿宋" w:eastAsia="仿宋" w:cs="仿宋"/>
          <w:b/>
          <w:bCs/>
          <w:spacing w:val="14"/>
          <w:sz w:val="31"/>
          <w:szCs w:val="31"/>
        </w:rPr>
        <w:t>(三)部门预算收入及决算收入</w:t>
      </w:r>
    </w:p>
    <w:p w14:paraId="6447841B">
      <w:pPr>
        <w:spacing w:before="261" w:line="371" w:lineRule="auto"/>
        <w:ind w:right="306" w:firstLine="63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</w:rPr>
        <w:t>2020年部门预算收入32116.22万元，其中一般公共预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4"/>
          <w:sz w:val="31"/>
          <w:szCs w:val="31"/>
        </w:rPr>
        <w:t>算拨款22779.1万元，政府性基金预算9334.08万元。预</w:t>
      </w:r>
      <w:r>
        <w:rPr>
          <w:rFonts w:ascii="仿宋" w:hAnsi="仿宋" w:eastAsia="仿宋" w:cs="仿宋"/>
          <w:spacing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算收入按功能分类包含：文化旅游体育与传媒收入885.</w:t>
      </w:r>
      <w:r>
        <w:rPr>
          <w:rFonts w:ascii="仿宋" w:hAnsi="仿宋" w:eastAsia="仿宋" w:cs="仿宋"/>
          <w:spacing w:val="15"/>
          <w:sz w:val="31"/>
          <w:szCs w:val="31"/>
        </w:rPr>
        <w:t>60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1"/>
          <w:sz w:val="31"/>
          <w:szCs w:val="31"/>
        </w:rPr>
        <w:t>万元；社会保障与就业(类)收入216.73 万</w:t>
      </w:r>
      <w:r>
        <w:rPr>
          <w:rFonts w:ascii="仿宋" w:hAnsi="仿宋" w:eastAsia="仿宋" w:cs="仿宋"/>
          <w:spacing w:val="20"/>
          <w:sz w:val="31"/>
          <w:szCs w:val="31"/>
        </w:rPr>
        <w:t>元；卫生健康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7"/>
          <w:sz w:val="31"/>
          <w:szCs w:val="31"/>
        </w:rPr>
        <w:t>(类)收入52</w:t>
      </w:r>
      <w:r>
        <w:rPr>
          <w:rFonts w:ascii="仿宋" w:hAnsi="仿宋" w:eastAsia="仿宋" w:cs="仿宋"/>
          <w:spacing w:val="-9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7"/>
          <w:sz w:val="31"/>
          <w:szCs w:val="31"/>
        </w:rPr>
        <w:t>.90万元；节能环保(类)</w:t>
      </w:r>
      <w:r>
        <w:rPr>
          <w:rFonts w:ascii="仿宋" w:hAnsi="仿宋" w:eastAsia="仿宋" w:cs="仿宋"/>
          <w:spacing w:val="36"/>
          <w:sz w:val="31"/>
          <w:szCs w:val="31"/>
        </w:rPr>
        <w:t>收入2077</w:t>
      </w:r>
      <w:r>
        <w:rPr>
          <w:rFonts w:ascii="仿宋" w:hAnsi="仿宋" w:eastAsia="仿宋" w:cs="仿宋"/>
          <w:spacing w:val="-9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6"/>
          <w:sz w:val="31"/>
          <w:szCs w:val="31"/>
        </w:rPr>
        <w:t>.68</w:t>
      </w:r>
      <w:r>
        <w:rPr>
          <w:rFonts w:ascii="仿宋" w:hAnsi="仿宋" w:eastAsia="仿宋" w:cs="仿宋"/>
          <w:spacing w:val="-3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6"/>
          <w:sz w:val="31"/>
          <w:szCs w:val="31"/>
        </w:rPr>
        <w:t>万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6"/>
          <w:sz w:val="31"/>
          <w:szCs w:val="31"/>
        </w:rPr>
        <w:t>元；城乡社区(类)收入26816.3 万元；农林水(类)收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5"/>
          <w:sz w:val="31"/>
          <w:szCs w:val="31"/>
        </w:rPr>
        <w:t>入0.71万元；住房保障(类)收入242.02万元；抗疫特别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国债安排的收入1813.41万元。</w:t>
      </w:r>
    </w:p>
    <w:p w14:paraId="5DCCC462">
      <w:pPr>
        <w:spacing w:line="371" w:lineRule="auto"/>
        <w:rPr>
          <w:rFonts w:ascii="仿宋" w:hAnsi="仿宋" w:eastAsia="仿宋" w:cs="仿宋"/>
          <w:sz w:val="31"/>
          <w:szCs w:val="31"/>
        </w:rPr>
        <w:sectPr>
          <w:headerReference r:id="rId21" w:type="default"/>
          <w:footerReference r:id="rId22" w:type="default"/>
          <w:pgSz w:w="12070" w:h="16940"/>
          <w:pgMar w:top="1130" w:right="1810" w:bottom="1401" w:left="1729" w:header="1110" w:footer="1257" w:gutter="0"/>
          <w:cols w:space="720" w:num="1"/>
        </w:sectPr>
      </w:pPr>
    </w:p>
    <w:p w14:paraId="079A13A1">
      <w:pPr>
        <w:pStyle w:val="2"/>
        <w:spacing w:line="433" w:lineRule="auto"/>
      </w:pPr>
    </w:p>
    <w:p w14:paraId="7DF536A1">
      <w:pPr>
        <w:tabs>
          <w:tab w:val="left" w:pos="280"/>
        </w:tabs>
        <w:spacing w:before="101" w:line="366" w:lineRule="auto"/>
        <w:ind w:left="60" w:right="67" w:firstLine="759"/>
        <w:rPr>
          <w:rFonts w:ascii="宋体" w:hAnsi="宋体" w:eastAsia="宋体" w:cs="宋体"/>
          <w:sz w:val="31"/>
          <w:szCs w:val="31"/>
        </w:rPr>
      </w:pPr>
      <w:bookmarkStart w:id="10" w:name="bookmark30"/>
      <w:bookmarkEnd w:id="10"/>
      <w:r>
        <w:rPr>
          <w:rFonts w:ascii="仿宋" w:hAnsi="仿宋" w:eastAsia="仿宋" w:cs="仿宋"/>
          <w:spacing w:val="17"/>
          <w:sz w:val="31"/>
          <w:szCs w:val="31"/>
        </w:rPr>
        <w:t>2020年部门决算收入32116.89万元，其中：其中</w:t>
      </w:r>
      <w:r>
        <w:rPr>
          <w:rFonts w:ascii="仿宋" w:hAnsi="仿宋" w:eastAsia="仿宋" w:cs="仿宋"/>
          <w:spacing w:val="16"/>
          <w:sz w:val="31"/>
          <w:szCs w:val="31"/>
        </w:rPr>
        <w:t>一般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公共预算拨款22779.1 万元，政府性基金预算9334</w:t>
      </w:r>
      <w:r>
        <w:rPr>
          <w:rFonts w:ascii="仿宋" w:hAnsi="仿宋" w:eastAsia="仿宋" w:cs="仿宋"/>
          <w:spacing w:val="16"/>
          <w:sz w:val="31"/>
          <w:szCs w:val="31"/>
        </w:rPr>
        <w:t>.08 万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8"/>
          <w:sz w:val="31"/>
          <w:szCs w:val="31"/>
        </w:rPr>
        <w:t>元，其他收入3.71</w:t>
      </w:r>
      <w:r>
        <w:rPr>
          <w:rFonts w:ascii="仿宋" w:hAnsi="仿宋" w:eastAsia="仿宋" w:cs="仿宋"/>
          <w:spacing w:val="-2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8"/>
          <w:sz w:val="31"/>
          <w:szCs w:val="31"/>
        </w:rPr>
        <w:t>元(利息收入)。决算收入按功能分类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2"/>
          <w:sz w:val="31"/>
          <w:szCs w:val="31"/>
        </w:rPr>
        <w:t>包含：文化旅游体育与传媒收入885</w:t>
      </w:r>
      <w:r>
        <w:rPr>
          <w:rFonts w:ascii="仿宋" w:hAnsi="仿宋" w:eastAsia="仿宋" w:cs="仿宋"/>
          <w:spacing w:val="-6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2"/>
          <w:sz w:val="31"/>
          <w:szCs w:val="31"/>
        </w:rPr>
        <w:t>.</w:t>
      </w:r>
      <w:r>
        <w:rPr>
          <w:rFonts w:ascii="仿宋" w:hAnsi="仿宋" w:eastAsia="仿宋" w:cs="仿宋"/>
          <w:spacing w:val="-7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2"/>
          <w:sz w:val="31"/>
          <w:szCs w:val="31"/>
        </w:rPr>
        <w:t>60 万</w:t>
      </w:r>
      <w:r>
        <w:rPr>
          <w:rFonts w:ascii="仿宋" w:hAnsi="仿宋" w:eastAsia="仿宋" w:cs="仿宋"/>
          <w:spacing w:val="-3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2"/>
          <w:sz w:val="31"/>
          <w:szCs w:val="31"/>
        </w:rPr>
        <w:t>元</w:t>
      </w:r>
      <w:r>
        <w:rPr>
          <w:rFonts w:ascii="仿宋" w:hAnsi="仿宋" w:eastAsia="仿宋" w:cs="仿宋"/>
          <w:spacing w:val="-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2"/>
          <w:sz w:val="31"/>
          <w:szCs w:val="31"/>
        </w:rPr>
        <w:t>， 占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1"/>
          <w:sz w:val="31"/>
          <w:szCs w:val="31"/>
        </w:rPr>
        <w:t>2</w:t>
      </w:r>
      <w:r>
        <w:rPr>
          <w:rFonts w:ascii="仿宋" w:hAnsi="仿宋" w:eastAsia="仿宋" w:cs="仿宋"/>
          <w:spacing w:val="-7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1"/>
          <w:sz w:val="31"/>
          <w:szCs w:val="31"/>
        </w:rPr>
        <w:t>.</w:t>
      </w:r>
      <w:r>
        <w:rPr>
          <w:rFonts w:ascii="仿宋" w:hAnsi="仿宋" w:eastAsia="仿宋" w:cs="仿宋"/>
          <w:spacing w:val="-8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1"/>
          <w:sz w:val="31"/>
          <w:szCs w:val="31"/>
        </w:rPr>
        <w:t>76%,;社会保障与就业(类)收入219</w:t>
      </w:r>
      <w:r>
        <w:rPr>
          <w:rFonts w:ascii="仿宋" w:hAnsi="仿宋" w:eastAsia="仿宋" w:cs="仿宋"/>
          <w:spacing w:val="-7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1"/>
          <w:sz w:val="31"/>
          <w:szCs w:val="31"/>
        </w:rPr>
        <w:t>.</w:t>
      </w:r>
      <w:r>
        <w:rPr>
          <w:rFonts w:ascii="仿宋" w:hAnsi="仿宋" w:eastAsia="仿宋" w:cs="仿宋"/>
          <w:spacing w:val="-8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1"/>
          <w:sz w:val="31"/>
          <w:szCs w:val="31"/>
        </w:rPr>
        <w:t>21 万元，占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4"/>
          <w:sz w:val="31"/>
          <w:szCs w:val="31"/>
        </w:rPr>
        <w:t>0</w:t>
      </w:r>
      <w:r>
        <w:rPr>
          <w:rFonts w:ascii="仿宋" w:hAnsi="仿宋" w:eastAsia="仿宋" w:cs="仿宋"/>
          <w:spacing w:val="-8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4"/>
          <w:sz w:val="31"/>
          <w:szCs w:val="31"/>
        </w:rPr>
        <w:t>.68%;卫生健康(类)收入52</w:t>
      </w:r>
      <w:r>
        <w:rPr>
          <w:rFonts w:ascii="仿宋" w:hAnsi="仿宋" w:eastAsia="仿宋" w:cs="仿宋"/>
          <w:spacing w:val="-9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4"/>
          <w:sz w:val="31"/>
          <w:szCs w:val="31"/>
        </w:rPr>
        <w:t>.90万元，占0</w:t>
      </w:r>
      <w:r>
        <w:rPr>
          <w:rFonts w:ascii="仿宋" w:hAnsi="仿宋" w:eastAsia="仿宋" w:cs="仿宋"/>
          <w:spacing w:val="-9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4"/>
          <w:sz w:val="31"/>
          <w:szCs w:val="31"/>
        </w:rPr>
        <w:t>.</w:t>
      </w:r>
      <w:r>
        <w:rPr>
          <w:rFonts w:ascii="仿宋" w:hAnsi="仿宋" w:eastAsia="仿宋" w:cs="仿宋"/>
          <w:spacing w:val="-7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4"/>
          <w:sz w:val="31"/>
          <w:szCs w:val="31"/>
        </w:rPr>
        <w:t>16%;节能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1"/>
          <w:sz w:val="31"/>
          <w:szCs w:val="31"/>
        </w:rPr>
        <w:t>环保(类)收入2077</w:t>
      </w:r>
      <w:r>
        <w:rPr>
          <w:rFonts w:ascii="仿宋" w:hAnsi="仿宋" w:eastAsia="仿宋" w:cs="仿宋"/>
          <w:spacing w:val="-6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1"/>
          <w:sz w:val="31"/>
          <w:szCs w:val="31"/>
        </w:rPr>
        <w:t>.</w:t>
      </w:r>
      <w:r>
        <w:rPr>
          <w:rFonts w:ascii="仿宋" w:hAnsi="仿宋" w:eastAsia="仿宋" w:cs="仿宋"/>
          <w:spacing w:val="-7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1"/>
          <w:sz w:val="31"/>
          <w:szCs w:val="31"/>
        </w:rPr>
        <w:t>68 万元，占</w:t>
      </w:r>
      <w:r>
        <w:rPr>
          <w:rFonts w:ascii="仿宋" w:hAnsi="仿宋" w:eastAsia="仿宋" w:cs="仿宋"/>
          <w:spacing w:val="50"/>
          <w:sz w:val="31"/>
          <w:szCs w:val="31"/>
        </w:rPr>
        <w:t>6</w:t>
      </w:r>
      <w:r>
        <w:rPr>
          <w:rFonts w:ascii="仿宋" w:hAnsi="仿宋" w:eastAsia="仿宋" w:cs="仿宋"/>
          <w:spacing w:val="-6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0"/>
          <w:sz w:val="31"/>
          <w:szCs w:val="31"/>
        </w:rPr>
        <w:t>.</w:t>
      </w:r>
      <w:r>
        <w:rPr>
          <w:rFonts w:ascii="仿宋" w:hAnsi="仿宋" w:eastAsia="仿宋" w:cs="仿宋"/>
          <w:spacing w:val="-7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0"/>
          <w:sz w:val="31"/>
          <w:szCs w:val="31"/>
        </w:rPr>
        <w:t>47%;城乡社区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ab/>
      </w:r>
      <w:r>
        <w:rPr>
          <w:rFonts w:ascii="仿宋" w:hAnsi="仿宋" w:eastAsia="仿宋" w:cs="仿宋"/>
          <w:spacing w:val="35"/>
          <w:sz w:val="31"/>
          <w:szCs w:val="31"/>
        </w:rPr>
        <w:t>(类)收入26764</w:t>
      </w:r>
      <w:r>
        <w:rPr>
          <w:rFonts w:ascii="仿宋" w:hAnsi="仿宋" w:eastAsia="仿宋" w:cs="仿宋"/>
          <w:spacing w:val="-9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5"/>
          <w:sz w:val="31"/>
          <w:szCs w:val="31"/>
        </w:rPr>
        <w:t>.61</w:t>
      </w:r>
      <w:r>
        <w:rPr>
          <w:rFonts w:ascii="仿宋" w:hAnsi="仿宋" w:eastAsia="仿宋" w:cs="仿宋"/>
          <w:spacing w:val="-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5"/>
          <w:sz w:val="31"/>
          <w:szCs w:val="31"/>
        </w:rPr>
        <w:t>万元，占83</w:t>
      </w:r>
      <w:r>
        <w:rPr>
          <w:rFonts w:ascii="仿宋" w:hAnsi="仿宋" w:eastAsia="仿宋" w:cs="仿宋"/>
          <w:spacing w:val="-8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5"/>
          <w:sz w:val="31"/>
          <w:szCs w:val="31"/>
        </w:rPr>
        <w:t>.</w:t>
      </w:r>
      <w:r>
        <w:rPr>
          <w:rFonts w:ascii="仿宋" w:hAnsi="仿宋" w:eastAsia="仿宋" w:cs="仿宋"/>
          <w:spacing w:val="-8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4"/>
          <w:sz w:val="31"/>
          <w:szCs w:val="31"/>
        </w:rPr>
        <w:t>34%;农林水(类)收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3"/>
          <w:sz w:val="31"/>
          <w:szCs w:val="31"/>
        </w:rPr>
        <w:t>入60.71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3"/>
          <w:sz w:val="31"/>
          <w:szCs w:val="31"/>
        </w:rPr>
        <w:t>万元，占0.</w:t>
      </w:r>
      <w:r>
        <w:rPr>
          <w:rFonts w:ascii="仿宋" w:hAnsi="仿宋" w:eastAsia="仿宋" w:cs="仿宋"/>
          <w:spacing w:val="-8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3"/>
          <w:sz w:val="31"/>
          <w:szCs w:val="31"/>
        </w:rPr>
        <w:t>19%;住房保障(类)收入242.02万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15"/>
          <w:sz w:val="31"/>
          <w:szCs w:val="31"/>
        </w:rPr>
        <w:t>元，占0.75%;抗疫特别国债安排的收入1813.41 万</w:t>
      </w:r>
      <w:r>
        <w:rPr>
          <w:rFonts w:ascii="仿宋" w:hAnsi="仿宋" w:eastAsia="仿宋" w:cs="仿宋"/>
          <w:spacing w:val="14"/>
          <w:sz w:val="31"/>
          <w:szCs w:val="31"/>
        </w:rPr>
        <w:t>元，占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>5.65%</w:t>
      </w:r>
      <w:r>
        <w:rPr>
          <w:rFonts w:ascii="宋体" w:hAnsi="宋体" w:eastAsia="宋体" w:cs="宋体"/>
          <w:spacing w:val="-3"/>
          <w:sz w:val="31"/>
          <w:szCs w:val="31"/>
        </w:rPr>
        <w:t>。</w:t>
      </w:r>
    </w:p>
    <w:p w14:paraId="48D5CD9F">
      <w:pPr>
        <w:spacing w:before="88" w:line="366" w:lineRule="auto"/>
        <w:ind w:left="60" w:right="202" w:firstLine="67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2"/>
          <w:sz w:val="31"/>
          <w:szCs w:val="31"/>
        </w:rPr>
        <w:t>部门财政拨款决算收入比年初预算增加20633.3</w:t>
      </w:r>
      <w:r>
        <w:rPr>
          <w:rFonts w:ascii="仿宋" w:hAnsi="仿宋" w:eastAsia="仿宋" w:cs="仿宋"/>
          <w:spacing w:val="21"/>
          <w:sz w:val="31"/>
          <w:szCs w:val="31"/>
        </w:rPr>
        <w:t>6 万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元，完成年初预算的279.74%,决算数大于预算数。主要原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因是年初预留部分项目、追加曲阳县恒山路改建项目、曲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阳县南环路改建项目、曲阳县南环路东延道路建设项目。</w:t>
      </w:r>
    </w:p>
    <w:p w14:paraId="674CC3BE">
      <w:pPr>
        <w:spacing w:before="1" w:line="221" w:lineRule="auto"/>
        <w:ind w:left="85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8"/>
          <w:sz w:val="31"/>
          <w:szCs w:val="31"/>
        </w:rPr>
        <w:t>(四)预算支出及决算支出</w:t>
      </w:r>
    </w:p>
    <w:p w14:paraId="0753D8E3">
      <w:pPr>
        <w:tabs>
          <w:tab w:val="left" w:pos="170"/>
        </w:tabs>
        <w:spacing w:before="291" w:line="371" w:lineRule="auto"/>
        <w:ind w:right="236" w:firstLine="69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</w:rPr>
        <w:t>2020年度预算支出安排32116.15万元，其中：基本支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1"/>
          <w:sz w:val="31"/>
          <w:szCs w:val="31"/>
        </w:rPr>
        <w:t>出1396.33万元，项目支出30719</w:t>
      </w:r>
      <w:r>
        <w:rPr>
          <w:rFonts w:ascii="仿宋" w:hAnsi="仿宋" w:eastAsia="仿宋" w:cs="仿宋"/>
          <w:spacing w:val="20"/>
          <w:sz w:val="31"/>
          <w:szCs w:val="31"/>
        </w:rPr>
        <w:t>.82万元。预算支出按功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能分类包含：文化旅游体育与传媒支出885.60 万元；社会</w:t>
      </w:r>
      <w:r>
        <w:rPr>
          <w:rFonts w:ascii="仿宋" w:hAnsi="仿宋" w:eastAsia="仿宋" w:cs="仿宋"/>
          <w:spacing w:val="1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3"/>
          <w:sz w:val="31"/>
          <w:szCs w:val="31"/>
        </w:rPr>
        <w:t>保障与就业(类)支出216.73 万元；卫生健康(类)支出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5"/>
          <w:sz w:val="31"/>
          <w:szCs w:val="31"/>
        </w:rPr>
        <w:t>52.90万元；节能环保(类)支出2077.68万元；城乡社区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ab/>
      </w:r>
      <w:r>
        <w:rPr>
          <w:rFonts w:ascii="仿宋" w:hAnsi="仿宋" w:eastAsia="仿宋" w:cs="仿宋"/>
          <w:spacing w:val="30"/>
          <w:sz w:val="31"/>
          <w:szCs w:val="31"/>
        </w:rPr>
        <w:t>(类)支出26816</w:t>
      </w:r>
      <w:r>
        <w:rPr>
          <w:rFonts w:ascii="仿宋" w:hAnsi="仿宋" w:eastAsia="仿宋" w:cs="仿宋"/>
          <w:spacing w:val="-7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0"/>
          <w:sz w:val="31"/>
          <w:szCs w:val="31"/>
        </w:rPr>
        <w:t>.</w:t>
      </w:r>
      <w:r>
        <w:rPr>
          <w:rFonts w:ascii="仿宋" w:hAnsi="仿宋" w:eastAsia="仿宋" w:cs="仿宋"/>
          <w:spacing w:val="-8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0"/>
          <w:sz w:val="31"/>
          <w:szCs w:val="31"/>
        </w:rPr>
        <w:t>3 万元；农林水(类)支出60</w:t>
      </w:r>
      <w:r>
        <w:rPr>
          <w:rFonts w:ascii="仿宋" w:hAnsi="仿宋" w:eastAsia="仿宋" w:cs="仿宋"/>
          <w:spacing w:val="-8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0"/>
          <w:sz w:val="31"/>
          <w:szCs w:val="31"/>
        </w:rPr>
        <w:t>.</w:t>
      </w:r>
      <w:r>
        <w:rPr>
          <w:rFonts w:ascii="仿宋" w:hAnsi="仿宋" w:eastAsia="仿宋" w:cs="仿宋"/>
          <w:spacing w:val="-8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0"/>
          <w:sz w:val="31"/>
          <w:szCs w:val="31"/>
        </w:rPr>
        <w:t>71 万</w:t>
      </w:r>
    </w:p>
    <w:p w14:paraId="7904F7A7">
      <w:pPr>
        <w:spacing w:line="371" w:lineRule="auto"/>
        <w:rPr>
          <w:rFonts w:ascii="仿宋" w:hAnsi="仿宋" w:eastAsia="仿宋" w:cs="仿宋"/>
          <w:sz w:val="31"/>
          <w:szCs w:val="31"/>
        </w:rPr>
        <w:sectPr>
          <w:headerReference r:id="rId23" w:type="default"/>
          <w:footerReference r:id="rId24" w:type="default"/>
          <w:pgSz w:w="11900" w:h="16820"/>
          <w:pgMar w:top="1050" w:right="1780" w:bottom="1361" w:left="1609" w:header="1030" w:footer="1217" w:gutter="0"/>
          <w:cols w:space="720" w:num="1"/>
        </w:sectPr>
      </w:pPr>
    </w:p>
    <w:p w14:paraId="17C9E9EC">
      <w:pPr>
        <w:pStyle w:val="2"/>
        <w:spacing w:line="433" w:lineRule="auto"/>
      </w:pPr>
    </w:p>
    <w:p w14:paraId="5A6D396E">
      <w:pPr>
        <w:spacing w:before="101" w:line="350" w:lineRule="auto"/>
        <w:ind w:left="119" w:right="133"/>
        <w:rPr>
          <w:rFonts w:ascii="仿宋" w:hAnsi="仿宋" w:eastAsia="仿宋" w:cs="仿宋"/>
          <w:sz w:val="31"/>
          <w:szCs w:val="31"/>
        </w:rPr>
      </w:pPr>
      <w:bookmarkStart w:id="11" w:name="bookmark31"/>
      <w:bookmarkEnd w:id="11"/>
      <w:r>
        <w:rPr>
          <w:rFonts w:ascii="仿宋" w:hAnsi="仿宋" w:eastAsia="仿宋" w:cs="仿宋"/>
          <w:spacing w:val="21"/>
          <w:sz w:val="31"/>
          <w:szCs w:val="31"/>
        </w:rPr>
        <w:t>元；住房保障(类)支出242.02 万元；抗疫特别国债安排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的支出1813.41万元。</w:t>
      </w:r>
    </w:p>
    <w:p w14:paraId="01EBA660">
      <w:pPr>
        <w:spacing w:before="60" w:line="366" w:lineRule="auto"/>
        <w:ind w:left="29" w:right="110" w:firstLine="739"/>
        <w:jc w:val="both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13"/>
          <w:sz w:val="31"/>
          <w:szCs w:val="31"/>
        </w:rPr>
        <w:t>2020</w:t>
      </w:r>
      <w:r>
        <w:rPr>
          <w:rFonts w:ascii="宋体" w:hAnsi="宋体" w:eastAsia="宋体" w:cs="宋体"/>
          <w:spacing w:val="8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年度决算支出为32116.15 元，其中：基本支出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0"/>
          <w:sz w:val="31"/>
          <w:szCs w:val="31"/>
        </w:rPr>
        <w:t>1396.33</w:t>
      </w:r>
      <w:r>
        <w:rPr>
          <w:rFonts w:ascii="宋体" w:hAnsi="宋体" w:eastAsia="宋体" w:cs="宋体"/>
          <w:spacing w:val="8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万元，项目支出30719.82 万元。决算支出按功能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8"/>
          <w:sz w:val="31"/>
          <w:szCs w:val="31"/>
        </w:rPr>
        <w:t>分类包含：文化旅游体育与传媒支出885.60 万元，占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0"/>
          <w:sz w:val="31"/>
          <w:szCs w:val="31"/>
        </w:rPr>
        <w:t>2</w:t>
      </w:r>
      <w:r>
        <w:rPr>
          <w:rFonts w:ascii="仿宋" w:hAnsi="仿宋" w:eastAsia="仿宋" w:cs="仿宋"/>
          <w:spacing w:val="-7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0"/>
          <w:sz w:val="31"/>
          <w:szCs w:val="31"/>
        </w:rPr>
        <w:t>.</w:t>
      </w:r>
      <w:r>
        <w:rPr>
          <w:rFonts w:ascii="仿宋" w:hAnsi="仿宋" w:eastAsia="仿宋" w:cs="仿宋"/>
          <w:spacing w:val="-8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0"/>
          <w:sz w:val="31"/>
          <w:szCs w:val="31"/>
        </w:rPr>
        <w:t>76%,;社会保障与就业(类)支出219</w:t>
      </w:r>
      <w:r>
        <w:rPr>
          <w:rFonts w:ascii="仿宋" w:hAnsi="仿宋" w:eastAsia="仿宋" w:cs="仿宋"/>
          <w:spacing w:val="-7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0"/>
          <w:sz w:val="31"/>
          <w:szCs w:val="31"/>
        </w:rPr>
        <w:t>.</w:t>
      </w:r>
      <w:r>
        <w:rPr>
          <w:rFonts w:ascii="仿宋" w:hAnsi="仿宋" w:eastAsia="仿宋" w:cs="仿宋"/>
          <w:spacing w:val="-8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0"/>
          <w:sz w:val="31"/>
          <w:szCs w:val="31"/>
        </w:rPr>
        <w:t>21</w:t>
      </w:r>
      <w:r>
        <w:rPr>
          <w:rFonts w:ascii="仿宋" w:hAnsi="仿宋" w:eastAsia="仿宋" w:cs="仿宋"/>
          <w:spacing w:val="-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9"/>
          <w:sz w:val="31"/>
          <w:szCs w:val="31"/>
        </w:rPr>
        <w:t>万元，占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4"/>
          <w:sz w:val="31"/>
          <w:szCs w:val="31"/>
        </w:rPr>
        <w:t>0.68%;卫生健康(类)支出52.90</w:t>
      </w:r>
      <w:r>
        <w:rPr>
          <w:rFonts w:ascii="仿宋" w:hAnsi="仿宋" w:eastAsia="仿宋" w:cs="仿宋"/>
          <w:spacing w:val="-2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3"/>
          <w:sz w:val="31"/>
          <w:szCs w:val="31"/>
        </w:rPr>
        <w:t>万元，占0.</w:t>
      </w:r>
      <w:r>
        <w:rPr>
          <w:rFonts w:ascii="仿宋" w:hAnsi="仿宋" w:eastAsia="仿宋" w:cs="仿宋"/>
          <w:spacing w:val="-8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3"/>
          <w:sz w:val="31"/>
          <w:szCs w:val="31"/>
        </w:rPr>
        <w:t>16%;节能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0"/>
          <w:sz w:val="31"/>
          <w:szCs w:val="31"/>
        </w:rPr>
        <w:t>环保(类)支出2077.68万元，占6.47%;城乡社区(类)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3"/>
          <w:sz w:val="31"/>
          <w:szCs w:val="31"/>
        </w:rPr>
        <w:t>支出26764.61万元，占83.34%;农林</w:t>
      </w:r>
      <w:r>
        <w:rPr>
          <w:rFonts w:ascii="仿宋" w:hAnsi="仿宋" w:eastAsia="仿宋" w:cs="仿宋"/>
          <w:spacing w:val="32"/>
          <w:sz w:val="31"/>
          <w:szCs w:val="31"/>
        </w:rPr>
        <w:t>水(类)支出60.71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3"/>
          <w:sz w:val="31"/>
          <w:szCs w:val="31"/>
        </w:rPr>
        <w:t>万元，占0</w:t>
      </w:r>
      <w:r>
        <w:rPr>
          <w:rFonts w:ascii="仿宋" w:hAnsi="仿宋" w:eastAsia="仿宋" w:cs="仿宋"/>
          <w:spacing w:val="-8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3"/>
          <w:sz w:val="31"/>
          <w:szCs w:val="31"/>
        </w:rPr>
        <w:t>.</w:t>
      </w:r>
      <w:r>
        <w:rPr>
          <w:rFonts w:ascii="仿宋" w:hAnsi="仿宋" w:eastAsia="仿宋" w:cs="仿宋"/>
          <w:spacing w:val="-7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3"/>
          <w:sz w:val="31"/>
          <w:szCs w:val="31"/>
        </w:rPr>
        <w:t>19%;住房保障(类)支出242</w:t>
      </w:r>
      <w:r>
        <w:rPr>
          <w:rFonts w:ascii="仿宋" w:hAnsi="仿宋" w:eastAsia="仿宋" w:cs="仿宋"/>
          <w:spacing w:val="-8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3"/>
          <w:sz w:val="31"/>
          <w:szCs w:val="31"/>
        </w:rPr>
        <w:t>.</w:t>
      </w:r>
      <w:r>
        <w:rPr>
          <w:rFonts w:ascii="仿宋" w:hAnsi="仿宋" w:eastAsia="仿宋" w:cs="仿宋"/>
          <w:spacing w:val="-9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3"/>
          <w:sz w:val="31"/>
          <w:szCs w:val="31"/>
        </w:rPr>
        <w:t>02</w:t>
      </w:r>
      <w:r>
        <w:rPr>
          <w:rFonts w:ascii="仿宋" w:hAnsi="仿宋" w:eastAsia="仿宋" w:cs="仿宋"/>
          <w:spacing w:val="32"/>
          <w:sz w:val="31"/>
          <w:szCs w:val="31"/>
        </w:rPr>
        <w:t xml:space="preserve"> 万元，占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6"/>
          <w:sz w:val="31"/>
          <w:szCs w:val="31"/>
        </w:rPr>
        <w:t>0</w:t>
      </w:r>
      <w:r>
        <w:rPr>
          <w:rFonts w:ascii="仿宋" w:hAnsi="仿宋" w:eastAsia="仿宋" w:cs="仿宋"/>
          <w:spacing w:val="-8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6"/>
          <w:sz w:val="31"/>
          <w:szCs w:val="31"/>
        </w:rPr>
        <w:t>.</w:t>
      </w:r>
      <w:r>
        <w:rPr>
          <w:rFonts w:ascii="仿宋" w:hAnsi="仿宋" w:eastAsia="仿宋" w:cs="仿宋"/>
          <w:spacing w:val="-8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6"/>
          <w:sz w:val="31"/>
          <w:szCs w:val="31"/>
        </w:rPr>
        <w:t>75%;抗疫特别国债安排的支出1813</w:t>
      </w:r>
      <w:r>
        <w:rPr>
          <w:rFonts w:ascii="仿宋" w:hAnsi="仿宋" w:eastAsia="仿宋" w:cs="仿宋"/>
          <w:spacing w:val="-8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6"/>
          <w:sz w:val="31"/>
          <w:szCs w:val="31"/>
        </w:rPr>
        <w:t>.41</w:t>
      </w:r>
      <w:r>
        <w:rPr>
          <w:rFonts w:ascii="仿宋" w:hAnsi="仿宋" w:eastAsia="仿宋" w:cs="仿宋"/>
          <w:spacing w:val="8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6"/>
          <w:sz w:val="31"/>
          <w:szCs w:val="31"/>
        </w:rPr>
        <w:t>万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6"/>
          <w:sz w:val="31"/>
          <w:szCs w:val="31"/>
        </w:rPr>
        <w:t>元</w:t>
      </w:r>
      <w:r>
        <w:rPr>
          <w:rFonts w:ascii="仿宋" w:hAnsi="仿宋" w:eastAsia="仿宋" w:cs="仿宋"/>
          <w:spacing w:val="-3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6"/>
          <w:sz w:val="31"/>
          <w:szCs w:val="31"/>
        </w:rPr>
        <w:t>， 占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>5.65%</w:t>
      </w:r>
      <w:r>
        <w:rPr>
          <w:rFonts w:ascii="宋体" w:hAnsi="宋体" w:eastAsia="宋体" w:cs="宋体"/>
          <w:spacing w:val="-3"/>
          <w:sz w:val="31"/>
          <w:szCs w:val="31"/>
        </w:rPr>
        <w:t>。</w:t>
      </w:r>
    </w:p>
    <w:p w14:paraId="50A361EF">
      <w:pPr>
        <w:spacing w:before="83" w:line="370" w:lineRule="auto"/>
        <w:ind w:left="29" w:right="194" w:firstLine="66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sz w:val="31"/>
          <w:szCs w:val="31"/>
        </w:rPr>
        <w:t>财政拨款决算支出比年初预算增加20633.36 万元。决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算支出完成年初预算的279.74%。决算支出大于年初预算支</w:t>
      </w:r>
      <w:r>
        <w:rPr>
          <w:rFonts w:ascii="仿宋" w:hAnsi="仿宋" w:eastAsia="仿宋" w:cs="仿宋"/>
          <w:spacing w:val="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出的主要原因是年初预留部分项目、追加曲阳县恒山路改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建项目、曲阳县南环路改建项目、曲阳县南环路东延道路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建设项目。</w:t>
      </w:r>
    </w:p>
    <w:p w14:paraId="2DDCFA75">
      <w:pPr>
        <w:spacing w:before="3" w:line="370" w:lineRule="auto"/>
        <w:ind w:left="29" w:right="229" w:firstLine="62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</w:rPr>
        <w:t>我部门2020 年实际项目支出30719.82 元，决算报表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中项目支出30719.82万元，实际支出与决算报表一致。</w:t>
      </w:r>
    </w:p>
    <w:p w14:paraId="4A89D8A0">
      <w:pPr>
        <w:spacing w:before="1" w:line="221" w:lineRule="auto"/>
        <w:ind w:left="804"/>
        <w:outlineLvl w:val="1"/>
        <w:rPr>
          <w:rFonts w:ascii="仿宋" w:hAnsi="仿宋" w:eastAsia="仿宋" w:cs="仿宋"/>
          <w:sz w:val="31"/>
          <w:szCs w:val="31"/>
        </w:rPr>
      </w:pPr>
      <w:bookmarkStart w:id="12" w:name="bookmark7"/>
      <w:bookmarkEnd w:id="12"/>
      <w:r>
        <w:rPr>
          <w:rFonts w:ascii="仿宋" w:hAnsi="仿宋" w:eastAsia="仿宋" w:cs="仿宋"/>
          <w:b/>
          <w:bCs/>
          <w:spacing w:val="13"/>
          <w:sz w:val="31"/>
          <w:szCs w:val="31"/>
        </w:rPr>
        <w:t>(五)“三公”经费预算安排及支出情况</w:t>
      </w:r>
    </w:p>
    <w:p w14:paraId="6B0D5AF5">
      <w:pPr>
        <w:spacing w:before="257" w:line="369" w:lineRule="auto"/>
        <w:ind w:right="265" w:firstLine="63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5"/>
          <w:sz w:val="31"/>
          <w:szCs w:val="31"/>
        </w:rPr>
        <w:t xml:space="preserve">2020 </w:t>
      </w:r>
      <w:r>
        <w:rPr>
          <w:rFonts w:ascii="仿宋" w:hAnsi="仿宋" w:eastAsia="仿宋" w:cs="仿宋"/>
          <w:spacing w:val="15"/>
          <w:sz w:val="31"/>
          <w:szCs w:val="31"/>
        </w:rPr>
        <w:t>年我部门“三公”经费预算1.2 万元(公务用车</w:t>
      </w:r>
      <w:r>
        <w:rPr>
          <w:rFonts w:ascii="仿宋" w:hAnsi="仿宋" w:eastAsia="仿宋" w:cs="仿宋"/>
          <w:spacing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3"/>
          <w:sz w:val="31"/>
          <w:szCs w:val="31"/>
        </w:rPr>
        <w:t>运行维护费1.2 万元),实际支出1</w:t>
      </w:r>
      <w:r>
        <w:rPr>
          <w:rFonts w:ascii="仿宋" w:hAnsi="仿宋" w:eastAsia="仿宋" w:cs="仿宋"/>
          <w:spacing w:val="-7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3"/>
          <w:sz w:val="31"/>
          <w:szCs w:val="31"/>
        </w:rPr>
        <w:t>.</w:t>
      </w:r>
      <w:r>
        <w:rPr>
          <w:rFonts w:ascii="仿宋" w:hAnsi="仿宋" w:eastAsia="仿宋" w:cs="仿宋"/>
          <w:spacing w:val="-9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3"/>
          <w:sz w:val="31"/>
          <w:szCs w:val="31"/>
        </w:rPr>
        <w:t>2万元(公务用车运</w:t>
      </w:r>
    </w:p>
    <w:p w14:paraId="127360CC">
      <w:pPr>
        <w:spacing w:line="369" w:lineRule="auto"/>
        <w:rPr>
          <w:rFonts w:ascii="仿宋" w:hAnsi="仿宋" w:eastAsia="仿宋" w:cs="仿宋"/>
          <w:sz w:val="31"/>
          <w:szCs w:val="31"/>
        </w:rPr>
        <w:sectPr>
          <w:headerReference r:id="rId25" w:type="default"/>
          <w:footerReference r:id="rId26" w:type="default"/>
          <w:pgSz w:w="11900" w:h="16820"/>
          <w:pgMar w:top="1050" w:right="1785" w:bottom="1361" w:left="1640" w:header="1030" w:footer="1217" w:gutter="0"/>
          <w:cols w:space="720" w:num="1"/>
        </w:sectPr>
      </w:pPr>
    </w:p>
    <w:p w14:paraId="32BD6987">
      <w:pPr>
        <w:pStyle w:val="2"/>
        <w:spacing w:line="406" w:lineRule="auto"/>
      </w:pPr>
    </w:p>
    <w:p w14:paraId="366B4D0D">
      <w:pPr>
        <w:spacing w:before="97" w:line="382" w:lineRule="auto"/>
        <w:ind w:left="200" w:right="183"/>
        <w:jc w:val="both"/>
        <w:rPr>
          <w:rFonts w:ascii="仿宋" w:hAnsi="仿宋" w:eastAsia="仿宋" w:cs="仿宋"/>
          <w:sz w:val="30"/>
          <w:szCs w:val="30"/>
        </w:rPr>
      </w:pPr>
      <w:bookmarkStart w:id="13" w:name="bookmark32"/>
      <w:bookmarkEnd w:id="13"/>
      <w:r>
        <w:rPr>
          <w:rFonts w:ascii="仿宋" w:hAnsi="仿宋" w:eastAsia="仿宋" w:cs="仿宋"/>
          <w:spacing w:val="20"/>
          <w:sz w:val="30"/>
          <w:szCs w:val="30"/>
        </w:rPr>
        <w:t>行维护费1</w:t>
      </w:r>
      <w:r>
        <w:rPr>
          <w:rFonts w:ascii="仿宋" w:hAnsi="仿宋" w:eastAsia="仿宋" w:cs="仿宋"/>
          <w:spacing w:val="-6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.</w:t>
      </w:r>
      <w:r>
        <w:rPr>
          <w:rFonts w:ascii="仿宋" w:hAnsi="仿宋" w:eastAsia="仿宋" w:cs="仿宋"/>
          <w:spacing w:val="-8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2 万元),与预算数</w:t>
      </w:r>
      <w:r>
        <w:rPr>
          <w:rFonts w:ascii="仿宋" w:hAnsi="仿宋" w:eastAsia="仿宋" w:cs="仿宋"/>
          <w:spacing w:val="-8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一</w:t>
      </w:r>
      <w:r>
        <w:rPr>
          <w:rFonts w:ascii="仿宋" w:hAnsi="仿宋" w:eastAsia="仿宋" w:cs="仿宋"/>
          <w:spacing w:val="-8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致。2020 年“三公”经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9"/>
          <w:sz w:val="30"/>
          <w:szCs w:val="30"/>
        </w:rPr>
        <w:t>费预算数与2019年预算数相比无变化，决算</w:t>
      </w:r>
      <w:r>
        <w:rPr>
          <w:rFonts w:ascii="仿宋" w:hAnsi="仿宋" w:eastAsia="仿宋" w:cs="仿宋"/>
          <w:spacing w:val="28"/>
          <w:sz w:val="30"/>
          <w:szCs w:val="30"/>
        </w:rPr>
        <w:t>数与2019 年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7"/>
          <w:sz w:val="30"/>
          <w:szCs w:val="30"/>
        </w:rPr>
        <w:t>实际支出一致。具体详见表1。</w:t>
      </w:r>
    </w:p>
    <w:p w14:paraId="2FCAB8F4">
      <w:pPr>
        <w:spacing w:before="49" w:line="219" w:lineRule="auto"/>
        <w:ind w:left="804"/>
        <w:rPr>
          <w:rFonts w:ascii="宋体" w:hAnsi="宋体" w:eastAsia="宋体" w:cs="宋体"/>
          <w:sz w:val="30"/>
          <w:szCs w:val="30"/>
        </w:rPr>
      </w:pPr>
      <w:r>
        <w:rPr>
          <w:rFonts w:ascii="宋体" w:hAnsi="宋体" w:eastAsia="宋体" w:cs="宋体"/>
          <w:b/>
          <w:bCs/>
          <w:spacing w:val="10"/>
          <w:sz w:val="30"/>
          <w:szCs w:val="30"/>
        </w:rPr>
        <w:t>表</w:t>
      </w:r>
      <w:r>
        <w:rPr>
          <w:rFonts w:ascii="宋体" w:hAnsi="宋体" w:eastAsia="宋体" w:cs="宋体"/>
          <w:spacing w:val="10"/>
          <w:sz w:val="30"/>
          <w:szCs w:val="30"/>
        </w:rPr>
        <w:t xml:space="preserve"> </w:t>
      </w:r>
      <w:r>
        <w:rPr>
          <w:rFonts w:ascii="宋体" w:hAnsi="宋体" w:eastAsia="宋体" w:cs="宋体"/>
          <w:b/>
          <w:bCs/>
          <w:spacing w:val="10"/>
          <w:sz w:val="30"/>
          <w:szCs w:val="30"/>
        </w:rPr>
        <w:t>1</w:t>
      </w:r>
      <w:r>
        <w:rPr>
          <w:rFonts w:ascii="宋体" w:hAnsi="宋体" w:eastAsia="宋体" w:cs="宋体"/>
          <w:spacing w:val="10"/>
          <w:sz w:val="30"/>
          <w:szCs w:val="30"/>
        </w:rPr>
        <w:t xml:space="preserve">  </w:t>
      </w:r>
      <w:r>
        <w:rPr>
          <w:rFonts w:ascii="宋体" w:hAnsi="宋体" w:eastAsia="宋体" w:cs="宋体"/>
          <w:b/>
          <w:bCs/>
          <w:spacing w:val="10"/>
          <w:sz w:val="30"/>
          <w:szCs w:val="30"/>
        </w:rPr>
        <w:t>住建局“三公”经费预算及决算明细表</w:t>
      </w:r>
    </w:p>
    <w:p w14:paraId="05744977">
      <w:pPr>
        <w:pStyle w:val="2"/>
        <w:spacing w:line="364" w:lineRule="auto"/>
      </w:pPr>
    </w:p>
    <w:p w14:paraId="45C0E551">
      <w:pPr>
        <w:spacing w:before="68" w:line="220" w:lineRule="auto"/>
        <w:ind w:left="58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单位：万元</w:t>
      </w:r>
    </w:p>
    <w:p w14:paraId="752267AE">
      <w:pPr>
        <w:spacing w:line="45" w:lineRule="exact"/>
      </w:pPr>
    </w:p>
    <w:tbl>
      <w:tblPr>
        <w:tblStyle w:val="5"/>
        <w:tblW w:w="8479" w:type="dxa"/>
        <w:tblInd w:w="12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4"/>
        <w:gridCol w:w="1808"/>
        <w:gridCol w:w="979"/>
        <w:gridCol w:w="919"/>
        <w:gridCol w:w="1009"/>
        <w:gridCol w:w="949"/>
        <w:gridCol w:w="1128"/>
        <w:gridCol w:w="1153"/>
      </w:tblGrid>
      <w:tr w14:paraId="138C68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3" w:hRule="atLeast"/>
        </w:trPr>
        <w:tc>
          <w:tcPr>
            <w:tcW w:w="534" w:type="dxa"/>
            <w:vMerge w:val="restart"/>
            <w:tcBorders>
              <w:bottom w:val="nil"/>
            </w:tcBorders>
            <w:vAlign w:val="top"/>
          </w:tcPr>
          <w:p w14:paraId="21605FCD">
            <w:pPr>
              <w:spacing w:line="341" w:lineRule="auto"/>
              <w:rPr>
                <w:rFonts w:ascii="Arial"/>
                <w:sz w:val="21"/>
              </w:rPr>
            </w:pPr>
          </w:p>
          <w:p w14:paraId="3B9739D2">
            <w:pPr>
              <w:pStyle w:val="6"/>
              <w:spacing w:before="72" w:line="221" w:lineRule="auto"/>
              <w:ind w:left="34"/>
            </w:pPr>
            <w:r>
              <w:rPr>
                <w:spacing w:val="6"/>
              </w:rPr>
              <w:t>序号</w:t>
            </w:r>
          </w:p>
        </w:tc>
        <w:tc>
          <w:tcPr>
            <w:tcW w:w="1808" w:type="dxa"/>
            <w:vMerge w:val="restart"/>
            <w:tcBorders>
              <w:bottom w:val="nil"/>
            </w:tcBorders>
            <w:vAlign w:val="top"/>
          </w:tcPr>
          <w:p w14:paraId="7B042A3F">
            <w:pPr>
              <w:spacing w:line="340" w:lineRule="auto"/>
              <w:rPr>
                <w:rFonts w:ascii="Arial"/>
                <w:sz w:val="21"/>
              </w:rPr>
            </w:pPr>
          </w:p>
          <w:p w14:paraId="56D9ED11">
            <w:pPr>
              <w:pStyle w:val="6"/>
              <w:spacing w:before="72" w:line="219" w:lineRule="auto"/>
              <w:ind w:left="450"/>
            </w:pPr>
            <w:r>
              <w:rPr>
                <w:spacing w:val="2"/>
              </w:rPr>
              <w:t>支出内容</w:t>
            </w:r>
          </w:p>
        </w:tc>
        <w:tc>
          <w:tcPr>
            <w:tcW w:w="1898" w:type="dxa"/>
            <w:gridSpan w:val="2"/>
            <w:vAlign w:val="top"/>
          </w:tcPr>
          <w:p w14:paraId="152ABC64">
            <w:pPr>
              <w:pStyle w:val="6"/>
              <w:spacing w:before="134" w:line="219" w:lineRule="auto"/>
              <w:ind w:left="792"/>
            </w:pPr>
            <w:r>
              <w:rPr>
                <w:spacing w:val="1"/>
              </w:rPr>
              <w:t>2019年</w:t>
            </w:r>
          </w:p>
        </w:tc>
        <w:tc>
          <w:tcPr>
            <w:tcW w:w="1958" w:type="dxa"/>
            <w:gridSpan w:val="2"/>
            <w:vAlign w:val="top"/>
          </w:tcPr>
          <w:p w14:paraId="68574581">
            <w:pPr>
              <w:pStyle w:val="6"/>
              <w:spacing w:before="134" w:line="219" w:lineRule="auto"/>
              <w:ind w:left="824"/>
            </w:pPr>
            <w:r>
              <w:rPr>
                <w:spacing w:val="1"/>
              </w:rPr>
              <w:t>2020年</w:t>
            </w:r>
          </w:p>
        </w:tc>
        <w:tc>
          <w:tcPr>
            <w:tcW w:w="2281" w:type="dxa"/>
            <w:gridSpan w:val="2"/>
            <w:vAlign w:val="top"/>
          </w:tcPr>
          <w:p w14:paraId="5D7AFACF">
            <w:pPr>
              <w:pStyle w:val="6"/>
              <w:spacing w:before="134" w:line="220" w:lineRule="auto"/>
              <w:ind w:left="917"/>
            </w:pPr>
            <w:r>
              <w:rPr>
                <w:spacing w:val="-2"/>
              </w:rPr>
              <w:t>环比情况</w:t>
            </w:r>
          </w:p>
        </w:tc>
      </w:tr>
      <w:tr w14:paraId="5F907B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34" w:type="dxa"/>
            <w:vMerge w:val="continue"/>
            <w:tcBorders>
              <w:top w:val="nil"/>
            </w:tcBorders>
            <w:vAlign w:val="top"/>
          </w:tcPr>
          <w:p w14:paraId="3D29279D">
            <w:pPr>
              <w:rPr>
                <w:rFonts w:ascii="Arial"/>
                <w:sz w:val="21"/>
              </w:rPr>
            </w:pPr>
          </w:p>
        </w:tc>
        <w:tc>
          <w:tcPr>
            <w:tcW w:w="1808" w:type="dxa"/>
            <w:vMerge w:val="continue"/>
            <w:tcBorders>
              <w:top w:val="nil"/>
            </w:tcBorders>
            <w:vAlign w:val="top"/>
          </w:tcPr>
          <w:p w14:paraId="2F1398B3">
            <w:pPr>
              <w:rPr>
                <w:rFonts w:ascii="Arial"/>
                <w:sz w:val="21"/>
              </w:rPr>
            </w:pPr>
          </w:p>
        </w:tc>
        <w:tc>
          <w:tcPr>
            <w:tcW w:w="979" w:type="dxa"/>
            <w:vAlign w:val="top"/>
          </w:tcPr>
          <w:p w14:paraId="663B8946">
            <w:pPr>
              <w:pStyle w:val="6"/>
              <w:spacing w:before="171" w:line="219" w:lineRule="auto"/>
              <w:ind w:left="42"/>
            </w:pPr>
            <w:r>
              <w:rPr>
                <w:spacing w:val="-2"/>
              </w:rPr>
              <w:t>预算安排</w:t>
            </w:r>
          </w:p>
        </w:tc>
        <w:tc>
          <w:tcPr>
            <w:tcW w:w="919" w:type="dxa"/>
            <w:vAlign w:val="top"/>
          </w:tcPr>
          <w:p w14:paraId="458B4BAF">
            <w:pPr>
              <w:pStyle w:val="6"/>
              <w:spacing w:before="171" w:line="220" w:lineRule="auto"/>
              <w:jc w:val="right"/>
            </w:pPr>
            <w:r>
              <w:rPr>
                <w:spacing w:val="3"/>
              </w:rPr>
              <w:t>实际支出</w:t>
            </w:r>
          </w:p>
        </w:tc>
        <w:tc>
          <w:tcPr>
            <w:tcW w:w="1009" w:type="dxa"/>
            <w:vAlign w:val="top"/>
          </w:tcPr>
          <w:p w14:paraId="59A0628B">
            <w:pPr>
              <w:pStyle w:val="6"/>
              <w:spacing w:before="171" w:line="219" w:lineRule="auto"/>
              <w:ind w:left="54"/>
            </w:pPr>
            <w:r>
              <w:rPr>
                <w:spacing w:val="-2"/>
              </w:rPr>
              <w:t>预算安排</w:t>
            </w:r>
          </w:p>
        </w:tc>
        <w:tc>
          <w:tcPr>
            <w:tcW w:w="949" w:type="dxa"/>
            <w:vAlign w:val="top"/>
          </w:tcPr>
          <w:p w14:paraId="10B7690D">
            <w:pPr>
              <w:pStyle w:val="6"/>
              <w:spacing w:before="171" w:line="220" w:lineRule="auto"/>
              <w:ind w:left="26"/>
            </w:pPr>
            <w:r>
              <w:rPr>
                <w:spacing w:val="6"/>
              </w:rPr>
              <w:t>实际支出</w:t>
            </w:r>
          </w:p>
        </w:tc>
        <w:tc>
          <w:tcPr>
            <w:tcW w:w="1128" w:type="dxa"/>
            <w:vAlign w:val="top"/>
          </w:tcPr>
          <w:p w14:paraId="3657CBE2">
            <w:pPr>
              <w:pStyle w:val="6"/>
              <w:spacing w:before="49" w:line="209" w:lineRule="auto"/>
              <w:ind w:left="116" w:right="19" w:hanging="109"/>
            </w:pPr>
            <w:r>
              <w:rPr>
                <w:spacing w:val="-2"/>
              </w:rPr>
              <w:t>较上年预算</w:t>
            </w:r>
            <w:r>
              <w:t xml:space="preserve"> </w:t>
            </w:r>
            <w:r>
              <w:rPr>
                <w:spacing w:val="-2"/>
              </w:rPr>
              <w:t>增减金额</w:t>
            </w:r>
          </w:p>
        </w:tc>
        <w:tc>
          <w:tcPr>
            <w:tcW w:w="1153" w:type="dxa"/>
            <w:vAlign w:val="top"/>
          </w:tcPr>
          <w:p w14:paraId="15575126">
            <w:pPr>
              <w:pStyle w:val="6"/>
              <w:spacing w:before="40" w:line="213" w:lineRule="auto"/>
              <w:ind w:left="128" w:hanging="109"/>
            </w:pPr>
            <w:r>
              <w:rPr>
                <w:spacing w:val="4"/>
              </w:rPr>
              <w:t>较上年支出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增减金额</w:t>
            </w:r>
          </w:p>
        </w:tc>
      </w:tr>
      <w:tr w14:paraId="2ECBA6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W w:w="534" w:type="dxa"/>
            <w:vAlign w:val="top"/>
          </w:tcPr>
          <w:p w14:paraId="371E6C86">
            <w:pPr>
              <w:pStyle w:val="6"/>
              <w:spacing w:before="154" w:line="241" w:lineRule="auto"/>
              <w:ind w:left="205"/>
            </w:pPr>
            <w:r>
              <w:t>1</w:t>
            </w:r>
          </w:p>
        </w:tc>
        <w:tc>
          <w:tcPr>
            <w:tcW w:w="1808" w:type="dxa"/>
            <w:vAlign w:val="top"/>
          </w:tcPr>
          <w:p w14:paraId="4C18451E">
            <w:pPr>
              <w:pStyle w:val="6"/>
              <w:spacing w:before="133" w:line="220" w:lineRule="auto"/>
              <w:ind w:left="120"/>
            </w:pPr>
            <w:r>
              <w:rPr>
                <w:spacing w:val="1"/>
              </w:rPr>
              <w:t>因公出国(境)费</w:t>
            </w:r>
          </w:p>
        </w:tc>
        <w:tc>
          <w:tcPr>
            <w:tcW w:w="979" w:type="dxa"/>
            <w:vAlign w:val="top"/>
          </w:tcPr>
          <w:p w14:paraId="2F592E9A">
            <w:pPr>
              <w:rPr>
                <w:rFonts w:ascii="Arial"/>
                <w:sz w:val="21"/>
              </w:rPr>
            </w:pPr>
          </w:p>
        </w:tc>
        <w:tc>
          <w:tcPr>
            <w:tcW w:w="919" w:type="dxa"/>
            <w:vAlign w:val="top"/>
          </w:tcPr>
          <w:p w14:paraId="4178CB15">
            <w:pPr>
              <w:rPr>
                <w:rFonts w:ascii="Arial"/>
                <w:sz w:val="21"/>
              </w:rPr>
            </w:pPr>
          </w:p>
        </w:tc>
        <w:tc>
          <w:tcPr>
            <w:tcW w:w="1009" w:type="dxa"/>
            <w:vAlign w:val="top"/>
          </w:tcPr>
          <w:p w14:paraId="1275505E">
            <w:pPr>
              <w:rPr>
                <w:rFonts w:ascii="Arial"/>
                <w:sz w:val="21"/>
              </w:rPr>
            </w:pPr>
          </w:p>
        </w:tc>
        <w:tc>
          <w:tcPr>
            <w:tcW w:w="949" w:type="dxa"/>
            <w:vAlign w:val="top"/>
          </w:tcPr>
          <w:p w14:paraId="5FFFB808">
            <w:pPr>
              <w:rPr>
                <w:rFonts w:ascii="Arial"/>
                <w:sz w:val="21"/>
              </w:rPr>
            </w:pPr>
          </w:p>
        </w:tc>
        <w:tc>
          <w:tcPr>
            <w:tcW w:w="1128" w:type="dxa"/>
            <w:vAlign w:val="top"/>
          </w:tcPr>
          <w:p w14:paraId="57E93F2B">
            <w:pPr>
              <w:rPr>
                <w:rFonts w:ascii="Arial"/>
                <w:sz w:val="21"/>
              </w:rPr>
            </w:pPr>
          </w:p>
        </w:tc>
        <w:tc>
          <w:tcPr>
            <w:tcW w:w="1153" w:type="dxa"/>
            <w:vAlign w:val="top"/>
          </w:tcPr>
          <w:p w14:paraId="7D7C3F09">
            <w:pPr>
              <w:rPr>
                <w:rFonts w:ascii="Arial"/>
                <w:sz w:val="21"/>
              </w:rPr>
            </w:pPr>
          </w:p>
        </w:tc>
      </w:tr>
      <w:tr w14:paraId="587F31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34" w:type="dxa"/>
            <w:vAlign w:val="top"/>
          </w:tcPr>
          <w:p w14:paraId="271D9860">
            <w:pPr>
              <w:pStyle w:val="6"/>
              <w:spacing w:before="195" w:line="241" w:lineRule="auto"/>
              <w:ind w:left="205"/>
            </w:pPr>
            <w:r>
              <w:t>2</w:t>
            </w:r>
          </w:p>
        </w:tc>
        <w:tc>
          <w:tcPr>
            <w:tcW w:w="1808" w:type="dxa"/>
            <w:vAlign w:val="top"/>
          </w:tcPr>
          <w:p w14:paraId="5CF7B8CB">
            <w:pPr>
              <w:pStyle w:val="6"/>
              <w:spacing w:before="23" w:line="220" w:lineRule="auto"/>
              <w:ind w:left="670" w:right="18" w:hanging="659"/>
            </w:pPr>
            <w:r>
              <w:rPr>
                <w:spacing w:val="1"/>
              </w:rPr>
              <w:t>公务用车购置及运</w:t>
            </w:r>
            <w:r>
              <w:t xml:space="preserve"> </w:t>
            </w:r>
            <w:r>
              <w:rPr>
                <w:spacing w:val="6"/>
              </w:rPr>
              <w:t>维费</w:t>
            </w:r>
          </w:p>
        </w:tc>
        <w:tc>
          <w:tcPr>
            <w:tcW w:w="979" w:type="dxa"/>
            <w:vAlign w:val="top"/>
          </w:tcPr>
          <w:p w14:paraId="05FAFE85">
            <w:pPr>
              <w:pStyle w:val="6"/>
              <w:spacing w:before="195" w:line="239" w:lineRule="auto"/>
              <w:ind w:left="313"/>
            </w:pPr>
            <w:r>
              <w:rPr>
                <w:spacing w:val="-6"/>
              </w:rPr>
              <w:t>1.2</w:t>
            </w:r>
          </w:p>
        </w:tc>
        <w:tc>
          <w:tcPr>
            <w:tcW w:w="919" w:type="dxa"/>
            <w:vAlign w:val="top"/>
          </w:tcPr>
          <w:p w14:paraId="2EFD96E3">
            <w:pPr>
              <w:pStyle w:val="6"/>
              <w:spacing w:before="195" w:line="239" w:lineRule="auto"/>
              <w:ind w:left="283"/>
            </w:pPr>
            <w:r>
              <w:rPr>
                <w:spacing w:val="-6"/>
              </w:rPr>
              <w:t>1.2</w:t>
            </w:r>
          </w:p>
        </w:tc>
        <w:tc>
          <w:tcPr>
            <w:tcW w:w="1009" w:type="dxa"/>
            <w:vAlign w:val="top"/>
          </w:tcPr>
          <w:p w14:paraId="2D03E6C2">
            <w:pPr>
              <w:pStyle w:val="6"/>
              <w:spacing w:before="195" w:line="239" w:lineRule="auto"/>
              <w:ind w:left="334"/>
            </w:pPr>
            <w:r>
              <w:rPr>
                <w:spacing w:val="-6"/>
              </w:rPr>
              <w:t>1.2</w:t>
            </w:r>
          </w:p>
        </w:tc>
        <w:tc>
          <w:tcPr>
            <w:tcW w:w="949" w:type="dxa"/>
            <w:vAlign w:val="top"/>
          </w:tcPr>
          <w:p w14:paraId="389104BE">
            <w:pPr>
              <w:pStyle w:val="6"/>
              <w:spacing w:before="195" w:line="239" w:lineRule="auto"/>
              <w:ind w:left="306"/>
            </w:pPr>
            <w:r>
              <w:rPr>
                <w:spacing w:val="-6"/>
              </w:rPr>
              <w:t>1.2</w:t>
            </w:r>
          </w:p>
        </w:tc>
        <w:tc>
          <w:tcPr>
            <w:tcW w:w="1128" w:type="dxa"/>
            <w:vAlign w:val="top"/>
          </w:tcPr>
          <w:p w14:paraId="554C66D2">
            <w:pPr>
              <w:pStyle w:val="6"/>
              <w:spacing w:before="174" w:line="220" w:lineRule="auto"/>
              <w:ind w:left="7"/>
            </w:pPr>
            <w:r>
              <w:rPr>
                <w:spacing w:val="-2"/>
              </w:rPr>
              <w:t>无增减变化</w:t>
            </w:r>
          </w:p>
        </w:tc>
        <w:tc>
          <w:tcPr>
            <w:tcW w:w="1153" w:type="dxa"/>
            <w:vAlign w:val="top"/>
          </w:tcPr>
          <w:p w14:paraId="51F3C148">
            <w:pPr>
              <w:pStyle w:val="6"/>
              <w:spacing w:before="174" w:line="220" w:lineRule="auto"/>
              <w:ind w:left="19"/>
            </w:pPr>
            <w:r>
              <w:rPr>
                <w:spacing w:val="-2"/>
              </w:rPr>
              <w:t>无增减变化</w:t>
            </w:r>
          </w:p>
        </w:tc>
      </w:tr>
      <w:tr w14:paraId="1AC451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</w:trPr>
        <w:tc>
          <w:tcPr>
            <w:tcW w:w="534" w:type="dxa"/>
            <w:vAlign w:val="top"/>
          </w:tcPr>
          <w:p w14:paraId="7F68D069">
            <w:pPr>
              <w:pStyle w:val="6"/>
              <w:spacing w:before="157"/>
              <w:ind w:left="205"/>
            </w:pPr>
            <w:r>
              <w:t>3</w:t>
            </w:r>
          </w:p>
        </w:tc>
        <w:tc>
          <w:tcPr>
            <w:tcW w:w="1808" w:type="dxa"/>
            <w:vAlign w:val="top"/>
          </w:tcPr>
          <w:p w14:paraId="0137BCF8">
            <w:pPr>
              <w:pStyle w:val="6"/>
              <w:spacing w:before="136" w:line="219" w:lineRule="auto"/>
              <w:ind w:left="341"/>
            </w:pPr>
            <w:r>
              <w:rPr>
                <w:spacing w:val="2"/>
              </w:rPr>
              <w:t>公务接待费</w:t>
            </w:r>
          </w:p>
        </w:tc>
        <w:tc>
          <w:tcPr>
            <w:tcW w:w="979" w:type="dxa"/>
            <w:vAlign w:val="top"/>
          </w:tcPr>
          <w:p w14:paraId="153F8419">
            <w:pPr>
              <w:rPr>
                <w:rFonts w:ascii="Arial"/>
                <w:sz w:val="21"/>
              </w:rPr>
            </w:pPr>
          </w:p>
        </w:tc>
        <w:tc>
          <w:tcPr>
            <w:tcW w:w="919" w:type="dxa"/>
            <w:vAlign w:val="top"/>
          </w:tcPr>
          <w:p w14:paraId="34EA55C7">
            <w:pPr>
              <w:rPr>
                <w:rFonts w:ascii="Arial"/>
                <w:sz w:val="21"/>
              </w:rPr>
            </w:pPr>
          </w:p>
        </w:tc>
        <w:tc>
          <w:tcPr>
            <w:tcW w:w="1009" w:type="dxa"/>
            <w:vAlign w:val="top"/>
          </w:tcPr>
          <w:p w14:paraId="002F18D3">
            <w:pPr>
              <w:rPr>
                <w:rFonts w:ascii="Arial"/>
                <w:sz w:val="21"/>
              </w:rPr>
            </w:pPr>
          </w:p>
        </w:tc>
        <w:tc>
          <w:tcPr>
            <w:tcW w:w="949" w:type="dxa"/>
            <w:vAlign w:val="top"/>
          </w:tcPr>
          <w:p w14:paraId="32B566E8">
            <w:pPr>
              <w:rPr>
                <w:rFonts w:ascii="Arial"/>
                <w:sz w:val="21"/>
              </w:rPr>
            </w:pPr>
          </w:p>
        </w:tc>
        <w:tc>
          <w:tcPr>
            <w:tcW w:w="1128" w:type="dxa"/>
            <w:vAlign w:val="top"/>
          </w:tcPr>
          <w:p w14:paraId="332E1383">
            <w:pPr>
              <w:rPr>
                <w:rFonts w:ascii="Arial"/>
                <w:sz w:val="21"/>
              </w:rPr>
            </w:pPr>
          </w:p>
        </w:tc>
        <w:tc>
          <w:tcPr>
            <w:tcW w:w="1153" w:type="dxa"/>
            <w:vAlign w:val="top"/>
          </w:tcPr>
          <w:p w14:paraId="338749E0">
            <w:pPr>
              <w:rPr>
                <w:rFonts w:ascii="Arial"/>
                <w:sz w:val="21"/>
              </w:rPr>
            </w:pPr>
          </w:p>
        </w:tc>
      </w:tr>
      <w:tr w14:paraId="7C0CD7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3" w:hRule="atLeast"/>
        </w:trPr>
        <w:tc>
          <w:tcPr>
            <w:tcW w:w="534" w:type="dxa"/>
            <w:vAlign w:val="top"/>
          </w:tcPr>
          <w:p w14:paraId="13765294">
            <w:pPr>
              <w:pStyle w:val="6"/>
              <w:spacing w:before="159" w:line="241" w:lineRule="auto"/>
              <w:ind w:left="205"/>
            </w:pPr>
            <w:r>
              <w:t>4</w:t>
            </w:r>
          </w:p>
        </w:tc>
        <w:tc>
          <w:tcPr>
            <w:tcW w:w="1808" w:type="dxa"/>
            <w:vAlign w:val="top"/>
          </w:tcPr>
          <w:p w14:paraId="4FE43594">
            <w:pPr>
              <w:pStyle w:val="6"/>
              <w:spacing w:before="139" w:line="221" w:lineRule="auto"/>
              <w:ind w:left="670"/>
            </w:pPr>
            <w:r>
              <w:rPr>
                <w:spacing w:val="-3"/>
              </w:rPr>
              <w:t>合计</w:t>
            </w:r>
          </w:p>
        </w:tc>
        <w:tc>
          <w:tcPr>
            <w:tcW w:w="979" w:type="dxa"/>
            <w:vAlign w:val="top"/>
          </w:tcPr>
          <w:p w14:paraId="2283A901">
            <w:pPr>
              <w:pStyle w:val="6"/>
              <w:spacing w:before="159" w:line="239" w:lineRule="auto"/>
              <w:ind w:left="313"/>
            </w:pPr>
            <w:r>
              <w:rPr>
                <w:spacing w:val="-6"/>
              </w:rPr>
              <w:t>1.2</w:t>
            </w:r>
          </w:p>
        </w:tc>
        <w:tc>
          <w:tcPr>
            <w:tcW w:w="919" w:type="dxa"/>
            <w:vAlign w:val="top"/>
          </w:tcPr>
          <w:p w14:paraId="5FF44361">
            <w:pPr>
              <w:pStyle w:val="6"/>
              <w:spacing w:before="159" w:line="239" w:lineRule="auto"/>
              <w:ind w:left="283"/>
            </w:pPr>
            <w:r>
              <w:rPr>
                <w:spacing w:val="-6"/>
              </w:rPr>
              <w:t>1.2</w:t>
            </w:r>
          </w:p>
        </w:tc>
        <w:tc>
          <w:tcPr>
            <w:tcW w:w="1009" w:type="dxa"/>
            <w:vAlign w:val="top"/>
          </w:tcPr>
          <w:p w14:paraId="7AE04C77">
            <w:pPr>
              <w:pStyle w:val="6"/>
              <w:spacing w:before="159" w:line="239" w:lineRule="auto"/>
              <w:ind w:left="334"/>
            </w:pPr>
            <w:r>
              <w:rPr>
                <w:spacing w:val="-6"/>
              </w:rPr>
              <w:t>1.2</w:t>
            </w:r>
          </w:p>
        </w:tc>
        <w:tc>
          <w:tcPr>
            <w:tcW w:w="949" w:type="dxa"/>
            <w:vAlign w:val="top"/>
          </w:tcPr>
          <w:p w14:paraId="50B3CBE9">
            <w:pPr>
              <w:pStyle w:val="6"/>
              <w:spacing w:before="159" w:line="239" w:lineRule="auto"/>
              <w:ind w:left="306"/>
            </w:pPr>
            <w:r>
              <w:rPr>
                <w:spacing w:val="-6"/>
              </w:rPr>
              <w:t>1.2</w:t>
            </w:r>
          </w:p>
        </w:tc>
        <w:tc>
          <w:tcPr>
            <w:tcW w:w="1128" w:type="dxa"/>
            <w:vAlign w:val="top"/>
          </w:tcPr>
          <w:p w14:paraId="1064725C">
            <w:pPr>
              <w:pStyle w:val="6"/>
              <w:spacing w:before="58" w:line="220" w:lineRule="auto"/>
              <w:ind w:left="7"/>
            </w:pPr>
            <w:r>
              <w:rPr>
                <w:spacing w:val="-2"/>
              </w:rPr>
              <w:t>无增减变化</w:t>
            </w:r>
          </w:p>
        </w:tc>
        <w:tc>
          <w:tcPr>
            <w:tcW w:w="1153" w:type="dxa"/>
            <w:vAlign w:val="top"/>
          </w:tcPr>
          <w:p w14:paraId="3FA78566">
            <w:pPr>
              <w:pStyle w:val="6"/>
              <w:spacing w:before="138" w:line="220" w:lineRule="auto"/>
              <w:ind w:left="19"/>
            </w:pPr>
            <w:r>
              <w:rPr>
                <w:spacing w:val="-2"/>
              </w:rPr>
              <w:t>无增减变化</w:t>
            </w:r>
          </w:p>
        </w:tc>
      </w:tr>
    </w:tbl>
    <w:p w14:paraId="1F7E2E60">
      <w:pPr>
        <w:pStyle w:val="2"/>
        <w:spacing w:line="281" w:lineRule="auto"/>
      </w:pPr>
    </w:p>
    <w:p w14:paraId="390F04B1">
      <w:pPr>
        <w:pStyle w:val="2"/>
        <w:spacing w:line="282" w:lineRule="auto"/>
      </w:pPr>
    </w:p>
    <w:p w14:paraId="4FB29AB3">
      <w:pPr>
        <w:spacing w:before="98" w:line="382" w:lineRule="auto"/>
        <w:ind w:left="40" w:right="278" w:firstLine="699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7"/>
          <w:sz w:val="30"/>
          <w:szCs w:val="30"/>
        </w:rPr>
        <w:t>公务用车：2020 年底车辆合计1</w:t>
      </w:r>
      <w:r>
        <w:rPr>
          <w:rFonts w:ascii="仿宋" w:hAnsi="仿宋" w:eastAsia="仿宋" w:cs="仿宋"/>
          <w:spacing w:val="-1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7"/>
          <w:sz w:val="30"/>
          <w:szCs w:val="30"/>
        </w:rPr>
        <w:t>辆，机要通信用车0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7"/>
          <w:sz w:val="30"/>
          <w:szCs w:val="30"/>
        </w:rPr>
        <w:t>辆，应急保障用车0辆，其他用车1辆。2020年公务用车</w:t>
      </w:r>
      <w:r>
        <w:rPr>
          <w:rFonts w:ascii="仿宋" w:hAnsi="仿宋" w:eastAsia="仿宋" w:cs="仿宋"/>
          <w:spacing w:val="1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6"/>
          <w:sz w:val="30"/>
          <w:szCs w:val="30"/>
        </w:rPr>
        <w:t>购置及运维费年初预算1.2 万元，全部为公务用车运行维</w:t>
      </w:r>
      <w:r>
        <w:rPr>
          <w:rFonts w:ascii="仿宋" w:hAnsi="仿宋" w:eastAsia="仿宋" w:cs="仿宋"/>
          <w:spacing w:val="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8"/>
          <w:sz w:val="30"/>
          <w:szCs w:val="30"/>
        </w:rPr>
        <w:t xml:space="preserve">护费，实际支出1.2 万元，与预算一致。2020 </w:t>
      </w:r>
      <w:r>
        <w:rPr>
          <w:rFonts w:ascii="仿宋" w:hAnsi="仿宋" w:eastAsia="仿宋" w:cs="仿宋"/>
          <w:spacing w:val="17"/>
          <w:sz w:val="30"/>
          <w:szCs w:val="30"/>
        </w:rPr>
        <w:t>年预算数与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4"/>
          <w:sz w:val="30"/>
          <w:szCs w:val="30"/>
        </w:rPr>
        <w:t>2019年预算相比无变化，决算数与2019年实际支出相比无</w:t>
      </w:r>
      <w:r>
        <w:rPr>
          <w:rFonts w:ascii="仿宋" w:hAnsi="仿宋" w:eastAsia="仿宋" w:cs="仿宋"/>
          <w:spacing w:val="1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增减变化。</w:t>
      </w:r>
    </w:p>
    <w:p w14:paraId="57456B79">
      <w:pPr>
        <w:spacing w:before="42" w:line="221" w:lineRule="auto"/>
        <w:ind w:left="674"/>
        <w:outlineLvl w:val="0"/>
        <w:rPr>
          <w:rFonts w:ascii="黑体" w:hAnsi="黑体" w:eastAsia="黑体" w:cs="黑体"/>
          <w:sz w:val="30"/>
          <w:szCs w:val="30"/>
        </w:rPr>
      </w:pPr>
      <w:bookmarkStart w:id="14" w:name="bookmark8"/>
      <w:bookmarkEnd w:id="14"/>
      <w:r>
        <w:rPr>
          <w:rFonts w:ascii="黑体" w:hAnsi="黑体" w:eastAsia="黑体" w:cs="黑体"/>
          <w:b/>
          <w:bCs/>
          <w:spacing w:val="13"/>
          <w:sz w:val="30"/>
          <w:szCs w:val="30"/>
        </w:rPr>
        <w:t>二、部门整体支出绩效自评指标体系设定情况</w:t>
      </w:r>
    </w:p>
    <w:p w14:paraId="6F7CFA51">
      <w:pPr>
        <w:spacing w:before="284" w:line="370" w:lineRule="auto"/>
        <w:ind w:right="390" w:firstLine="66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7"/>
          <w:sz w:val="30"/>
          <w:szCs w:val="30"/>
        </w:rPr>
        <w:t>根据绩效预算管理改革的有关政策和文件规定，我部</w:t>
      </w:r>
      <w:r>
        <w:rPr>
          <w:rFonts w:ascii="仿宋" w:hAnsi="仿宋" w:eastAsia="仿宋" w:cs="仿宋"/>
          <w:spacing w:val="1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8"/>
          <w:sz w:val="30"/>
          <w:szCs w:val="30"/>
        </w:rPr>
        <w:t>门绩效评价工作小组以绩效预算架构为指导，以部门预算</w:t>
      </w:r>
      <w:r>
        <w:rPr>
          <w:rFonts w:ascii="仿宋" w:hAnsi="仿宋" w:eastAsia="仿宋" w:cs="仿宋"/>
          <w:spacing w:val="1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8"/>
          <w:sz w:val="30"/>
          <w:szCs w:val="30"/>
        </w:rPr>
        <w:t>文本及相关资料为基础，制定了部门整体支出绩效评价指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标体系。</w:t>
      </w:r>
    </w:p>
    <w:p w14:paraId="39126D06">
      <w:pPr>
        <w:spacing w:line="370" w:lineRule="auto"/>
        <w:rPr>
          <w:rFonts w:ascii="仿宋" w:hAnsi="仿宋" w:eastAsia="仿宋" w:cs="仿宋"/>
          <w:sz w:val="30"/>
          <w:szCs w:val="30"/>
        </w:rPr>
        <w:sectPr>
          <w:headerReference r:id="rId27" w:type="default"/>
          <w:footerReference r:id="rId28" w:type="default"/>
          <w:pgSz w:w="11900" w:h="16820"/>
          <w:pgMar w:top="1050" w:right="1685" w:bottom="1372" w:left="1609" w:header="1030" w:footer="1237" w:gutter="0"/>
          <w:cols w:space="720" w:num="1"/>
        </w:sectPr>
      </w:pPr>
    </w:p>
    <w:p w14:paraId="7ADE1542">
      <w:pPr>
        <w:pStyle w:val="2"/>
        <w:spacing w:line="424" w:lineRule="auto"/>
      </w:pPr>
    </w:p>
    <w:p w14:paraId="4870AE0B">
      <w:pPr>
        <w:spacing w:before="101" w:line="364" w:lineRule="auto"/>
        <w:ind w:left="110" w:right="97" w:firstLine="729"/>
        <w:jc w:val="both"/>
        <w:rPr>
          <w:rFonts w:ascii="仿宋" w:hAnsi="仿宋" w:eastAsia="仿宋" w:cs="仿宋"/>
          <w:sz w:val="31"/>
          <w:szCs w:val="31"/>
        </w:rPr>
      </w:pPr>
      <w:bookmarkStart w:id="15" w:name="bookmark33"/>
      <w:bookmarkEnd w:id="15"/>
      <w:r>
        <w:rPr>
          <w:rFonts w:ascii="仿宋" w:hAnsi="仿宋" w:eastAsia="仿宋" w:cs="仿宋"/>
          <w:spacing w:val="16"/>
          <w:sz w:val="31"/>
          <w:szCs w:val="31"/>
        </w:rPr>
        <w:t>部门整体支出绩效评价指标体系设置一级指标4 个，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7"/>
          <w:sz w:val="31"/>
          <w:szCs w:val="31"/>
        </w:rPr>
        <w:t>二级指标5</w:t>
      </w:r>
      <w:r>
        <w:rPr>
          <w:rFonts w:ascii="仿宋" w:hAnsi="仿宋" w:eastAsia="仿宋" w:cs="仿宋"/>
          <w:spacing w:val="-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7"/>
          <w:sz w:val="31"/>
          <w:szCs w:val="31"/>
        </w:rPr>
        <w:t>个，三级指标8个。指标体系设定满</w:t>
      </w:r>
      <w:r>
        <w:rPr>
          <w:rFonts w:ascii="仿宋" w:hAnsi="仿宋" w:eastAsia="仿宋" w:cs="仿宋"/>
          <w:spacing w:val="46"/>
          <w:sz w:val="31"/>
          <w:szCs w:val="31"/>
        </w:rPr>
        <w:t>分100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分，绩效评价分值≥90</w:t>
      </w:r>
      <w:r>
        <w:rPr>
          <w:rFonts w:ascii="仿宋" w:hAnsi="仿宋" w:eastAsia="仿宋" w:cs="仿宋"/>
          <w:spacing w:val="6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为</w:t>
      </w:r>
      <w:r>
        <w:rPr>
          <w:rFonts w:ascii="仿宋" w:hAnsi="仿宋" w:eastAsia="仿宋" w:cs="仿宋"/>
          <w:spacing w:val="-8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“</w:t>
      </w:r>
      <w:r>
        <w:rPr>
          <w:rFonts w:ascii="仿宋" w:hAnsi="仿宋" w:eastAsia="仿宋" w:cs="仿宋"/>
          <w:spacing w:val="-6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优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”</w:t>
      </w:r>
      <w:r>
        <w:rPr>
          <w:rFonts w:ascii="仿宋" w:hAnsi="仿宋" w:eastAsia="仿宋" w:cs="仿宋"/>
          <w:spacing w:val="-8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;</w:t>
      </w:r>
      <w:r>
        <w:rPr>
          <w:rFonts w:ascii="仿宋" w:hAnsi="仿宋" w:eastAsia="仿宋" w:cs="仿宋"/>
          <w:spacing w:val="-7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8</w:t>
      </w:r>
      <w:r>
        <w:rPr>
          <w:rFonts w:ascii="仿宋" w:hAnsi="仿宋" w:eastAsia="仿宋" w:cs="仿宋"/>
          <w:spacing w:val="-7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0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≤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分</w:t>
      </w:r>
      <w:r>
        <w:rPr>
          <w:rFonts w:ascii="仿宋" w:hAnsi="仿宋" w:eastAsia="仿宋" w:cs="仿宋"/>
          <w:spacing w:val="-6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值</w:t>
      </w:r>
      <w:r>
        <w:rPr>
          <w:rFonts w:ascii="仿宋" w:hAnsi="仿宋" w:eastAsia="仿宋" w:cs="仿宋"/>
          <w:spacing w:val="-6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&lt;</w:t>
      </w:r>
      <w:r>
        <w:rPr>
          <w:rFonts w:ascii="仿宋" w:hAnsi="仿宋" w:eastAsia="仿宋" w:cs="仿宋"/>
          <w:spacing w:val="-7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9</w:t>
      </w:r>
      <w:r>
        <w:rPr>
          <w:rFonts w:ascii="仿宋" w:hAnsi="仿宋" w:eastAsia="仿宋" w:cs="仿宋"/>
          <w:spacing w:val="-6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0</w:t>
      </w:r>
      <w:r>
        <w:rPr>
          <w:rFonts w:ascii="仿宋" w:hAnsi="仿宋" w:eastAsia="仿宋" w:cs="仿宋"/>
          <w:spacing w:val="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8"/>
          <w:sz w:val="31"/>
          <w:szCs w:val="31"/>
        </w:rPr>
        <w:t>“良”;60≤分值&lt;80 为“中”;60分以下为“差”。评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价指标体系具体构成如下：</w:t>
      </w:r>
    </w:p>
    <w:p w14:paraId="6F166382">
      <w:pPr>
        <w:spacing w:before="39" w:line="230" w:lineRule="auto"/>
        <w:ind w:left="944"/>
        <w:outlineLvl w:val="1"/>
        <w:rPr>
          <w:rFonts w:ascii="楷体" w:hAnsi="楷体" w:eastAsia="楷体" w:cs="楷体"/>
          <w:sz w:val="31"/>
          <w:szCs w:val="31"/>
        </w:rPr>
      </w:pPr>
      <w:bookmarkStart w:id="16" w:name="bookmark9"/>
      <w:bookmarkEnd w:id="16"/>
      <w:r>
        <w:rPr>
          <w:rFonts w:ascii="楷体" w:hAnsi="楷体" w:eastAsia="楷体" w:cs="楷体"/>
          <w:b/>
          <w:bCs/>
          <w:spacing w:val="29"/>
          <w:sz w:val="31"/>
          <w:szCs w:val="31"/>
        </w:rPr>
        <w:t>(</w:t>
      </w:r>
      <w:r>
        <w:rPr>
          <w:rFonts w:ascii="楷体" w:hAnsi="楷体" w:eastAsia="楷体" w:cs="楷体"/>
          <w:spacing w:val="-72"/>
          <w:sz w:val="31"/>
          <w:szCs w:val="31"/>
        </w:rPr>
        <w:t xml:space="preserve"> </w:t>
      </w:r>
      <w:r>
        <w:rPr>
          <w:rFonts w:ascii="楷体" w:hAnsi="楷体" w:eastAsia="楷体" w:cs="楷体"/>
          <w:b/>
          <w:bCs/>
          <w:spacing w:val="29"/>
          <w:sz w:val="31"/>
          <w:szCs w:val="31"/>
        </w:rPr>
        <w:t>一</w:t>
      </w:r>
      <w:r>
        <w:rPr>
          <w:rFonts w:ascii="楷体" w:hAnsi="楷体" w:eastAsia="楷体" w:cs="楷体"/>
          <w:spacing w:val="-87"/>
          <w:sz w:val="31"/>
          <w:szCs w:val="31"/>
        </w:rPr>
        <w:t xml:space="preserve"> </w:t>
      </w:r>
      <w:r>
        <w:rPr>
          <w:rFonts w:ascii="楷体" w:hAnsi="楷体" w:eastAsia="楷体" w:cs="楷体"/>
          <w:b/>
          <w:bCs/>
          <w:spacing w:val="29"/>
          <w:sz w:val="31"/>
          <w:szCs w:val="31"/>
        </w:rPr>
        <w:t>)投入(12分)</w:t>
      </w:r>
    </w:p>
    <w:p w14:paraId="2F71C1B2">
      <w:pPr>
        <w:spacing w:before="263" w:line="361" w:lineRule="auto"/>
        <w:ind w:left="110" w:right="164" w:firstLine="66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sz w:val="31"/>
          <w:szCs w:val="31"/>
        </w:rPr>
        <w:t>主要反映绩效目标设定是否合理、科学，绩效指标的</w:t>
      </w:r>
      <w:r>
        <w:rPr>
          <w:rFonts w:ascii="仿宋" w:hAnsi="仿宋" w:eastAsia="仿宋" w:cs="仿宋"/>
          <w:spacing w:val="1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制定是否清晰、可衡量，预算编制是否完整</w:t>
      </w:r>
      <w:r>
        <w:rPr>
          <w:rFonts w:ascii="仿宋" w:hAnsi="仿宋" w:eastAsia="仿宋" w:cs="仿宋"/>
          <w:spacing w:val="18"/>
          <w:sz w:val="31"/>
          <w:szCs w:val="31"/>
        </w:rPr>
        <w:t>，项目预算是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否细化及在职人员控制情况。</w:t>
      </w:r>
    </w:p>
    <w:p w14:paraId="60A56377">
      <w:pPr>
        <w:spacing w:before="49" w:line="362" w:lineRule="auto"/>
        <w:ind w:left="70" w:right="175" w:firstLine="66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5"/>
          <w:sz w:val="31"/>
          <w:szCs w:val="31"/>
        </w:rPr>
        <w:t>投入指标指标分值为12分，下设2个二级指标：绩效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目标设定和预算配置，6个三级指标：绩效目标合理性、绩 </w:t>
      </w:r>
      <w:r>
        <w:rPr>
          <w:rFonts w:ascii="仿宋" w:hAnsi="仿宋" w:eastAsia="仿宋" w:cs="仿宋"/>
          <w:spacing w:val="19"/>
          <w:sz w:val="31"/>
          <w:szCs w:val="31"/>
        </w:rPr>
        <w:t>效目标科学性、绩效指标明确性、预算编制完整性、项目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预算细化率、在职人员控制率。</w:t>
      </w:r>
    </w:p>
    <w:p w14:paraId="312EC908">
      <w:pPr>
        <w:spacing w:before="30" w:line="229" w:lineRule="auto"/>
        <w:ind w:left="874"/>
        <w:outlineLvl w:val="1"/>
        <w:rPr>
          <w:rFonts w:ascii="楷体" w:hAnsi="楷体" w:eastAsia="楷体" w:cs="楷体"/>
          <w:sz w:val="31"/>
          <w:szCs w:val="31"/>
        </w:rPr>
      </w:pPr>
      <w:bookmarkStart w:id="17" w:name="bookmark10"/>
      <w:bookmarkEnd w:id="17"/>
      <w:r>
        <w:rPr>
          <w:rFonts w:ascii="楷体" w:hAnsi="楷体" w:eastAsia="楷体" w:cs="楷体"/>
          <w:b/>
          <w:bCs/>
          <w:spacing w:val="44"/>
          <w:sz w:val="31"/>
          <w:szCs w:val="31"/>
        </w:rPr>
        <w:t>(二)过程(48分)</w:t>
      </w:r>
    </w:p>
    <w:p w14:paraId="0980DBF3">
      <w:pPr>
        <w:spacing w:before="264" w:line="362" w:lineRule="auto"/>
        <w:ind w:right="72" w:firstLine="70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6"/>
          <w:sz w:val="31"/>
          <w:szCs w:val="31"/>
        </w:rPr>
        <w:t>主要反映预算调整、收入及支出完成情况，“三公”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经费、政府采购执行情况，财务管理是否规范、资金使用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1"/>
          <w:sz w:val="31"/>
          <w:szCs w:val="31"/>
        </w:rPr>
        <w:t>是否合规，决算真实性。</w:t>
      </w:r>
    </w:p>
    <w:p w14:paraId="77E197FE">
      <w:pPr>
        <w:spacing w:before="32" w:line="375" w:lineRule="auto"/>
        <w:ind w:right="281" w:firstLine="66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4"/>
          <w:sz w:val="31"/>
          <w:szCs w:val="31"/>
        </w:rPr>
        <w:t>过程指标指标分值为48分，下设3个二级指标：预算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执行、预算管理和绩效评价，14 个三级指</w:t>
      </w:r>
      <w:r>
        <w:rPr>
          <w:rFonts w:ascii="仿宋" w:hAnsi="仿宋" w:eastAsia="仿宋" w:cs="仿宋"/>
          <w:spacing w:val="11"/>
          <w:sz w:val="31"/>
          <w:szCs w:val="31"/>
        </w:rPr>
        <w:t>标：预算收入调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整率、收入完成率、预算支出调整率、财政拨款支出完成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率、“三公”经费控制率、政府采购执行率、资金使用合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2"/>
          <w:sz w:val="31"/>
          <w:szCs w:val="31"/>
        </w:rPr>
        <w:t>规性、决算真实性、管理制度健全性、预决算信息公开</w:t>
      </w:r>
    </w:p>
    <w:p w14:paraId="542700D5">
      <w:pPr>
        <w:spacing w:line="375" w:lineRule="auto"/>
        <w:rPr>
          <w:rFonts w:ascii="仿宋" w:hAnsi="仿宋" w:eastAsia="仿宋" w:cs="仿宋"/>
          <w:sz w:val="31"/>
          <w:szCs w:val="31"/>
        </w:rPr>
        <w:sectPr>
          <w:headerReference r:id="rId29" w:type="default"/>
          <w:footerReference r:id="rId30" w:type="default"/>
          <w:pgSz w:w="11900" w:h="16820"/>
          <w:pgMar w:top="1059" w:right="1785" w:bottom="1362" w:left="1609" w:header="1039" w:footer="1227" w:gutter="0"/>
          <w:cols w:space="720" w:num="1"/>
        </w:sectPr>
      </w:pPr>
    </w:p>
    <w:p w14:paraId="76E0FFB1">
      <w:pPr>
        <w:pStyle w:val="2"/>
        <w:spacing w:line="391" w:lineRule="auto"/>
      </w:pPr>
    </w:p>
    <w:p w14:paraId="55BF989E">
      <w:pPr>
        <w:spacing w:before="101" w:line="368" w:lineRule="auto"/>
        <w:ind w:left="219" w:right="84" w:hanging="2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3"/>
          <w:sz w:val="31"/>
          <w:szCs w:val="31"/>
        </w:rPr>
        <w:t>性、基础信息完整性、资产管理规范性、绩效自</w:t>
      </w:r>
      <w:r>
        <w:rPr>
          <w:rFonts w:ascii="仿宋" w:hAnsi="仿宋" w:eastAsia="仿宋" w:cs="仿宋"/>
          <w:spacing w:val="32"/>
          <w:sz w:val="31"/>
          <w:szCs w:val="31"/>
        </w:rPr>
        <w:t>评覆盖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率、绩效评价优等率。</w:t>
      </w:r>
    </w:p>
    <w:p w14:paraId="0D2431C7">
      <w:pPr>
        <w:spacing w:before="1" w:line="222" w:lineRule="auto"/>
        <w:ind w:left="974"/>
        <w:outlineLvl w:val="1"/>
        <w:rPr>
          <w:rFonts w:ascii="楷体" w:hAnsi="楷体" w:eastAsia="楷体" w:cs="楷体"/>
          <w:sz w:val="31"/>
          <w:szCs w:val="31"/>
        </w:rPr>
      </w:pPr>
      <w:bookmarkStart w:id="18" w:name="bookmark34"/>
      <w:bookmarkEnd w:id="18"/>
      <w:bookmarkStart w:id="19" w:name="bookmark11"/>
      <w:bookmarkEnd w:id="19"/>
      <w:r>
        <w:rPr>
          <w:rFonts w:ascii="楷体" w:hAnsi="楷体" w:eastAsia="楷体" w:cs="楷体"/>
          <w:b/>
          <w:bCs/>
          <w:spacing w:val="44"/>
          <w:sz w:val="31"/>
          <w:szCs w:val="31"/>
        </w:rPr>
        <w:t>(三)产出(20分)</w:t>
      </w:r>
    </w:p>
    <w:p w14:paraId="4CDFE81A">
      <w:pPr>
        <w:spacing w:before="288" w:line="219" w:lineRule="auto"/>
        <w:ind w:left="820"/>
        <w:rPr>
          <w:rFonts w:ascii="仿宋" w:hAnsi="仿宋" w:eastAsia="仿宋" w:cs="仿宋"/>
          <w:sz w:val="29"/>
          <w:szCs w:val="29"/>
        </w:rPr>
      </w:pPr>
      <w:r>
        <w:rPr>
          <w:rFonts w:ascii="仿宋" w:hAnsi="仿宋" w:eastAsia="仿宋" w:cs="仿宋"/>
          <w:spacing w:val="22"/>
          <w:sz w:val="29"/>
          <w:szCs w:val="29"/>
        </w:rPr>
        <w:t>主要反映结转结余率，项目资金使用率。</w:t>
      </w:r>
    </w:p>
    <w:p w14:paraId="49E0A429">
      <w:pPr>
        <w:spacing w:before="272" w:line="364" w:lineRule="auto"/>
        <w:ind w:left="130" w:right="147" w:firstLine="66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4"/>
          <w:sz w:val="31"/>
          <w:szCs w:val="31"/>
        </w:rPr>
        <w:t>产出指标指标分值为20分，下设3个二级指标：数量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指标、质量指标、时效指标，3个三级指标：工程完工率、</w:t>
      </w:r>
      <w:r>
        <w:rPr>
          <w:rFonts w:ascii="仿宋" w:hAnsi="仿宋" w:eastAsia="仿宋" w:cs="仿宋"/>
          <w:spacing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验收合格率、污水处理及时率。</w:t>
      </w:r>
    </w:p>
    <w:p w14:paraId="56B802E6">
      <w:pPr>
        <w:spacing w:line="224" w:lineRule="auto"/>
        <w:ind w:left="924"/>
        <w:outlineLvl w:val="1"/>
        <w:rPr>
          <w:rFonts w:ascii="楷体" w:hAnsi="楷体" w:eastAsia="楷体" w:cs="楷体"/>
          <w:sz w:val="31"/>
          <w:szCs w:val="31"/>
        </w:rPr>
      </w:pPr>
      <w:bookmarkStart w:id="20" w:name="bookmark12"/>
      <w:bookmarkEnd w:id="20"/>
      <w:r>
        <w:rPr>
          <w:rFonts w:ascii="楷体" w:hAnsi="楷体" w:eastAsia="楷体" w:cs="楷体"/>
          <w:b/>
          <w:bCs/>
          <w:spacing w:val="45"/>
          <w:sz w:val="31"/>
          <w:szCs w:val="31"/>
        </w:rPr>
        <w:t>(四)效果(20分)</w:t>
      </w:r>
    </w:p>
    <w:p w14:paraId="38586765">
      <w:pPr>
        <w:spacing w:before="265" w:line="366" w:lineRule="auto"/>
        <w:ind w:left="60" w:right="183" w:firstLine="70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sz w:val="31"/>
          <w:szCs w:val="31"/>
        </w:rPr>
        <w:t>主要反映部门履行职责对社会发展所带来的直接或间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接效益及社会公众或部门的服务对象对部门履职效果的满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意程度。</w:t>
      </w:r>
    </w:p>
    <w:p w14:paraId="725B6BED">
      <w:pPr>
        <w:spacing w:before="22" w:line="364" w:lineRule="auto"/>
        <w:ind w:left="60" w:right="269" w:firstLine="6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4"/>
          <w:sz w:val="31"/>
          <w:szCs w:val="31"/>
        </w:rPr>
        <w:t>效果指标指标分值20分，下设2个二级指标：效果指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标和满意度指标。</w:t>
      </w:r>
    </w:p>
    <w:p w14:paraId="69B650BA">
      <w:pPr>
        <w:spacing w:before="22" w:line="221" w:lineRule="auto"/>
        <w:ind w:left="684"/>
        <w:outlineLvl w:val="0"/>
        <w:rPr>
          <w:rFonts w:ascii="黑体" w:hAnsi="黑体" w:eastAsia="黑体" w:cs="黑体"/>
          <w:sz w:val="31"/>
          <w:szCs w:val="31"/>
        </w:rPr>
      </w:pPr>
      <w:bookmarkStart w:id="21" w:name="bookmark13"/>
      <w:bookmarkEnd w:id="21"/>
      <w:r>
        <w:rPr>
          <w:rFonts w:ascii="黑体" w:hAnsi="黑体" w:eastAsia="黑体" w:cs="黑体"/>
          <w:b/>
          <w:bCs/>
          <w:spacing w:val="4"/>
          <w:sz w:val="31"/>
          <w:szCs w:val="31"/>
        </w:rPr>
        <w:t>三、绩效自评开展情况</w:t>
      </w:r>
    </w:p>
    <w:p w14:paraId="63B25908">
      <w:pPr>
        <w:spacing w:before="234" w:line="223" w:lineRule="auto"/>
        <w:ind w:left="874"/>
        <w:outlineLvl w:val="1"/>
        <w:rPr>
          <w:rFonts w:ascii="楷体" w:hAnsi="楷体" w:eastAsia="楷体" w:cs="楷体"/>
          <w:sz w:val="31"/>
          <w:szCs w:val="31"/>
        </w:rPr>
      </w:pPr>
      <w:bookmarkStart w:id="22" w:name="bookmark14"/>
      <w:bookmarkEnd w:id="22"/>
      <w:r>
        <w:rPr>
          <w:rFonts w:ascii="楷体" w:hAnsi="楷体" w:eastAsia="楷体" w:cs="楷体"/>
          <w:b/>
          <w:bCs/>
          <w:spacing w:val="17"/>
          <w:sz w:val="31"/>
          <w:szCs w:val="31"/>
        </w:rPr>
        <w:t>(一)绩效评价目的</w:t>
      </w:r>
    </w:p>
    <w:p w14:paraId="03F51BA4">
      <w:pPr>
        <w:pStyle w:val="2"/>
        <w:spacing w:line="243" w:lineRule="auto"/>
      </w:pPr>
    </w:p>
    <w:p w14:paraId="391795BC">
      <w:pPr>
        <w:spacing w:before="101" w:line="358" w:lineRule="auto"/>
        <w:ind w:right="264" w:firstLine="68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通过对我部门2020 年部门整体支出绩效评价，了解部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门整体资金预算情况、实际收支情况及结转结余情况；绩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效目标和指标的设置及完成情况；部门履职对社会发展所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带来的直接或间接影响及服务对象对部门履职效果的满意</w:t>
      </w:r>
      <w:r>
        <w:rPr>
          <w:rFonts w:ascii="仿宋" w:hAnsi="仿宋" w:eastAsia="仿宋" w:cs="仿宋"/>
          <w:spacing w:val="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程度。</w:t>
      </w:r>
    </w:p>
    <w:p w14:paraId="7A486E75">
      <w:pPr>
        <w:spacing w:before="40" w:line="393" w:lineRule="auto"/>
        <w:ind w:right="311" w:firstLine="6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7"/>
          <w:sz w:val="31"/>
          <w:szCs w:val="31"/>
        </w:rPr>
        <w:t>部门整体支出绩效评价工作促使相关部门根据绩效评</w:t>
      </w:r>
      <w:r>
        <w:rPr>
          <w:rFonts w:ascii="仿宋" w:hAnsi="仿宋" w:eastAsia="仿宋" w:cs="仿宋"/>
          <w:spacing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价过程中发现的问题，及时整改并总结经验，提高部门管</w:t>
      </w:r>
    </w:p>
    <w:p w14:paraId="4CCB7019">
      <w:pPr>
        <w:spacing w:line="393" w:lineRule="auto"/>
        <w:rPr>
          <w:rFonts w:ascii="仿宋" w:hAnsi="仿宋" w:eastAsia="仿宋" w:cs="仿宋"/>
          <w:sz w:val="31"/>
          <w:szCs w:val="31"/>
        </w:rPr>
        <w:sectPr>
          <w:headerReference r:id="rId31" w:type="default"/>
          <w:footerReference r:id="rId32" w:type="default"/>
          <w:pgSz w:w="11900" w:h="16820"/>
          <w:pgMar w:top="1039" w:right="1785" w:bottom="1381" w:left="1609" w:header="1019" w:footer="1237" w:gutter="0"/>
          <w:cols w:space="720" w:num="1"/>
        </w:sectPr>
      </w:pPr>
    </w:p>
    <w:p w14:paraId="7241675E">
      <w:pPr>
        <w:pStyle w:val="2"/>
        <w:spacing w:line="424" w:lineRule="auto"/>
      </w:pPr>
    </w:p>
    <w:p w14:paraId="7033274E">
      <w:pPr>
        <w:spacing w:before="101" w:line="367" w:lineRule="auto"/>
        <w:ind w:left="130" w:right="18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sz w:val="31"/>
          <w:szCs w:val="31"/>
        </w:rPr>
        <w:t>理水平，牢固树立预算绩效理念，强化部门支出责任，提</w:t>
      </w:r>
      <w:r>
        <w:rPr>
          <w:rFonts w:ascii="仿宋" w:hAnsi="仿宋" w:eastAsia="仿宋" w:cs="仿宋"/>
          <w:spacing w:val="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高预算执行效率和财政资金使用效益。</w:t>
      </w:r>
    </w:p>
    <w:p w14:paraId="3EDC7950">
      <w:pPr>
        <w:spacing w:before="1" w:line="222" w:lineRule="auto"/>
        <w:ind w:left="914"/>
        <w:outlineLvl w:val="1"/>
        <w:rPr>
          <w:rFonts w:ascii="楷体" w:hAnsi="楷体" w:eastAsia="楷体" w:cs="楷体"/>
          <w:sz w:val="31"/>
          <w:szCs w:val="31"/>
        </w:rPr>
      </w:pPr>
      <w:bookmarkStart w:id="23" w:name="bookmark15"/>
      <w:bookmarkEnd w:id="23"/>
      <w:bookmarkStart w:id="24" w:name="bookmark35"/>
      <w:bookmarkEnd w:id="24"/>
      <w:r>
        <w:rPr>
          <w:rFonts w:ascii="楷体" w:hAnsi="楷体" w:eastAsia="楷体" w:cs="楷体"/>
          <w:b/>
          <w:bCs/>
          <w:spacing w:val="22"/>
          <w:sz w:val="31"/>
          <w:szCs w:val="31"/>
        </w:rPr>
        <w:t>(二)绩效评价依据</w:t>
      </w:r>
    </w:p>
    <w:p w14:paraId="7A47B774">
      <w:pPr>
        <w:spacing w:before="263" w:line="222" w:lineRule="auto"/>
        <w:ind w:left="76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1.《中华人民共和国预算法》;</w:t>
      </w:r>
    </w:p>
    <w:p w14:paraId="7F5FC31B">
      <w:pPr>
        <w:spacing w:before="248" w:line="299" w:lineRule="auto"/>
        <w:ind w:left="89" w:right="213" w:firstLine="640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9"/>
          <w:sz w:val="31"/>
          <w:szCs w:val="31"/>
        </w:rPr>
        <w:t>2.</w:t>
      </w:r>
      <w:r>
        <w:rPr>
          <w:rFonts w:ascii="仿宋" w:hAnsi="仿宋" w:eastAsia="仿宋" w:cs="仿宋"/>
          <w:spacing w:val="19"/>
          <w:sz w:val="31"/>
          <w:szCs w:val="31"/>
        </w:rPr>
        <w:t>中共中央国务院《关于全面实施预算绩效管理的意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9"/>
          <w:sz w:val="31"/>
          <w:szCs w:val="31"/>
        </w:rPr>
        <w:t>见》(中发〔2018〕34号);</w:t>
      </w:r>
    </w:p>
    <w:p w14:paraId="3174779D">
      <w:pPr>
        <w:spacing w:before="247" w:line="300" w:lineRule="auto"/>
        <w:ind w:left="84" w:right="240" w:firstLine="63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8"/>
          <w:sz w:val="31"/>
          <w:szCs w:val="31"/>
        </w:rPr>
        <w:t>3</w:t>
      </w:r>
      <w:r>
        <w:rPr>
          <w:rFonts w:ascii="仿宋" w:hAnsi="仿宋" w:eastAsia="仿宋" w:cs="仿宋"/>
          <w:spacing w:val="-7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8"/>
          <w:sz w:val="31"/>
          <w:szCs w:val="31"/>
        </w:rPr>
        <w:t>. 《河北省财政支出绩效评价管理办法》(冀财预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0"/>
          <w:sz w:val="31"/>
          <w:szCs w:val="31"/>
        </w:rPr>
        <w:t>〔2011〕68号);</w:t>
      </w:r>
    </w:p>
    <w:p w14:paraId="00D4784C">
      <w:pPr>
        <w:spacing w:before="231" w:line="299" w:lineRule="auto"/>
        <w:ind w:left="30" w:right="286" w:firstLine="630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9"/>
          <w:sz w:val="31"/>
          <w:szCs w:val="31"/>
        </w:rPr>
        <w:t>4.</w:t>
      </w:r>
      <w:r>
        <w:rPr>
          <w:rFonts w:ascii="仿宋" w:hAnsi="仿宋" w:eastAsia="仿宋" w:cs="仿宋"/>
          <w:spacing w:val="19"/>
          <w:sz w:val="31"/>
          <w:szCs w:val="31"/>
        </w:rPr>
        <w:t>中共河北省委河北省人民政府《关于全面实</w:t>
      </w:r>
      <w:r>
        <w:rPr>
          <w:rFonts w:ascii="仿宋" w:hAnsi="仿宋" w:eastAsia="仿宋" w:cs="仿宋"/>
          <w:spacing w:val="18"/>
          <w:sz w:val="31"/>
          <w:szCs w:val="31"/>
        </w:rPr>
        <w:t>施预算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2"/>
          <w:sz w:val="31"/>
          <w:szCs w:val="31"/>
        </w:rPr>
        <w:t>绩效管理的实施意见》(冀发〔2018〕54号);</w:t>
      </w:r>
    </w:p>
    <w:p w14:paraId="30B24AEB">
      <w:pPr>
        <w:spacing w:before="255" w:line="294" w:lineRule="auto"/>
        <w:ind w:left="30" w:right="290" w:firstLine="630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9"/>
          <w:sz w:val="31"/>
          <w:szCs w:val="31"/>
        </w:rPr>
        <w:t>5、</w:t>
      </w:r>
      <w:r>
        <w:rPr>
          <w:rFonts w:ascii="宋体" w:hAnsi="宋体" w:eastAsia="宋体" w:cs="宋体"/>
          <w:spacing w:val="-7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曲阳县财政局关于印发《全面实施预算绩效管理推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2"/>
          <w:sz w:val="31"/>
          <w:szCs w:val="31"/>
        </w:rPr>
        <w:t>进工作方案》的通知(曲财【2019】51号);</w:t>
      </w:r>
    </w:p>
    <w:p w14:paraId="12B2A594">
      <w:pPr>
        <w:spacing w:before="252" w:line="297" w:lineRule="auto"/>
        <w:ind w:left="30" w:right="291" w:firstLine="630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8"/>
          <w:sz w:val="31"/>
          <w:szCs w:val="31"/>
        </w:rPr>
        <w:t>6.</w:t>
      </w:r>
      <w:r>
        <w:rPr>
          <w:rFonts w:ascii="仿宋" w:hAnsi="仿宋" w:eastAsia="仿宋" w:cs="仿宋"/>
          <w:spacing w:val="18"/>
          <w:sz w:val="31"/>
          <w:szCs w:val="31"/>
        </w:rPr>
        <w:t>曲阳县财政局关于印发《曲阳县县级部门预算绩效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管理办法》的通知(曲财【2019】72号)</w:t>
      </w:r>
    </w:p>
    <w:p w14:paraId="6DBCEDB7">
      <w:pPr>
        <w:spacing w:before="251" w:line="220" w:lineRule="auto"/>
        <w:ind w:left="660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5"/>
          <w:sz w:val="31"/>
          <w:szCs w:val="31"/>
        </w:rPr>
        <w:t>7、</w:t>
      </w:r>
      <w:r>
        <w:rPr>
          <w:rFonts w:ascii="仿宋" w:hAnsi="仿宋" w:eastAsia="仿宋" w:cs="仿宋"/>
          <w:spacing w:val="5"/>
          <w:sz w:val="31"/>
          <w:szCs w:val="31"/>
        </w:rPr>
        <w:t>其他与部门绩效评价工作相关的文件。</w:t>
      </w:r>
    </w:p>
    <w:p w14:paraId="5F057515">
      <w:pPr>
        <w:spacing w:before="224" w:line="223" w:lineRule="auto"/>
        <w:ind w:left="834"/>
        <w:outlineLvl w:val="1"/>
        <w:rPr>
          <w:rFonts w:ascii="楷体" w:hAnsi="楷体" w:eastAsia="楷体" w:cs="楷体"/>
          <w:sz w:val="31"/>
          <w:szCs w:val="31"/>
        </w:rPr>
      </w:pPr>
      <w:bookmarkStart w:id="25" w:name="bookmark16"/>
      <w:bookmarkEnd w:id="25"/>
      <w:r>
        <w:rPr>
          <w:rFonts w:ascii="楷体" w:hAnsi="楷体" w:eastAsia="楷体" w:cs="楷体"/>
          <w:b/>
          <w:bCs/>
          <w:spacing w:val="19"/>
          <w:sz w:val="31"/>
          <w:szCs w:val="31"/>
        </w:rPr>
        <w:t>(三)绩效评价内容</w:t>
      </w:r>
    </w:p>
    <w:p w14:paraId="12D53836">
      <w:pPr>
        <w:spacing w:before="271" w:line="370" w:lineRule="auto"/>
        <w:ind w:right="328" w:firstLine="66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sz w:val="31"/>
          <w:szCs w:val="31"/>
        </w:rPr>
        <w:t>我部门2020 年部门整体支出绩效目标和指标</w:t>
      </w:r>
      <w:r>
        <w:rPr>
          <w:rFonts w:ascii="仿宋" w:hAnsi="仿宋" w:eastAsia="仿宋" w:cs="仿宋"/>
          <w:spacing w:val="9"/>
          <w:sz w:val="31"/>
          <w:szCs w:val="31"/>
        </w:rPr>
        <w:t>的设置及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1"/>
          <w:sz w:val="31"/>
          <w:szCs w:val="31"/>
        </w:rPr>
        <w:t>完成情况；资金预算情况、实际收支情况及结转结余情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况；部门履职对社会发展所带来的直接或间接影响及</w:t>
      </w:r>
      <w:r>
        <w:rPr>
          <w:rFonts w:ascii="仿宋" w:hAnsi="仿宋" w:eastAsia="仿宋" w:cs="仿宋"/>
          <w:spacing w:val="17"/>
          <w:sz w:val="31"/>
          <w:szCs w:val="31"/>
        </w:rPr>
        <w:t>服务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对象对部门履职效果的满意程度。</w:t>
      </w:r>
    </w:p>
    <w:p w14:paraId="27AF5EDD">
      <w:pPr>
        <w:spacing w:line="370" w:lineRule="auto"/>
        <w:rPr>
          <w:rFonts w:ascii="仿宋" w:hAnsi="仿宋" w:eastAsia="仿宋" w:cs="仿宋"/>
          <w:sz w:val="31"/>
          <w:szCs w:val="31"/>
        </w:rPr>
        <w:sectPr>
          <w:headerReference r:id="rId33" w:type="default"/>
          <w:footerReference r:id="rId34" w:type="default"/>
          <w:pgSz w:w="12060" w:h="16930"/>
          <w:pgMar w:top="1130" w:right="1809" w:bottom="1386" w:left="1719" w:header="1109" w:footer="1259" w:gutter="0"/>
          <w:cols w:space="720" w:num="1"/>
        </w:sectPr>
      </w:pPr>
    </w:p>
    <w:p w14:paraId="11A397A3">
      <w:pPr>
        <w:pStyle w:val="2"/>
        <w:spacing w:line="417" w:lineRule="auto"/>
      </w:pPr>
    </w:p>
    <w:p w14:paraId="6044B38B">
      <w:pPr>
        <w:spacing w:before="101" w:line="223" w:lineRule="auto"/>
        <w:ind w:left="884"/>
        <w:outlineLvl w:val="1"/>
        <w:rPr>
          <w:rFonts w:ascii="楷体" w:hAnsi="楷体" w:eastAsia="楷体" w:cs="楷体"/>
          <w:sz w:val="31"/>
          <w:szCs w:val="31"/>
        </w:rPr>
      </w:pPr>
      <w:bookmarkStart w:id="26" w:name="bookmark36"/>
      <w:bookmarkEnd w:id="26"/>
      <w:bookmarkStart w:id="27" w:name="bookmark17"/>
      <w:bookmarkEnd w:id="27"/>
      <w:r>
        <w:rPr>
          <w:rFonts w:ascii="楷体" w:hAnsi="楷体" w:eastAsia="楷体" w:cs="楷体"/>
          <w:b/>
          <w:bCs/>
          <w:spacing w:val="20"/>
          <w:sz w:val="31"/>
          <w:szCs w:val="31"/>
        </w:rPr>
        <w:t>(四)绩效评价原则</w:t>
      </w:r>
    </w:p>
    <w:p w14:paraId="15019C2E">
      <w:pPr>
        <w:spacing w:before="253" w:line="320" w:lineRule="auto"/>
        <w:ind w:right="224" w:firstLine="72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8"/>
          <w:sz w:val="31"/>
          <w:szCs w:val="31"/>
        </w:rPr>
        <w:t>1.</w:t>
      </w:r>
      <w:r>
        <w:rPr>
          <w:rFonts w:ascii="仿宋" w:hAnsi="仿宋" w:eastAsia="仿宋" w:cs="仿宋"/>
          <w:spacing w:val="18"/>
          <w:sz w:val="31"/>
          <w:szCs w:val="31"/>
        </w:rPr>
        <w:t>价值导向原则：财政支出绩效评价体系应</w:t>
      </w:r>
      <w:r>
        <w:rPr>
          <w:rFonts w:ascii="仿宋" w:hAnsi="仿宋" w:eastAsia="仿宋" w:cs="仿宋"/>
          <w:spacing w:val="17"/>
          <w:sz w:val="31"/>
          <w:szCs w:val="31"/>
        </w:rPr>
        <w:t>能够反映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财政支出的经济性、效益性、有效性原则，体现财政部门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和项目主管部门的价值导向。</w:t>
      </w:r>
    </w:p>
    <w:p w14:paraId="2F1D7597">
      <w:pPr>
        <w:spacing w:before="245" w:line="321" w:lineRule="auto"/>
        <w:ind w:right="279" w:firstLine="63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6"/>
          <w:sz w:val="31"/>
          <w:szCs w:val="31"/>
        </w:rPr>
        <w:t>2.</w:t>
      </w:r>
      <w:r>
        <w:rPr>
          <w:rFonts w:ascii="宋体" w:hAnsi="宋体" w:eastAsia="宋体" w:cs="宋体"/>
          <w:spacing w:val="-7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重要性原则：根据指标在整个指标体系中的地位和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作用进行筛选，选择最具代表性、最能反映评价要求的指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标。</w:t>
      </w:r>
    </w:p>
    <w:p w14:paraId="01F1960D">
      <w:pPr>
        <w:spacing w:before="270" w:line="317" w:lineRule="auto"/>
        <w:ind w:right="261" w:firstLine="63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7"/>
          <w:sz w:val="31"/>
          <w:szCs w:val="31"/>
        </w:rPr>
        <w:t>3.</w:t>
      </w:r>
      <w:r>
        <w:rPr>
          <w:rFonts w:ascii="宋体" w:hAnsi="宋体" w:eastAsia="宋体" w:cs="宋体"/>
          <w:spacing w:val="-8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综合性原则：将定性指标和定量指标相结合，定性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分析是定量分析的基础，定量分析是定性分析的深化，两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者相结合系统反映财政支出所产生的社会效益。</w:t>
      </w:r>
    </w:p>
    <w:p w14:paraId="1BDDAE6C">
      <w:pPr>
        <w:spacing w:before="273" w:line="317" w:lineRule="auto"/>
        <w:ind w:right="286" w:firstLine="63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9"/>
          <w:sz w:val="31"/>
          <w:szCs w:val="31"/>
        </w:rPr>
        <w:t>4.</w:t>
      </w:r>
      <w:r>
        <w:rPr>
          <w:rFonts w:ascii="仿宋" w:hAnsi="仿宋" w:eastAsia="仿宋" w:cs="仿宋"/>
          <w:spacing w:val="19"/>
          <w:sz w:val="31"/>
          <w:szCs w:val="31"/>
        </w:rPr>
        <w:t>经济性原则：指标的选取要考虑现实条件及可操作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性，数据的获得应符合成本效益原则，在合理成本的基础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上收集信息。</w:t>
      </w:r>
    </w:p>
    <w:p w14:paraId="6768370B">
      <w:pPr>
        <w:spacing w:before="229" w:line="223" w:lineRule="auto"/>
        <w:ind w:left="804"/>
        <w:outlineLvl w:val="1"/>
        <w:rPr>
          <w:rFonts w:ascii="楷体" w:hAnsi="楷体" w:eastAsia="楷体" w:cs="楷体"/>
          <w:sz w:val="31"/>
          <w:szCs w:val="31"/>
        </w:rPr>
      </w:pPr>
      <w:bookmarkStart w:id="28" w:name="bookmark18"/>
      <w:bookmarkEnd w:id="28"/>
      <w:r>
        <w:rPr>
          <w:rFonts w:ascii="楷体" w:hAnsi="楷体" w:eastAsia="楷体" w:cs="楷体"/>
          <w:b/>
          <w:bCs/>
          <w:spacing w:val="21"/>
          <w:sz w:val="31"/>
          <w:szCs w:val="31"/>
        </w:rPr>
        <w:t>(五)绩效评价方法</w:t>
      </w:r>
    </w:p>
    <w:p w14:paraId="3E847265">
      <w:pPr>
        <w:spacing w:before="270" w:line="374" w:lineRule="auto"/>
        <w:ind w:right="299" w:firstLine="63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本次评价采取目标比较法、定量和定性评价相结合和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综合评价相结合的方式，运用审查、询问查证和问卷</w:t>
      </w:r>
      <w:r>
        <w:rPr>
          <w:rFonts w:ascii="仿宋" w:hAnsi="仿宋" w:eastAsia="仿宋" w:cs="仿宋"/>
          <w:spacing w:val="17"/>
          <w:sz w:val="31"/>
          <w:szCs w:val="31"/>
        </w:rPr>
        <w:t>调查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等方法开展绩效评价工作。</w:t>
      </w:r>
    </w:p>
    <w:p w14:paraId="4BF0E8EC">
      <w:pPr>
        <w:spacing w:before="4" w:line="369" w:lineRule="auto"/>
        <w:ind w:right="310" w:firstLine="63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28"/>
          <w:sz w:val="31"/>
          <w:szCs w:val="31"/>
        </w:rPr>
        <w:t>1.</w:t>
      </w:r>
      <w:r>
        <w:rPr>
          <w:rFonts w:ascii="宋体" w:hAnsi="宋体" w:eastAsia="宋体" w:cs="宋体"/>
          <w:spacing w:val="-6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8"/>
          <w:sz w:val="31"/>
          <w:szCs w:val="31"/>
        </w:rPr>
        <w:t>审查法：通过审查预算文本、决算文本、会计账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簿、支出凭证、项目完成情况等相关资料，分析资金收支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的合理性和合规性、预算执行及管理情况、绩效目标和指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标的设置及完成情况、部门整体效益。</w:t>
      </w:r>
    </w:p>
    <w:p w14:paraId="4F21471B">
      <w:pPr>
        <w:spacing w:line="369" w:lineRule="auto"/>
        <w:rPr>
          <w:rFonts w:ascii="仿宋" w:hAnsi="仿宋" w:eastAsia="仿宋" w:cs="仿宋"/>
          <w:sz w:val="31"/>
          <w:szCs w:val="31"/>
        </w:rPr>
        <w:sectPr>
          <w:headerReference r:id="rId35" w:type="default"/>
          <w:footerReference r:id="rId36" w:type="default"/>
          <w:pgSz w:w="12110" w:h="16960"/>
          <w:pgMar w:top="1130" w:right="1816" w:bottom="1417" w:left="1780" w:header="1110" w:footer="1291" w:gutter="0"/>
          <w:cols w:space="720" w:num="1"/>
        </w:sectPr>
      </w:pPr>
    </w:p>
    <w:p w14:paraId="365A7971">
      <w:pPr>
        <w:pStyle w:val="2"/>
        <w:spacing w:line="409" w:lineRule="auto"/>
      </w:pPr>
    </w:p>
    <w:p w14:paraId="28ADDB02">
      <w:pPr>
        <w:spacing w:before="104" w:line="312" w:lineRule="auto"/>
        <w:ind w:right="267" w:firstLine="690"/>
        <w:rPr>
          <w:rFonts w:ascii="仿宋" w:hAnsi="仿宋" w:eastAsia="仿宋" w:cs="仿宋"/>
          <w:sz w:val="32"/>
          <w:szCs w:val="32"/>
        </w:rPr>
      </w:pPr>
      <w:r>
        <w:rPr>
          <w:rFonts w:ascii="宋体" w:hAnsi="宋体" w:eastAsia="宋体" w:cs="宋体"/>
          <w:spacing w:val="9"/>
          <w:sz w:val="32"/>
          <w:szCs w:val="32"/>
        </w:rPr>
        <w:t>2.</w:t>
      </w:r>
      <w:r>
        <w:rPr>
          <w:rFonts w:ascii="仿宋" w:hAnsi="仿宋" w:eastAsia="仿宋" w:cs="仿宋"/>
          <w:spacing w:val="9"/>
          <w:sz w:val="32"/>
          <w:szCs w:val="32"/>
        </w:rPr>
        <w:t>询问查证法：在比较分析相关资料的基础上，通过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9"/>
          <w:sz w:val="32"/>
          <w:szCs w:val="32"/>
        </w:rPr>
        <w:t>询问的形式，核查项目资料是否真实、合理，从而</w:t>
      </w:r>
      <w:r>
        <w:rPr>
          <w:rFonts w:ascii="仿宋" w:hAnsi="仿宋" w:eastAsia="仿宋" w:cs="仿宋"/>
          <w:spacing w:val="8"/>
          <w:sz w:val="32"/>
          <w:szCs w:val="32"/>
        </w:rPr>
        <w:t>对部门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5"/>
          <w:sz w:val="32"/>
          <w:szCs w:val="32"/>
        </w:rPr>
        <w:t>整体支出情况作出初步的判断和评价。</w:t>
      </w:r>
    </w:p>
    <w:p w14:paraId="56FA4ADA">
      <w:pPr>
        <w:spacing w:before="236" w:line="317" w:lineRule="auto"/>
        <w:ind w:right="269" w:firstLine="690"/>
        <w:rPr>
          <w:rFonts w:ascii="仿宋" w:hAnsi="仿宋" w:eastAsia="仿宋" w:cs="仿宋"/>
          <w:sz w:val="32"/>
          <w:szCs w:val="32"/>
        </w:rPr>
      </w:pPr>
      <w:r>
        <w:rPr>
          <w:rFonts w:ascii="宋体" w:hAnsi="宋体" w:eastAsia="宋体" w:cs="宋体"/>
          <w:spacing w:val="9"/>
          <w:sz w:val="32"/>
          <w:szCs w:val="32"/>
        </w:rPr>
        <w:t>3.</w:t>
      </w:r>
      <w:r>
        <w:rPr>
          <w:rFonts w:ascii="仿宋" w:hAnsi="仿宋" w:eastAsia="仿宋" w:cs="仿宋"/>
          <w:spacing w:val="9"/>
          <w:sz w:val="32"/>
          <w:szCs w:val="32"/>
        </w:rPr>
        <w:t>问卷调查法：通过设计调查问卷，在一定</w:t>
      </w:r>
      <w:r>
        <w:rPr>
          <w:rFonts w:ascii="仿宋" w:hAnsi="仿宋" w:eastAsia="仿宋" w:cs="仿宋"/>
          <w:spacing w:val="8"/>
          <w:sz w:val="32"/>
          <w:szCs w:val="32"/>
        </w:rPr>
        <w:t>范围内随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9"/>
          <w:sz w:val="32"/>
          <w:szCs w:val="32"/>
        </w:rPr>
        <w:t>机发放，并收集分析调查问卷，对财政支出的</w:t>
      </w:r>
      <w:r>
        <w:rPr>
          <w:rFonts w:ascii="仿宋" w:hAnsi="仿宋" w:eastAsia="仿宋" w:cs="仿宋"/>
          <w:spacing w:val="8"/>
          <w:sz w:val="32"/>
          <w:szCs w:val="32"/>
        </w:rPr>
        <w:t>效果进行评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5"/>
          <w:sz w:val="32"/>
          <w:szCs w:val="32"/>
        </w:rPr>
        <w:t>价，了解服务对象对部门履职效果的满意程度。</w:t>
      </w:r>
    </w:p>
    <w:p w14:paraId="73B18A68">
      <w:pPr>
        <w:spacing w:before="227" w:line="223" w:lineRule="auto"/>
        <w:ind w:left="874"/>
        <w:outlineLvl w:val="1"/>
        <w:rPr>
          <w:rFonts w:ascii="楷体" w:hAnsi="楷体" w:eastAsia="楷体" w:cs="楷体"/>
          <w:sz w:val="32"/>
          <w:szCs w:val="32"/>
        </w:rPr>
      </w:pPr>
      <w:bookmarkStart w:id="29" w:name="bookmark19"/>
      <w:bookmarkEnd w:id="29"/>
      <w:r>
        <w:rPr>
          <w:rFonts w:ascii="楷体" w:hAnsi="楷体" w:eastAsia="楷体" w:cs="楷体"/>
          <w:b/>
          <w:bCs/>
          <w:spacing w:val="7"/>
          <w:sz w:val="32"/>
          <w:szCs w:val="32"/>
        </w:rPr>
        <w:t>(六)绩效评价工作过程</w:t>
      </w:r>
    </w:p>
    <w:p w14:paraId="3501EFCD">
      <w:pPr>
        <w:spacing w:before="240" w:line="354" w:lineRule="auto"/>
        <w:ind w:right="272" w:firstLine="69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9"/>
          <w:sz w:val="32"/>
          <w:szCs w:val="32"/>
        </w:rPr>
        <w:t>本次绩效评价工作经过了前期准备、绩效评价实施方</w:t>
      </w:r>
      <w:r>
        <w:rPr>
          <w:rFonts w:ascii="仿宋" w:hAnsi="仿宋" w:eastAsia="仿宋" w:cs="仿宋"/>
          <w:spacing w:val="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7"/>
          <w:sz w:val="32"/>
          <w:szCs w:val="32"/>
        </w:rPr>
        <w:t>案和指标体系制定、组织实施、绩效评价报告撰写四个阶</w:t>
      </w:r>
      <w:r>
        <w:rPr>
          <w:rFonts w:ascii="仿宋" w:hAnsi="仿宋" w:eastAsia="仿宋" w:cs="仿宋"/>
          <w:spacing w:val="17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0"/>
          <w:sz w:val="32"/>
          <w:szCs w:val="32"/>
        </w:rPr>
        <w:t>段。</w:t>
      </w:r>
    </w:p>
    <w:p w14:paraId="3BEDD8EE">
      <w:pPr>
        <w:spacing w:before="19" w:line="222" w:lineRule="auto"/>
        <w:ind w:left="690"/>
        <w:rPr>
          <w:rFonts w:ascii="仿宋" w:hAnsi="仿宋" w:eastAsia="仿宋" w:cs="仿宋"/>
          <w:sz w:val="32"/>
          <w:szCs w:val="32"/>
        </w:rPr>
      </w:pPr>
      <w:r>
        <w:rPr>
          <w:rFonts w:ascii="宋体" w:hAnsi="宋体" w:eastAsia="宋体" w:cs="宋体"/>
          <w:spacing w:val="-4"/>
          <w:sz w:val="32"/>
          <w:szCs w:val="32"/>
        </w:rPr>
        <w:t>1.</w:t>
      </w:r>
      <w:r>
        <w:rPr>
          <w:rFonts w:ascii="仿宋" w:hAnsi="仿宋" w:eastAsia="仿宋" w:cs="仿宋"/>
          <w:spacing w:val="-4"/>
          <w:sz w:val="32"/>
          <w:szCs w:val="32"/>
        </w:rPr>
        <w:t>前期准备阶段</w:t>
      </w:r>
    </w:p>
    <w:p w14:paraId="5C473D83">
      <w:pPr>
        <w:spacing w:before="243" w:line="359" w:lineRule="auto"/>
        <w:ind w:right="300" w:firstLine="69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8"/>
          <w:sz w:val="32"/>
          <w:szCs w:val="32"/>
        </w:rPr>
        <w:t>经与我部门各相关股室充分沟通，并充分收集相</w:t>
      </w:r>
      <w:r>
        <w:rPr>
          <w:rFonts w:ascii="仿宋" w:hAnsi="仿宋" w:eastAsia="仿宋" w:cs="仿宋"/>
          <w:spacing w:val="7"/>
          <w:sz w:val="32"/>
          <w:szCs w:val="32"/>
        </w:rPr>
        <w:t>关资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8"/>
          <w:sz w:val="32"/>
          <w:szCs w:val="32"/>
        </w:rPr>
        <w:t>料，主要包括部门职责、工作活动、预决算文本、相关管</w:t>
      </w:r>
      <w:r>
        <w:rPr>
          <w:rFonts w:ascii="仿宋" w:hAnsi="仿宋" w:eastAsia="仿宋" w:cs="仿宋"/>
          <w:spacing w:val="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8"/>
          <w:sz w:val="32"/>
          <w:szCs w:val="32"/>
        </w:rPr>
        <w:t>理制度、资金使用等相关资料，为制定绩效</w:t>
      </w:r>
      <w:r>
        <w:rPr>
          <w:rFonts w:ascii="仿宋" w:hAnsi="仿宋" w:eastAsia="仿宋" w:cs="仿宋"/>
          <w:spacing w:val="7"/>
          <w:sz w:val="32"/>
          <w:szCs w:val="32"/>
        </w:rPr>
        <w:t>评价实施方案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6"/>
          <w:sz w:val="32"/>
          <w:szCs w:val="32"/>
        </w:rPr>
        <w:t>和指标体系奠定了基础。</w:t>
      </w:r>
    </w:p>
    <w:p w14:paraId="753613E2">
      <w:pPr>
        <w:spacing w:before="24" w:line="222" w:lineRule="auto"/>
        <w:ind w:left="640"/>
        <w:rPr>
          <w:rFonts w:ascii="仿宋" w:hAnsi="仿宋" w:eastAsia="仿宋" w:cs="仿宋"/>
          <w:sz w:val="32"/>
          <w:szCs w:val="32"/>
        </w:rPr>
      </w:pPr>
      <w:r>
        <w:rPr>
          <w:rFonts w:ascii="宋体" w:hAnsi="宋体" w:eastAsia="宋体" w:cs="宋体"/>
          <w:spacing w:val="-2"/>
          <w:sz w:val="32"/>
          <w:szCs w:val="32"/>
        </w:rPr>
        <w:t>2.</w:t>
      </w:r>
      <w:r>
        <w:rPr>
          <w:rFonts w:ascii="仿宋" w:hAnsi="仿宋" w:eastAsia="仿宋" w:cs="仿宋"/>
          <w:spacing w:val="-2"/>
          <w:sz w:val="32"/>
          <w:szCs w:val="32"/>
        </w:rPr>
        <w:t>制定绩效评价实施方案和体系</w:t>
      </w:r>
    </w:p>
    <w:p w14:paraId="5EBF492B">
      <w:pPr>
        <w:spacing w:before="222" w:line="386" w:lineRule="auto"/>
        <w:ind w:right="342" w:firstLine="640"/>
        <w:rPr>
          <w:rFonts w:ascii="仿宋" w:hAnsi="仿宋" w:eastAsia="仿宋" w:cs="仿宋"/>
          <w:sz w:val="27"/>
          <w:szCs w:val="27"/>
        </w:rPr>
      </w:pPr>
      <w:r>
        <w:rPr>
          <w:rFonts w:ascii="仿宋" w:hAnsi="仿宋" w:eastAsia="仿宋" w:cs="仿宋"/>
          <w:spacing w:val="8"/>
          <w:sz w:val="32"/>
          <w:szCs w:val="32"/>
        </w:rPr>
        <w:t>基于对相关资料的收集，制定绩效评价实施方案和体</w:t>
      </w:r>
      <w:r>
        <w:rPr>
          <w:rFonts w:ascii="仿宋" w:hAnsi="仿宋" w:eastAsia="仿宋" w:cs="仿宋"/>
          <w:spacing w:val="5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8"/>
          <w:sz w:val="27"/>
          <w:szCs w:val="27"/>
        </w:rPr>
        <w:t>系，确定最终方案。</w:t>
      </w:r>
    </w:p>
    <w:p w14:paraId="60017FE7">
      <w:pPr>
        <w:spacing w:before="1" w:line="221" w:lineRule="auto"/>
        <w:ind w:left="640"/>
        <w:rPr>
          <w:rFonts w:ascii="仿宋" w:hAnsi="仿宋" w:eastAsia="仿宋" w:cs="仿宋"/>
          <w:sz w:val="32"/>
          <w:szCs w:val="32"/>
        </w:rPr>
      </w:pPr>
      <w:r>
        <w:rPr>
          <w:rFonts w:ascii="宋体" w:hAnsi="宋体" w:eastAsia="宋体" w:cs="宋体"/>
          <w:spacing w:val="-2"/>
          <w:sz w:val="32"/>
          <w:szCs w:val="32"/>
        </w:rPr>
        <w:t>3.</w:t>
      </w:r>
      <w:r>
        <w:rPr>
          <w:rFonts w:ascii="仿宋" w:hAnsi="仿宋" w:eastAsia="仿宋" w:cs="仿宋"/>
          <w:spacing w:val="-2"/>
          <w:sz w:val="32"/>
          <w:szCs w:val="32"/>
        </w:rPr>
        <w:t>组织实施阶段</w:t>
      </w:r>
    </w:p>
    <w:p w14:paraId="28C4DCB0">
      <w:pPr>
        <w:spacing w:before="243" w:line="364" w:lineRule="auto"/>
        <w:ind w:right="342" w:firstLine="64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8"/>
          <w:sz w:val="32"/>
          <w:szCs w:val="32"/>
        </w:rPr>
        <w:t>根据绩效评价实施方案和指标体系，对我部门开展评</w:t>
      </w:r>
      <w:r>
        <w:rPr>
          <w:rFonts w:ascii="仿宋" w:hAnsi="仿宋" w:eastAsia="仿宋" w:cs="仿宋"/>
          <w:spacing w:val="6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7"/>
          <w:sz w:val="32"/>
          <w:szCs w:val="32"/>
        </w:rPr>
        <w:t>价工作，包括查看预决算文本及部门工作活动绩效目标和</w:t>
      </w:r>
      <w:r>
        <w:rPr>
          <w:rFonts w:ascii="仿宋" w:hAnsi="仿宋" w:eastAsia="仿宋" w:cs="仿宋"/>
          <w:spacing w:val="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7"/>
          <w:sz w:val="32"/>
          <w:szCs w:val="32"/>
        </w:rPr>
        <w:t>指标；比对预决算的调整及执行情况；核查固定资产管理</w:t>
      </w:r>
    </w:p>
    <w:p w14:paraId="573A1C6B">
      <w:pPr>
        <w:spacing w:line="364" w:lineRule="auto"/>
        <w:rPr>
          <w:rFonts w:ascii="仿宋" w:hAnsi="仿宋" w:eastAsia="仿宋" w:cs="仿宋"/>
          <w:sz w:val="32"/>
          <w:szCs w:val="32"/>
        </w:rPr>
        <w:sectPr>
          <w:headerReference r:id="rId37" w:type="default"/>
          <w:footerReference r:id="rId38" w:type="default"/>
          <w:pgSz w:w="12110" w:h="16970"/>
          <w:pgMar w:top="1130" w:right="1816" w:bottom="1434" w:left="1759" w:header="1110" w:footer="1299" w:gutter="0"/>
          <w:cols w:space="720" w:num="1"/>
        </w:sectPr>
      </w:pPr>
    </w:p>
    <w:p w14:paraId="1889023B">
      <w:pPr>
        <w:pStyle w:val="2"/>
        <w:spacing w:line="400" w:lineRule="auto"/>
      </w:pPr>
    </w:p>
    <w:p w14:paraId="7E0B8B5D">
      <w:pPr>
        <w:spacing w:before="101" w:line="370" w:lineRule="auto"/>
        <w:ind w:left="139" w:right="98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的规范性；核查明细账与决算报表项目的一致性；对项目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产出情况进行了解查看；随机选取服务对象进行满</w:t>
      </w:r>
      <w:r>
        <w:rPr>
          <w:rFonts w:ascii="仿宋" w:hAnsi="仿宋" w:eastAsia="仿宋" w:cs="仿宋"/>
          <w:spacing w:val="18"/>
          <w:sz w:val="31"/>
          <w:szCs w:val="31"/>
        </w:rPr>
        <w:t>意度调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查等。根据收集的数据、资料进行核对、比较、计算，对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部门整体支出进行评分。</w:t>
      </w:r>
    </w:p>
    <w:p w14:paraId="1A351CDF">
      <w:pPr>
        <w:spacing w:before="1" w:line="222" w:lineRule="auto"/>
        <w:ind w:left="71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6"/>
          <w:sz w:val="31"/>
          <w:szCs w:val="31"/>
        </w:rPr>
        <w:t>4.</w:t>
      </w:r>
      <w:r>
        <w:rPr>
          <w:rFonts w:ascii="仿宋" w:hAnsi="仿宋" w:eastAsia="仿宋" w:cs="仿宋"/>
          <w:spacing w:val="6"/>
          <w:sz w:val="31"/>
          <w:szCs w:val="31"/>
        </w:rPr>
        <w:t>撰写绩效评价报告</w:t>
      </w:r>
    </w:p>
    <w:p w14:paraId="75EB5CB9">
      <w:pPr>
        <w:spacing w:before="261" w:line="352" w:lineRule="auto"/>
        <w:ind w:left="89" w:right="176" w:firstLine="62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在完成对各评价指标评分定级的基础上，开始进行报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告撰写工作。</w:t>
      </w:r>
    </w:p>
    <w:p w14:paraId="52353C4C">
      <w:pPr>
        <w:spacing w:before="48" w:line="221" w:lineRule="auto"/>
        <w:ind w:left="724"/>
        <w:outlineLvl w:val="0"/>
        <w:rPr>
          <w:rFonts w:ascii="黑体" w:hAnsi="黑体" w:eastAsia="黑体" w:cs="黑体"/>
          <w:sz w:val="31"/>
          <w:szCs w:val="31"/>
        </w:rPr>
      </w:pPr>
      <w:bookmarkStart w:id="30" w:name="bookmark20"/>
      <w:bookmarkEnd w:id="30"/>
      <w:r>
        <w:rPr>
          <w:rFonts w:ascii="黑体" w:hAnsi="黑体" w:eastAsia="黑体" w:cs="黑体"/>
          <w:b/>
          <w:bCs/>
          <w:spacing w:val="4"/>
          <w:sz w:val="31"/>
          <w:szCs w:val="31"/>
        </w:rPr>
        <w:t>四、绩效自评得分情况</w:t>
      </w:r>
    </w:p>
    <w:p w14:paraId="5682A6FE">
      <w:pPr>
        <w:spacing w:before="273" w:line="361" w:lineRule="auto"/>
        <w:ind w:left="49" w:right="194" w:firstLine="6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3"/>
          <w:sz w:val="31"/>
          <w:szCs w:val="31"/>
        </w:rPr>
        <w:t>我部门部门整体支出绩效评价总得分为94</w:t>
      </w:r>
      <w:r>
        <w:rPr>
          <w:rFonts w:ascii="仿宋" w:hAnsi="仿宋" w:eastAsia="仿宋" w:cs="仿宋"/>
          <w:spacing w:val="-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分，综合绩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效评价等级为“优”。各项得分情况如下：</w:t>
      </w:r>
    </w:p>
    <w:p w14:paraId="2031AF56">
      <w:pPr>
        <w:spacing w:before="1" w:line="230" w:lineRule="auto"/>
        <w:ind w:left="854"/>
        <w:outlineLvl w:val="1"/>
        <w:rPr>
          <w:rFonts w:ascii="楷体" w:hAnsi="楷体" w:eastAsia="楷体" w:cs="楷体"/>
          <w:sz w:val="31"/>
          <w:szCs w:val="31"/>
        </w:rPr>
      </w:pPr>
      <w:bookmarkStart w:id="31" w:name="bookmark21"/>
      <w:bookmarkEnd w:id="31"/>
      <w:r>
        <w:rPr>
          <w:rFonts w:ascii="楷体" w:hAnsi="楷体" w:eastAsia="楷体" w:cs="楷体"/>
          <w:b/>
          <w:bCs/>
          <w:spacing w:val="30"/>
          <w:sz w:val="31"/>
          <w:szCs w:val="31"/>
        </w:rPr>
        <w:t>(</w:t>
      </w:r>
      <w:r>
        <w:rPr>
          <w:rFonts w:ascii="楷体" w:hAnsi="楷体" w:eastAsia="楷体" w:cs="楷体"/>
          <w:spacing w:val="-73"/>
          <w:sz w:val="31"/>
          <w:szCs w:val="31"/>
        </w:rPr>
        <w:t xml:space="preserve"> </w:t>
      </w:r>
      <w:r>
        <w:rPr>
          <w:rFonts w:ascii="楷体" w:hAnsi="楷体" w:eastAsia="楷体" w:cs="楷体"/>
          <w:b/>
          <w:bCs/>
          <w:spacing w:val="30"/>
          <w:sz w:val="31"/>
          <w:szCs w:val="31"/>
        </w:rPr>
        <w:t>一</w:t>
      </w:r>
      <w:r>
        <w:rPr>
          <w:rFonts w:ascii="楷体" w:hAnsi="楷体" w:eastAsia="楷体" w:cs="楷体"/>
          <w:spacing w:val="-86"/>
          <w:sz w:val="31"/>
          <w:szCs w:val="31"/>
        </w:rPr>
        <w:t xml:space="preserve"> </w:t>
      </w:r>
      <w:r>
        <w:rPr>
          <w:rFonts w:ascii="楷体" w:hAnsi="楷体" w:eastAsia="楷体" w:cs="楷体"/>
          <w:b/>
          <w:bCs/>
          <w:spacing w:val="30"/>
          <w:sz w:val="31"/>
          <w:szCs w:val="31"/>
        </w:rPr>
        <w:t>)投入(12分)</w:t>
      </w:r>
    </w:p>
    <w:p w14:paraId="00A16347">
      <w:pPr>
        <w:spacing w:before="261" w:line="368" w:lineRule="auto"/>
        <w:ind w:right="229" w:firstLine="65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该一级指标包含绩效目标设定和预算配置两个二级指</w:t>
      </w:r>
      <w:r>
        <w:rPr>
          <w:rFonts w:ascii="仿宋" w:hAnsi="仿宋" w:eastAsia="仿宋" w:cs="仿宋"/>
          <w:spacing w:val="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标，主要反映绩效目标设定是否合理、科学，绩效指标的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制定是否清晰、可衡量，预算编制是否完整，项目预算是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否细化及在职人员控制情况。</w:t>
      </w:r>
    </w:p>
    <w:p w14:paraId="6BBB8480">
      <w:pPr>
        <w:spacing w:before="36" w:line="219" w:lineRule="auto"/>
        <w:ind w:left="206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z w:val="31"/>
          <w:szCs w:val="31"/>
        </w:rPr>
        <w:t>表</w:t>
      </w:r>
      <w:r>
        <w:rPr>
          <w:rFonts w:ascii="宋体" w:hAnsi="宋体" w:eastAsia="宋体" w:cs="宋体"/>
          <w:spacing w:val="-24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z w:val="31"/>
          <w:szCs w:val="31"/>
        </w:rPr>
        <w:t>2</w:t>
      </w:r>
      <w:r>
        <w:rPr>
          <w:rFonts w:ascii="宋体" w:hAnsi="宋体" w:eastAsia="宋体" w:cs="宋体"/>
          <w:spacing w:val="154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z w:val="31"/>
          <w:szCs w:val="31"/>
        </w:rPr>
        <w:t>投入指标及得分情况表</w:t>
      </w:r>
    </w:p>
    <w:p w14:paraId="06349DEE">
      <w:pPr>
        <w:spacing w:line="199" w:lineRule="exact"/>
      </w:pPr>
    </w:p>
    <w:tbl>
      <w:tblPr>
        <w:tblStyle w:val="5"/>
        <w:tblW w:w="7010" w:type="dxa"/>
        <w:tblInd w:w="52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53"/>
        <w:gridCol w:w="1398"/>
        <w:gridCol w:w="1678"/>
        <w:gridCol w:w="1258"/>
        <w:gridCol w:w="1123"/>
      </w:tblGrid>
      <w:tr w14:paraId="718BFC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</w:trPr>
        <w:tc>
          <w:tcPr>
            <w:tcW w:w="1553" w:type="dxa"/>
            <w:vAlign w:val="top"/>
          </w:tcPr>
          <w:p w14:paraId="27E05028">
            <w:pPr>
              <w:pStyle w:val="6"/>
              <w:spacing w:before="121" w:line="220" w:lineRule="auto"/>
              <w:ind w:left="348"/>
              <w:rPr>
                <w:sz w:val="21"/>
                <w:szCs w:val="21"/>
              </w:rPr>
            </w:pPr>
            <w:r>
              <w:rPr>
                <w:b/>
                <w:bCs/>
                <w:spacing w:val="-6"/>
                <w:sz w:val="21"/>
                <w:szCs w:val="21"/>
              </w:rPr>
              <w:t>一级指标</w:t>
            </w:r>
          </w:p>
        </w:tc>
        <w:tc>
          <w:tcPr>
            <w:tcW w:w="1398" w:type="dxa"/>
            <w:vAlign w:val="top"/>
          </w:tcPr>
          <w:p w14:paraId="334639CB">
            <w:pPr>
              <w:pStyle w:val="6"/>
              <w:spacing w:before="121" w:line="220" w:lineRule="auto"/>
              <w:ind w:left="274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二级指标</w:t>
            </w:r>
          </w:p>
        </w:tc>
        <w:tc>
          <w:tcPr>
            <w:tcW w:w="1678" w:type="dxa"/>
            <w:vAlign w:val="top"/>
          </w:tcPr>
          <w:p w14:paraId="3E6BB20E">
            <w:pPr>
              <w:pStyle w:val="6"/>
              <w:spacing w:before="121" w:line="220" w:lineRule="auto"/>
              <w:ind w:left="417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三级指标</w:t>
            </w:r>
          </w:p>
        </w:tc>
        <w:tc>
          <w:tcPr>
            <w:tcW w:w="1258" w:type="dxa"/>
            <w:vAlign w:val="top"/>
          </w:tcPr>
          <w:p w14:paraId="152B0A57">
            <w:pPr>
              <w:pStyle w:val="6"/>
              <w:spacing w:before="120" w:line="219" w:lineRule="auto"/>
              <w:ind w:left="209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分值权重</w:t>
            </w:r>
          </w:p>
        </w:tc>
        <w:tc>
          <w:tcPr>
            <w:tcW w:w="1123" w:type="dxa"/>
            <w:vAlign w:val="top"/>
          </w:tcPr>
          <w:p w14:paraId="2F94AF4B">
            <w:pPr>
              <w:pStyle w:val="6"/>
              <w:spacing w:before="120" w:line="219" w:lineRule="auto"/>
              <w:ind w:left="351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得分</w:t>
            </w:r>
          </w:p>
        </w:tc>
      </w:tr>
      <w:tr w14:paraId="0A5683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1553" w:type="dxa"/>
            <w:vMerge w:val="restart"/>
            <w:tcBorders>
              <w:bottom w:val="nil"/>
            </w:tcBorders>
            <w:vAlign w:val="top"/>
          </w:tcPr>
          <w:p w14:paraId="7E9B1DBD">
            <w:pPr>
              <w:spacing w:line="275" w:lineRule="auto"/>
              <w:rPr>
                <w:rFonts w:ascii="Arial"/>
                <w:sz w:val="21"/>
              </w:rPr>
            </w:pPr>
          </w:p>
          <w:p w14:paraId="4569CDFD">
            <w:pPr>
              <w:spacing w:line="276" w:lineRule="auto"/>
              <w:rPr>
                <w:rFonts w:ascii="Arial"/>
                <w:sz w:val="21"/>
              </w:rPr>
            </w:pPr>
          </w:p>
          <w:p w14:paraId="51189D1E">
            <w:pPr>
              <w:spacing w:line="276" w:lineRule="auto"/>
              <w:rPr>
                <w:rFonts w:ascii="Arial"/>
                <w:sz w:val="21"/>
              </w:rPr>
            </w:pPr>
          </w:p>
          <w:p w14:paraId="1815815E">
            <w:pPr>
              <w:pStyle w:val="6"/>
              <w:spacing w:before="69" w:line="220" w:lineRule="auto"/>
              <w:ind w:left="555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投入</w:t>
            </w:r>
          </w:p>
          <w:p w14:paraId="77D605EE">
            <w:pPr>
              <w:spacing w:line="299" w:lineRule="auto"/>
              <w:rPr>
                <w:rFonts w:ascii="Arial"/>
                <w:sz w:val="21"/>
              </w:rPr>
            </w:pPr>
          </w:p>
          <w:p w14:paraId="1CFC0C32">
            <w:pPr>
              <w:pStyle w:val="6"/>
              <w:spacing w:before="68" w:line="220" w:lineRule="auto"/>
              <w:ind w:left="455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</w:rPr>
              <w:t>(12分)</w:t>
            </w:r>
          </w:p>
        </w:tc>
        <w:tc>
          <w:tcPr>
            <w:tcW w:w="1398" w:type="dxa"/>
            <w:vMerge w:val="restart"/>
            <w:tcBorders>
              <w:bottom w:val="nil"/>
            </w:tcBorders>
            <w:vAlign w:val="top"/>
          </w:tcPr>
          <w:p w14:paraId="024EDA92">
            <w:pPr>
              <w:spacing w:line="241" w:lineRule="auto"/>
              <w:rPr>
                <w:rFonts w:ascii="Arial"/>
                <w:sz w:val="21"/>
              </w:rPr>
            </w:pPr>
          </w:p>
          <w:p w14:paraId="527E082A">
            <w:pPr>
              <w:pStyle w:val="6"/>
              <w:spacing w:before="69" w:line="389" w:lineRule="auto"/>
              <w:ind w:left="322" w:right="166" w:hanging="160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绩效目标设</w:t>
            </w:r>
            <w:r>
              <w:rPr>
                <w:spacing w:val="3"/>
                <w:sz w:val="21"/>
                <w:szCs w:val="21"/>
              </w:rPr>
              <w:t xml:space="preserve"> </w:t>
            </w:r>
            <w:r>
              <w:rPr>
                <w:spacing w:val="8"/>
                <w:sz w:val="21"/>
                <w:szCs w:val="21"/>
              </w:rPr>
              <w:t>定(6分)</w:t>
            </w:r>
          </w:p>
        </w:tc>
        <w:tc>
          <w:tcPr>
            <w:tcW w:w="1678" w:type="dxa"/>
            <w:vAlign w:val="top"/>
          </w:tcPr>
          <w:p w14:paraId="55B902C2">
            <w:pPr>
              <w:pStyle w:val="6"/>
              <w:spacing w:before="121" w:line="220" w:lineRule="auto"/>
              <w:ind w:left="94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绩效目标合理性</w:t>
            </w:r>
          </w:p>
        </w:tc>
        <w:tc>
          <w:tcPr>
            <w:tcW w:w="1258" w:type="dxa"/>
            <w:vAlign w:val="top"/>
          </w:tcPr>
          <w:p w14:paraId="477DF604">
            <w:pPr>
              <w:pStyle w:val="6"/>
              <w:spacing w:before="141" w:line="241" w:lineRule="auto"/>
              <w:ind w:left="5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123" w:type="dxa"/>
            <w:vAlign w:val="top"/>
          </w:tcPr>
          <w:p w14:paraId="593977DA">
            <w:pPr>
              <w:pStyle w:val="6"/>
              <w:spacing w:before="141" w:line="241" w:lineRule="auto"/>
              <w:ind w:left="49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</w:tr>
      <w:tr w14:paraId="4A38EB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1553" w:type="dxa"/>
            <w:vMerge w:val="continue"/>
            <w:tcBorders>
              <w:top w:val="nil"/>
              <w:bottom w:val="nil"/>
            </w:tcBorders>
            <w:vAlign w:val="top"/>
          </w:tcPr>
          <w:p w14:paraId="5C6CE071">
            <w:pPr>
              <w:rPr>
                <w:rFonts w:ascii="Arial"/>
                <w:sz w:val="21"/>
              </w:rPr>
            </w:pPr>
          </w:p>
        </w:tc>
        <w:tc>
          <w:tcPr>
            <w:tcW w:w="1398" w:type="dxa"/>
            <w:vMerge w:val="continue"/>
            <w:tcBorders>
              <w:top w:val="nil"/>
              <w:bottom w:val="nil"/>
            </w:tcBorders>
            <w:vAlign w:val="top"/>
          </w:tcPr>
          <w:p w14:paraId="3E87CDD3">
            <w:pPr>
              <w:rPr>
                <w:rFonts w:ascii="Arial"/>
                <w:sz w:val="21"/>
              </w:rPr>
            </w:pPr>
          </w:p>
        </w:tc>
        <w:tc>
          <w:tcPr>
            <w:tcW w:w="1678" w:type="dxa"/>
            <w:vAlign w:val="top"/>
          </w:tcPr>
          <w:p w14:paraId="20B29BDE">
            <w:pPr>
              <w:pStyle w:val="6"/>
              <w:spacing w:before="120" w:line="219" w:lineRule="auto"/>
              <w:ind w:left="94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绩效目标科学性</w:t>
            </w:r>
          </w:p>
        </w:tc>
        <w:tc>
          <w:tcPr>
            <w:tcW w:w="1258" w:type="dxa"/>
            <w:vAlign w:val="top"/>
          </w:tcPr>
          <w:p w14:paraId="54AC71E1">
            <w:pPr>
              <w:pStyle w:val="6"/>
              <w:spacing w:before="142" w:line="241" w:lineRule="auto"/>
              <w:ind w:left="5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123" w:type="dxa"/>
            <w:vAlign w:val="top"/>
          </w:tcPr>
          <w:p w14:paraId="160B0E06">
            <w:pPr>
              <w:pStyle w:val="6"/>
              <w:spacing w:before="142" w:line="241" w:lineRule="auto"/>
              <w:ind w:left="49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</w:tr>
      <w:tr w14:paraId="4ACB65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1553" w:type="dxa"/>
            <w:vMerge w:val="continue"/>
            <w:tcBorders>
              <w:top w:val="nil"/>
              <w:bottom w:val="nil"/>
            </w:tcBorders>
            <w:vAlign w:val="top"/>
          </w:tcPr>
          <w:p w14:paraId="52747CEA">
            <w:pPr>
              <w:rPr>
                <w:rFonts w:ascii="Arial"/>
                <w:sz w:val="21"/>
              </w:rPr>
            </w:pPr>
          </w:p>
        </w:tc>
        <w:tc>
          <w:tcPr>
            <w:tcW w:w="1398" w:type="dxa"/>
            <w:vMerge w:val="continue"/>
            <w:tcBorders>
              <w:top w:val="nil"/>
            </w:tcBorders>
            <w:vAlign w:val="top"/>
          </w:tcPr>
          <w:p w14:paraId="637F2D06">
            <w:pPr>
              <w:rPr>
                <w:rFonts w:ascii="Arial"/>
                <w:sz w:val="21"/>
              </w:rPr>
            </w:pPr>
          </w:p>
        </w:tc>
        <w:tc>
          <w:tcPr>
            <w:tcW w:w="1678" w:type="dxa"/>
            <w:vAlign w:val="top"/>
          </w:tcPr>
          <w:p w14:paraId="7672AB3A">
            <w:pPr>
              <w:pStyle w:val="6"/>
              <w:spacing w:before="163" w:line="219" w:lineRule="auto"/>
              <w:ind w:left="94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绩效指标明确性</w:t>
            </w:r>
          </w:p>
        </w:tc>
        <w:tc>
          <w:tcPr>
            <w:tcW w:w="1258" w:type="dxa"/>
            <w:vAlign w:val="top"/>
          </w:tcPr>
          <w:p w14:paraId="09A99C31">
            <w:pPr>
              <w:pStyle w:val="6"/>
              <w:spacing w:before="194" w:line="215" w:lineRule="auto"/>
              <w:ind w:left="5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123" w:type="dxa"/>
            <w:vAlign w:val="top"/>
          </w:tcPr>
          <w:p w14:paraId="190F84C0">
            <w:pPr>
              <w:pStyle w:val="6"/>
              <w:spacing w:before="194" w:line="215" w:lineRule="auto"/>
              <w:ind w:left="49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</w:tr>
      <w:tr w14:paraId="17B516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1553" w:type="dxa"/>
            <w:vMerge w:val="continue"/>
            <w:tcBorders>
              <w:top w:val="nil"/>
              <w:bottom w:val="nil"/>
            </w:tcBorders>
            <w:vAlign w:val="top"/>
          </w:tcPr>
          <w:p w14:paraId="6EE0CB89">
            <w:pPr>
              <w:rPr>
                <w:rFonts w:ascii="Arial"/>
                <w:sz w:val="21"/>
              </w:rPr>
            </w:pPr>
          </w:p>
        </w:tc>
        <w:tc>
          <w:tcPr>
            <w:tcW w:w="1398" w:type="dxa"/>
            <w:vMerge w:val="restart"/>
            <w:tcBorders>
              <w:bottom w:val="nil"/>
            </w:tcBorders>
            <w:vAlign w:val="top"/>
          </w:tcPr>
          <w:p w14:paraId="72D66092">
            <w:pPr>
              <w:pStyle w:val="6"/>
              <w:spacing w:before="224" w:line="219" w:lineRule="auto"/>
              <w:ind w:left="271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预算配置</w:t>
            </w:r>
          </w:p>
          <w:p w14:paraId="30BE3964">
            <w:pPr>
              <w:spacing w:line="301" w:lineRule="auto"/>
              <w:rPr>
                <w:rFonts w:ascii="Arial"/>
                <w:sz w:val="21"/>
              </w:rPr>
            </w:pPr>
          </w:p>
          <w:p w14:paraId="4AEA088B">
            <w:pPr>
              <w:pStyle w:val="6"/>
              <w:spacing w:before="68" w:line="220" w:lineRule="auto"/>
              <w:ind w:left="422"/>
              <w:rPr>
                <w:sz w:val="21"/>
                <w:szCs w:val="21"/>
              </w:rPr>
            </w:pPr>
            <w:r>
              <w:rPr>
                <w:spacing w:val="12"/>
                <w:sz w:val="21"/>
                <w:szCs w:val="21"/>
              </w:rPr>
              <w:t>(6分)</w:t>
            </w:r>
          </w:p>
        </w:tc>
        <w:tc>
          <w:tcPr>
            <w:tcW w:w="1678" w:type="dxa"/>
            <w:vAlign w:val="top"/>
          </w:tcPr>
          <w:p w14:paraId="75A06473">
            <w:pPr>
              <w:pStyle w:val="6"/>
              <w:spacing w:before="164" w:line="219" w:lineRule="auto"/>
              <w:ind w:left="94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预算编制完整性</w:t>
            </w:r>
          </w:p>
        </w:tc>
        <w:tc>
          <w:tcPr>
            <w:tcW w:w="1258" w:type="dxa"/>
            <w:vAlign w:val="top"/>
          </w:tcPr>
          <w:p w14:paraId="6D5A5426">
            <w:pPr>
              <w:pStyle w:val="6"/>
              <w:spacing w:before="145" w:line="241" w:lineRule="auto"/>
              <w:ind w:left="5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123" w:type="dxa"/>
            <w:vAlign w:val="top"/>
          </w:tcPr>
          <w:p w14:paraId="3BEE8383">
            <w:pPr>
              <w:pStyle w:val="6"/>
              <w:spacing w:before="185" w:line="214" w:lineRule="auto"/>
              <w:ind w:left="49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</w:tr>
      <w:tr w14:paraId="1823C6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1553" w:type="dxa"/>
            <w:vMerge w:val="continue"/>
            <w:tcBorders>
              <w:top w:val="nil"/>
              <w:bottom w:val="nil"/>
            </w:tcBorders>
            <w:vAlign w:val="top"/>
          </w:tcPr>
          <w:p w14:paraId="22C0177A">
            <w:pPr>
              <w:rPr>
                <w:rFonts w:ascii="Arial"/>
                <w:sz w:val="21"/>
              </w:rPr>
            </w:pPr>
          </w:p>
        </w:tc>
        <w:tc>
          <w:tcPr>
            <w:tcW w:w="1398" w:type="dxa"/>
            <w:vMerge w:val="continue"/>
            <w:tcBorders>
              <w:top w:val="nil"/>
              <w:bottom w:val="nil"/>
            </w:tcBorders>
            <w:vAlign w:val="top"/>
          </w:tcPr>
          <w:p w14:paraId="113F5746">
            <w:pPr>
              <w:rPr>
                <w:rFonts w:ascii="Arial"/>
                <w:sz w:val="21"/>
              </w:rPr>
            </w:pPr>
          </w:p>
        </w:tc>
        <w:tc>
          <w:tcPr>
            <w:tcW w:w="1678" w:type="dxa"/>
            <w:vAlign w:val="top"/>
          </w:tcPr>
          <w:p w14:paraId="5AAB87BA">
            <w:pPr>
              <w:pStyle w:val="6"/>
              <w:spacing w:before="175" w:line="219" w:lineRule="auto"/>
              <w:ind w:left="94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项目预算细化率</w:t>
            </w:r>
          </w:p>
        </w:tc>
        <w:tc>
          <w:tcPr>
            <w:tcW w:w="1258" w:type="dxa"/>
            <w:vAlign w:val="top"/>
          </w:tcPr>
          <w:p w14:paraId="66B85EDC">
            <w:pPr>
              <w:pStyle w:val="6"/>
              <w:spacing w:before="146" w:line="241" w:lineRule="auto"/>
              <w:ind w:left="5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123" w:type="dxa"/>
            <w:vAlign w:val="top"/>
          </w:tcPr>
          <w:p w14:paraId="185FC2E1">
            <w:pPr>
              <w:pStyle w:val="6"/>
              <w:spacing w:before="196" w:line="213" w:lineRule="auto"/>
              <w:ind w:left="49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</w:tr>
      <w:tr w14:paraId="18C975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1553" w:type="dxa"/>
            <w:vMerge w:val="continue"/>
            <w:tcBorders>
              <w:top w:val="nil"/>
            </w:tcBorders>
            <w:vAlign w:val="top"/>
          </w:tcPr>
          <w:p w14:paraId="506166C9">
            <w:pPr>
              <w:rPr>
                <w:rFonts w:ascii="Arial"/>
                <w:sz w:val="21"/>
              </w:rPr>
            </w:pPr>
          </w:p>
        </w:tc>
        <w:tc>
          <w:tcPr>
            <w:tcW w:w="1398" w:type="dxa"/>
            <w:vMerge w:val="continue"/>
            <w:tcBorders>
              <w:top w:val="nil"/>
            </w:tcBorders>
            <w:vAlign w:val="top"/>
          </w:tcPr>
          <w:p w14:paraId="08A90880">
            <w:pPr>
              <w:rPr>
                <w:rFonts w:ascii="Arial"/>
                <w:sz w:val="21"/>
              </w:rPr>
            </w:pPr>
          </w:p>
        </w:tc>
        <w:tc>
          <w:tcPr>
            <w:tcW w:w="1678" w:type="dxa"/>
            <w:vAlign w:val="top"/>
          </w:tcPr>
          <w:p w14:paraId="6C156FE4">
            <w:pPr>
              <w:pStyle w:val="6"/>
              <w:spacing w:before="156" w:line="219" w:lineRule="auto"/>
              <w:ind w:left="94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在职人员控制率</w:t>
            </w:r>
          </w:p>
        </w:tc>
        <w:tc>
          <w:tcPr>
            <w:tcW w:w="1258" w:type="dxa"/>
            <w:vAlign w:val="top"/>
          </w:tcPr>
          <w:p w14:paraId="7D4674BD">
            <w:pPr>
              <w:pStyle w:val="6"/>
              <w:spacing w:before="177" w:line="221" w:lineRule="auto"/>
              <w:ind w:left="5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123" w:type="dxa"/>
            <w:vAlign w:val="top"/>
          </w:tcPr>
          <w:p w14:paraId="662044DD">
            <w:pPr>
              <w:pStyle w:val="6"/>
              <w:spacing w:before="147" w:line="241" w:lineRule="auto"/>
              <w:ind w:left="49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</w:tr>
      <w:tr w14:paraId="148FA3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2951" w:type="dxa"/>
            <w:gridSpan w:val="2"/>
            <w:vAlign w:val="top"/>
          </w:tcPr>
          <w:p w14:paraId="6DC50698">
            <w:pPr>
              <w:pStyle w:val="6"/>
              <w:spacing w:before="168" w:line="221" w:lineRule="auto"/>
              <w:ind w:left="1465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合计</w:t>
            </w:r>
          </w:p>
        </w:tc>
        <w:tc>
          <w:tcPr>
            <w:tcW w:w="1678" w:type="dxa"/>
            <w:vAlign w:val="top"/>
          </w:tcPr>
          <w:p w14:paraId="56FD4454">
            <w:pPr>
              <w:rPr>
                <w:rFonts w:ascii="Arial"/>
                <w:sz w:val="21"/>
              </w:rPr>
            </w:pPr>
          </w:p>
        </w:tc>
        <w:tc>
          <w:tcPr>
            <w:tcW w:w="1258" w:type="dxa"/>
            <w:vAlign w:val="top"/>
          </w:tcPr>
          <w:p w14:paraId="1DF80818">
            <w:pPr>
              <w:pStyle w:val="6"/>
              <w:spacing w:before="198" w:line="215" w:lineRule="auto"/>
              <w:ind w:left="516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12</w:t>
            </w:r>
          </w:p>
        </w:tc>
        <w:tc>
          <w:tcPr>
            <w:tcW w:w="1123" w:type="dxa"/>
            <w:vAlign w:val="top"/>
          </w:tcPr>
          <w:p w14:paraId="6B991840">
            <w:pPr>
              <w:pStyle w:val="6"/>
              <w:spacing w:before="208" w:line="206" w:lineRule="auto"/>
              <w:ind w:left="448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11</w:t>
            </w:r>
          </w:p>
        </w:tc>
      </w:tr>
    </w:tbl>
    <w:p w14:paraId="2B547820">
      <w:pPr>
        <w:pStyle w:val="2"/>
      </w:pPr>
    </w:p>
    <w:p w14:paraId="647162C9">
      <w:pPr>
        <w:sectPr>
          <w:headerReference r:id="rId39" w:type="default"/>
          <w:footerReference r:id="rId40" w:type="default"/>
          <w:pgSz w:w="11900" w:h="16820"/>
          <w:pgMar w:top="1050" w:right="1785" w:bottom="1374" w:left="1650" w:header="1030" w:footer="1239" w:gutter="0"/>
          <w:cols w:space="720" w:num="1"/>
        </w:sectPr>
      </w:pPr>
    </w:p>
    <w:p w14:paraId="751CB32F">
      <w:pPr>
        <w:pStyle w:val="2"/>
        <w:spacing w:line="254" w:lineRule="auto"/>
      </w:pPr>
    </w:p>
    <w:p w14:paraId="54D00408">
      <w:pPr>
        <w:pStyle w:val="2"/>
        <w:spacing w:line="255" w:lineRule="auto"/>
      </w:pPr>
    </w:p>
    <w:p w14:paraId="0DA540A3">
      <w:pPr>
        <w:pStyle w:val="2"/>
        <w:spacing w:line="255" w:lineRule="auto"/>
      </w:pPr>
    </w:p>
    <w:p w14:paraId="5F3411C0">
      <w:pPr>
        <w:pStyle w:val="2"/>
        <w:spacing w:line="255" w:lineRule="auto"/>
      </w:pPr>
    </w:p>
    <w:p w14:paraId="78F78CF7">
      <w:pPr>
        <w:spacing w:before="101" w:line="222" w:lineRule="auto"/>
        <w:ind w:left="794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b/>
          <w:bCs/>
          <w:spacing w:val="26"/>
          <w:sz w:val="31"/>
          <w:szCs w:val="31"/>
        </w:rPr>
        <w:t>1.</w:t>
      </w:r>
      <w:r>
        <w:rPr>
          <w:rFonts w:ascii="仿宋" w:hAnsi="仿宋" w:eastAsia="仿宋" w:cs="仿宋"/>
          <w:b/>
          <w:bCs/>
          <w:spacing w:val="26"/>
          <w:sz w:val="31"/>
          <w:szCs w:val="31"/>
        </w:rPr>
        <w:t>绩效目标设定(6分)</w:t>
      </w:r>
    </w:p>
    <w:p w14:paraId="387901A5">
      <w:pPr>
        <w:spacing w:before="267" w:line="220" w:lineRule="auto"/>
        <w:ind w:left="9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2"/>
          <w:sz w:val="31"/>
          <w:szCs w:val="31"/>
        </w:rPr>
        <w:t>(1)绩效目标合理性(2分)</w:t>
      </w:r>
    </w:p>
    <w:p w14:paraId="10A02B98">
      <w:pPr>
        <w:spacing w:before="248" w:line="365" w:lineRule="auto"/>
        <w:ind w:left="60" w:right="144" w:firstLine="72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该指标主要评价部门的职责设定是否符合“三定”方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1"/>
          <w:sz w:val="31"/>
          <w:szCs w:val="31"/>
        </w:rPr>
        <w:t>案中所赋予的职责；工作活动是否与部门职责、工作规划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1"/>
          <w:sz w:val="31"/>
          <w:szCs w:val="31"/>
        </w:rPr>
        <w:t>和重点工作相关；工作活动项下确定的预算项目是否合</w:t>
      </w:r>
      <w:r>
        <w:rPr>
          <w:rFonts w:ascii="仿宋" w:hAnsi="仿宋" w:eastAsia="仿宋" w:cs="仿宋"/>
          <w:spacing w:val="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理，是否与工作活动密切相关；工作活动和项</w:t>
      </w:r>
      <w:r>
        <w:rPr>
          <w:rFonts w:ascii="仿宋" w:hAnsi="仿宋" w:eastAsia="仿宋" w:cs="仿宋"/>
          <w:spacing w:val="18"/>
          <w:sz w:val="31"/>
          <w:szCs w:val="31"/>
        </w:rPr>
        <w:t>目预算安排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是否合理。</w:t>
      </w:r>
    </w:p>
    <w:p w14:paraId="49198211">
      <w:pPr>
        <w:spacing w:before="69" w:line="369" w:lineRule="auto"/>
        <w:ind w:left="50" w:right="193" w:firstLine="67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通过对比中共曲阳县委办公室、曲阳县人民政府办公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室《关于印发曲阳县住房和城乡建设局职能配置、内设机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6"/>
          <w:sz w:val="31"/>
          <w:szCs w:val="31"/>
        </w:rPr>
        <w:t>构和人员编制规定》的通知(曲办字[2019]41号)和我部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门2020年预算文本—部门职责工作活动绩效目标，评价工</w:t>
      </w:r>
      <w:r>
        <w:rPr>
          <w:rFonts w:ascii="仿宋" w:hAnsi="仿宋" w:eastAsia="仿宋" w:cs="仿宋"/>
          <w:spacing w:val="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作组认为我部门职责符合“三定”方案中所</w:t>
      </w:r>
      <w:r>
        <w:rPr>
          <w:rFonts w:ascii="仿宋" w:hAnsi="仿宋" w:eastAsia="仿宋" w:cs="仿宋"/>
          <w:spacing w:val="15"/>
          <w:sz w:val="31"/>
          <w:szCs w:val="31"/>
        </w:rPr>
        <w:t>赋予的职责，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绩效目标设立依据充分，符合客观实际，与部门职责、工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作规划和重点工作相关，工作活动和项目预算安排合理。</w:t>
      </w:r>
    </w:p>
    <w:p w14:paraId="22CC254F">
      <w:pPr>
        <w:spacing w:before="5" w:line="222" w:lineRule="auto"/>
        <w:ind w:left="69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sz w:val="31"/>
          <w:szCs w:val="31"/>
        </w:rPr>
        <w:t>该指标实际得分2分。</w:t>
      </w:r>
    </w:p>
    <w:p w14:paraId="1AB21EEB">
      <w:pPr>
        <w:spacing w:before="243" w:line="220" w:lineRule="auto"/>
        <w:ind w:left="79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6"/>
          <w:sz w:val="31"/>
          <w:szCs w:val="31"/>
        </w:rPr>
        <w:t>(2)绩效目标科学性(2分)</w:t>
      </w:r>
    </w:p>
    <w:p w14:paraId="16753439">
      <w:pPr>
        <w:spacing w:before="261" w:line="369" w:lineRule="auto"/>
        <w:ind w:right="291" w:firstLine="66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sz w:val="31"/>
          <w:szCs w:val="31"/>
        </w:rPr>
        <w:t>该指标主要评价预算批复的部门年度发展规划目标和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部门职责分类绩效目标是否充分，是否与部门履职、年度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工作任务相符；工作活动是否有明确的绩效目标，绩效目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标是否与部门职责目标、部门年度工作目标一致，是否能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体现工作活动的产出和效果。</w:t>
      </w:r>
    </w:p>
    <w:p w14:paraId="5BDEFED7">
      <w:pPr>
        <w:spacing w:line="369" w:lineRule="auto"/>
        <w:rPr>
          <w:rFonts w:ascii="仿宋" w:hAnsi="仿宋" w:eastAsia="仿宋" w:cs="仿宋"/>
          <w:sz w:val="31"/>
          <w:szCs w:val="31"/>
        </w:rPr>
        <w:sectPr>
          <w:headerReference r:id="rId41" w:type="default"/>
          <w:footerReference r:id="rId42" w:type="default"/>
          <w:pgSz w:w="11900" w:h="16820"/>
          <w:pgMar w:top="1010" w:right="1785" w:bottom="1401" w:left="1609" w:header="990" w:footer="1257" w:gutter="0"/>
          <w:cols w:space="720" w:num="1"/>
        </w:sectPr>
      </w:pPr>
    </w:p>
    <w:p w14:paraId="703F9CCA">
      <w:pPr>
        <w:pStyle w:val="2"/>
        <w:spacing w:line="419" w:lineRule="auto"/>
      </w:pPr>
    </w:p>
    <w:p w14:paraId="068FE5C4">
      <w:pPr>
        <w:spacing w:before="97" w:line="381" w:lineRule="auto"/>
        <w:ind w:left="160" w:right="106" w:firstLine="689"/>
        <w:jc w:val="both"/>
        <w:rPr>
          <w:rFonts w:ascii="仿宋" w:hAnsi="仿宋" w:eastAsia="仿宋" w:cs="仿宋"/>
          <w:sz w:val="30"/>
          <w:szCs w:val="30"/>
        </w:rPr>
      </w:pPr>
      <w:bookmarkStart w:id="32" w:name="bookmark37"/>
      <w:bookmarkEnd w:id="32"/>
      <w:r>
        <w:rPr>
          <w:rFonts w:ascii="仿宋" w:hAnsi="仿宋" w:eastAsia="仿宋" w:cs="仿宋"/>
          <w:spacing w:val="20"/>
          <w:sz w:val="30"/>
          <w:szCs w:val="30"/>
        </w:rPr>
        <w:t>根据我部门2020 年预算文本—部门职责工作活动绩效</w:t>
      </w:r>
      <w:r>
        <w:rPr>
          <w:rFonts w:ascii="仿宋" w:hAnsi="仿宋" w:eastAsia="仿宋" w:cs="仿宋"/>
          <w:spacing w:val="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9"/>
          <w:sz w:val="30"/>
          <w:szCs w:val="30"/>
        </w:rPr>
        <w:t>目标，绩效目标与部门履职、年度工作任务相符；工作活</w:t>
      </w:r>
      <w:r>
        <w:rPr>
          <w:rFonts w:ascii="仿宋" w:hAnsi="仿宋" w:eastAsia="仿宋" w:cs="仿宋"/>
          <w:spacing w:val="1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8"/>
          <w:sz w:val="30"/>
          <w:szCs w:val="30"/>
        </w:rPr>
        <w:t>动有明确的绩效目标，绩效目标与部门职责目标、部门年</w:t>
      </w:r>
      <w:r>
        <w:rPr>
          <w:rFonts w:ascii="仿宋" w:hAnsi="仿宋" w:eastAsia="仿宋" w:cs="仿宋"/>
          <w:spacing w:val="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度工作目标一致。</w:t>
      </w:r>
    </w:p>
    <w:p w14:paraId="149D4DCC">
      <w:pPr>
        <w:spacing w:before="14" w:line="222" w:lineRule="auto"/>
        <w:ind w:left="79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5"/>
          <w:sz w:val="30"/>
          <w:szCs w:val="30"/>
        </w:rPr>
        <w:t>该项指标实际得分2分。</w:t>
      </w:r>
    </w:p>
    <w:p w14:paraId="70D7CDF1">
      <w:pPr>
        <w:spacing w:before="275" w:line="220" w:lineRule="auto"/>
        <w:ind w:left="92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44"/>
          <w:sz w:val="30"/>
          <w:szCs w:val="30"/>
        </w:rPr>
        <w:t>(3)绩效目标明确性(2分)</w:t>
      </w:r>
    </w:p>
    <w:p w14:paraId="466FB122">
      <w:pPr>
        <w:spacing w:before="244" w:line="358" w:lineRule="auto"/>
        <w:ind w:left="110" w:right="189" w:firstLine="66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9"/>
          <w:sz w:val="32"/>
          <w:szCs w:val="32"/>
        </w:rPr>
        <w:t>该指标主要评价是否将部门整体的绩效目标细</w:t>
      </w:r>
      <w:r>
        <w:rPr>
          <w:rFonts w:ascii="仿宋" w:hAnsi="仿宋" w:eastAsia="仿宋" w:cs="仿宋"/>
          <w:spacing w:val="8"/>
          <w:sz w:val="32"/>
          <w:szCs w:val="32"/>
        </w:rPr>
        <w:t>化分解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9"/>
          <w:sz w:val="32"/>
          <w:szCs w:val="32"/>
        </w:rPr>
        <w:t>为具体的工作任务，工作活动、预算项目绩效指标是否清</w:t>
      </w:r>
      <w:r>
        <w:rPr>
          <w:rFonts w:ascii="仿宋" w:hAnsi="仿宋" w:eastAsia="仿宋" w:cs="仿宋"/>
          <w:spacing w:val="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8"/>
          <w:sz w:val="32"/>
          <w:szCs w:val="32"/>
        </w:rPr>
        <w:t>晰、细化、可评价、可衡量；工作活动、预算</w:t>
      </w:r>
      <w:r>
        <w:rPr>
          <w:rFonts w:ascii="仿宋" w:hAnsi="仿宋" w:eastAsia="仿宋" w:cs="仿宋"/>
          <w:spacing w:val="7"/>
          <w:sz w:val="32"/>
          <w:szCs w:val="32"/>
        </w:rPr>
        <w:t>项目绩效指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9"/>
          <w:sz w:val="32"/>
          <w:szCs w:val="32"/>
        </w:rPr>
        <w:t>标的评价标准是否清晰、可衡量；是否与部门年度的任务</w:t>
      </w:r>
      <w:r>
        <w:rPr>
          <w:rFonts w:ascii="仿宋" w:hAnsi="仿宋" w:eastAsia="仿宋" w:cs="仿宋"/>
          <w:spacing w:val="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>数或计划数相对应。</w:t>
      </w:r>
    </w:p>
    <w:p w14:paraId="3DB1045C">
      <w:pPr>
        <w:spacing w:before="16" w:line="372" w:lineRule="auto"/>
        <w:ind w:left="110" w:right="236" w:firstLine="59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0"/>
          <w:sz w:val="30"/>
          <w:szCs w:val="30"/>
        </w:rPr>
        <w:t>根据我部门2020 年预算文本—部门职责工作活动绩效</w:t>
      </w:r>
      <w:r>
        <w:rPr>
          <w:rFonts w:ascii="仿宋" w:hAnsi="仿宋" w:eastAsia="仿宋" w:cs="仿宋"/>
          <w:spacing w:val="1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目标.</w:t>
      </w:r>
    </w:p>
    <w:p w14:paraId="4802DE32">
      <w:pPr>
        <w:spacing w:before="44" w:line="222" w:lineRule="auto"/>
        <w:ind w:left="71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5"/>
          <w:sz w:val="30"/>
          <w:szCs w:val="30"/>
        </w:rPr>
        <w:t>该指标实际得分1分。</w:t>
      </w:r>
    </w:p>
    <w:p w14:paraId="6688CA5B">
      <w:pPr>
        <w:spacing w:before="233" w:line="222" w:lineRule="auto"/>
        <w:ind w:left="714"/>
        <w:rPr>
          <w:rFonts w:ascii="仿宋" w:hAnsi="仿宋" w:eastAsia="仿宋" w:cs="仿宋"/>
          <w:sz w:val="32"/>
          <w:szCs w:val="32"/>
        </w:rPr>
      </w:pPr>
      <w:r>
        <w:rPr>
          <w:rFonts w:ascii="宋体" w:hAnsi="宋体" w:eastAsia="宋体" w:cs="宋体"/>
          <w:b/>
          <w:bCs/>
          <w:spacing w:val="23"/>
          <w:sz w:val="32"/>
          <w:szCs w:val="32"/>
        </w:rPr>
        <w:t>2.</w:t>
      </w:r>
      <w:r>
        <w:rPr>
          <w:rFonts w:ascii="仿宋" w:hAnsi="仿宋" w:eastAsia="仿宋" w:cs="仿宋"/>
          <w:b/>
          <w:bCs/>
          <w:spacing w:val="23"/>
          <w:sz w:val="32"/>
          <w:szCs w:val="32"/>
        </w:rPr>
        <w:t>预算配置(6分)</w:t>
      </w:r>
    </w:p>
    <w:p w14:paraId="309C5CD8">
      <w:pPr>
        <w:spacing w:before="258" w:line="220" w:lineRule="auto"/>
        <w:ind w:left="85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29"/>
          <w:sz w:val="32"/>
          <w:szCs w:val="32"/>
        </w:rPr>
        <w:t>(1)预算编制完整性(2分)</w:t>
      </w:r>
    </w:p>
    <w:p w14:paraId="6BD9264C">
      <w:pPr>
        <w:spacing w:before="240" w:line="382" w:lineRule="auto"/>
        <w:ind w:right="282" w:firstLine="68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44"/>
          <w:sz w:val="30"/>
          <w:szCs w:val="30"/>
        </w:rPr>
        <w:t>该指标主要评价部门所有收入是否全部纳入部门预</w:t>
      </w:r>
      <w:r>
        <w:rPr>
          <w:rFonts w:ascii="仿宋" w:hAnsi="仿宋" w:eastAsia="仿宋" w:cs="仿宋"/>
          <w:spacing w:val="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8"/>
          <w:sz w:val="30"/>
          <w:szCs w:val="30"/>
        </w:rPr>
        <w:t>算，部门支出预算是否统筹各类支出，按基本支出、项目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支出分别编制。</w:t>
      </w:r>
    </w:p>
    <w:p w14:paraId="7E2A484B">
      <w:pPr>
        <w:spacing w:before="33" w:line="377" w:lineRule="auto"/>
        <w:ind w:right="316" w:firstLine="649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0"/>
          <w:sz w:val="30"/>
          <w:szCs w:val="30"/>
        </w:rPr>
        <w:t>根据我部门2020 年预算文本及相关会计资料，</w:t>
      </w:r>
      <w:r>
        <w:rPr>
          <w:rFonts w:ascii="仿宋" w:hAnsi="仿宋" w:eastAsia="仿宋" w:cs="仿宋"/>
          <w:spacing w:val="19"/>
          <w:sz w:val="30"/>
          <w:szCs w:val="30"/>
        </w:rPr>
        <w:t>所有收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6"/>
          <w:sz w:val="30"/>
          <w:szCs w:val="30"/>
        </w:rPr>
        <w:t>入均已纳入部门预算，部门支出按基本支出、项目支出分</w:t>
      </w:r>
      <w:r>
        <w:rPr>
          <w:rFonts w:ascii="仿宋" w:hAnsi="仿宋" w:eastAsia="仿宋" w:cs="仿宋"/>
          <w:spacing w:val="1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别编制。</w:t>
      </w:r>
    </w:p>
    <w:p w14:paraId="7D5DD6A3">
      <w:pPr>
        <w:spacing w:line="377" w:lineRule="auto"/>
        <w:rPr>
          <w:rFonts w:ascii="仿宋" w:hAnsi="仿宋" w:eastAsia="仿宋" w:cs="仿宋"/>
          <w:sz w:val="30"/>
          <w:szCs w:val="30"/>
        </w:rPr>
        <w:sectPr>
          <w:headerReference r:id="rId43" w:type="default"/>
          <w:footerReference r:id="rId44" w:type="default"/>
          <w:pgSz w:w="11900" w:h="16820"/>
          <w:pgMar w:top="1080" w:right="1785" w:bottom="1334" w:left="1579" w:header="1059" w:footer="1199" w:gutter="0"/>
          <w:cols w:space="720" w:num="1"/>
        </w:sectPr>
      </w:pPr>
    </w:p>
    <w:p w14:paraId="0A50CD20">
      <w:pPr>
        <w:pStyle w:val="2"/>
        <w:spacing w:line="407" w:lineRule="auto"/>
      </w:pPr>
    </w:p>
    <w:p w14:paraId="39861A38">
      <w:pPr>
        <w:spacing w:before="101" w:line="222" w:lineRule="auto"/>
        <w:ind w:left="86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6"/>
          <w:sz w:val="31"/>
          <w:szCs w:val="31"/>
        </w:rPr>
        <w:t>该指标实际得分2分。</w:t>
      </w:r>
    </w:p>
    <w:p w14:paraId="646B25B5">
      <w:pPr>
        <w:spacing w:before="254" w:line="222" w:lineRule="auto"/>
        <w:ind w:left="98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7"/>
          <w:sz w:val="31"/>
          <w:szCs w:val="31"/>
        </w:rPr>
        <w:t>(2)项目预算细化率(2分)</w:t>
      </w:r>
    </w:p>
    <w:p w14:paraId="047D7CC8">
      <w:pPr>
        <w:spacing w:before="248" w:line="369" w:lineRule="auto"/>
        <w:ind w:left="154" w:right="99" w:firstLine="67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该指标主要评价编报的项目支出是否细化到具体用款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单位和项目的资金额度，通过项目预算细化率衡量。</w:t>
      </w:r>
    </w:p>
    <w:p w14:paraId="0A5EE67C">
      <w:pPr>
        <w:spacing w:line="366" w:lineRule="auto"/>
        <w:ind w:left="154" w:right="148" w:firstLine="6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sz w:val="31"/>
          <w:szCs w:val="31"/>
        </w:rPr>
        <w:t>项目预算细化率=细化的项目金额/实际编报的项</w:t>
      </w:r>
      <w:r>
        <w:rPr>
          <w:rFonts w:ascii="仿宋" w:hAnsi="仿宋" w:eastAsia="仿宋" w:cs="仿宋"/>
          <w:spacing w:val="17"/>
          <w:sz w:val="31"/>
          <w:szCs w:val="31"/>
        </w:rPr>
        <w:t>目金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额×100%。</w:t>
      </w:r>
    </w:p>
    <w:p w14:paraId="41AEF53A">
      <w:pPr>
        <w:spacing w:before="10" w:line="370" w:lineRule="auto"/>
        <w:ind w:left="105" w:right="187" w:firstLine="68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根据我部门2020 年预算文本—部门项目</w:t>
      </w:r>
      <w:r>
        <w:rPr>
          <w:rFonts w:ascii="仿宋" w:hAnsi="仿宋" w:eastAsia="仿宋" w:cs="仿宋"/>
          <w:spacing w:val="8"/>
          <w:sz w:val="31"/>
          <w:szCs w:val="31"/>
        </w:rPr>
        <w:t>支出预算表，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5"/>
          <w:sz w:val="31"/>
          <w:szCs w:val="31"/>
        </w:rPr>
        <w:t>2020年预算项目共57个，涉及资金30719.82万元，所有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项目均细化到具体用款单位及项目资金额度。项</w:t>
      </w:r>
      <w:r>
        <w:rPr>
          <w:rFonts w:ascii="仿宋" w:hAnsi="仿宋" w:eastAsia="仿宋" w:cs="仿宋"/>
          <w:spacing w:val="18"/>
          <w:sz w:val="31"/>
          <w:szCs w:val="31"/>
        </w:rPr>
        <w:t>目预算细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化率=(30719.82/30719.82</w:t>
      </w:r>
      <w:r>
        <w:rPr>
          <w:rFonts w:ascii="仿宋" w:hAnsi="仿宋" w:eastAsia="仿宋" w:cs="仿宋"/>
          <w:spacing w:val="13"/>
          <w:sz w:val="31"/>
          <w:szCs w:val="31"/>
        </w:rPr>
        <w:t>)*100%=100%</w:t>
      </w:r>
    </w:p>
    <w:p w14:paraId="190D372F">
      <w:pPr>
        <w:spacing w:before="7" w:line="222" w:lineRule="auto"/>
        <w:ind w:left="76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6"/>
          <w:sz w:val="31"/>
          <w:szCs w:val="31"/>
        </w:rPr>
        <w:t>该指标实际得分2分。</w:t>
      </w:r>
    </w:p>
    <w:p w14:paraId="72388834">
      <w:pPr>
        <w:spacing w:before="252" w:line="219" w:lineRule="auto"/>
        <w:ind w:left="88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7"/>
          <w:sz w:val="31"/>
          <w:szCs w:val="31"/>
        </w:rPr>
        <w:t>(3)在职人员控制率(2分)</w:t>
      </w:r>
    </w:p>
    <w:p w14:paraId="0252F3C0">
      <w:pPr>
        <w:spacing w:before="271" w:line="351" w:lineRule="auto"/>
        <w:ind w:left="75" w:right="220" w:firstLine="65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sz w:val="31"/>
          <w:szCs w:val="31"/>
        </w:rPr>
        <w:t>该指标主要考核截至2020 年底我部门在职人员控制情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况，通过在职人员控制率衡量。</w:t>
      </w:r>
    </w:p>
    <w:p w14:paraId="330EC6F6">
      <w:pPr>
        <w:spacing w:before="73" w:line="219" w:lineRule="auto"/>
        <w:ind w:left="69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在职人员控制率=决算在职人员/编制数×100%。</w:t>
      </w:r>
    </w:p>
    <w:p w14:paraId="52519779">
      <w:pPr>
        <w:spacing w:before="235" w:line="370" w:lineRule="auto"/>
        <w:ind w:right="240" w:firstLine="70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4"/>
          <w:sz w:val="31"/>
          <w:szCs w:val="31"/>
        </w:rPr>
        <w:t>根据中共曲阳县委办公室、曲阳县人民政府办公室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《关于印发曲阳县住房和城乡建设局职能配置、内设机构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2"/>
          <w:sz w:val="31"/>
          <w:szCs w:val="31"/>
        </w:rPr>
        <w:t>和人员编制规定》的通知(曲办字[2019]41</w:t>
      </w:r>
      <w:r>
        <w:rPr>
          <w:rFonts w:ascii="仿宋" w:hAnsi="仿宋" w:eastAsia="仿宋" w:cs="仿宋"/>
          <w:spacing w:val="-2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2"/>
          <w:sz w:val="31"/>
          <w:szCs w:val="31"/>
        </w:rPr>
        <w:t>号)文件，我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部门人员编制为186</w:t>
      </w:r>
      <w:r>
        <w:rPr>
          <w:rFonts w:ascii="仿宋" w:hAnsi="仿宋" w:eastAsia="仿宋" w:cs="仿宋"/>
          <w:spacing w:val="-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人，根据2020 年决算文本-部门基本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2"/>
          <w:sz w:val="31"/>
          <w:szCs w:val="31"/>
        </w:rPr>
        <w:t>情况表，截至2020年底，在职人员186人，在职人员控制</w:t>
      </w:r>
      <w:r>
        <w:rPr>
          <w:rFonts w:ascii="仿宋" w:hAnsi="仿宋" w:eastAsia="仿宋" w:cs="仿宋"/>
          <w:spacing w:val="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率=(186/186)*100%=100%。</w:t>
      </w:r>
    </w:p>
    <w:p w14:paraId="08FD23B7">
      <w:pPr>
        <w:spacing w:before="14" w:line="222" w:lineRule="auto"/>
        <w:ind w:left="66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6"/>
          <w:sz w:val="31"/>
          <w:szCs w:val="31"/>
        </w:rPr>
        <w:t>该指标实际得分2分。</w:t>
      </w:r>
    </w:p>
    <w:p w14:paraId="7C00869B">
      <w:pPr>
        <w:spacing w:line="222" w:lineRule="auto"/>
        <w:rPr>
          <w:rFonts w:ascii="仿宋" w:hAnsi="仿宋" w:eastAsia="仿宋" w:cs="仿宋"/>
          <w:sz w:val="31"/>
          <w:szCs w:val="31"/>
        </w:rPr>
        <w:sectPr>
          <w:headerReference r:id="rId45" w:type="default"/>
          <w:footerReference r:id="rId46" w:type="default"/>
          <w:pgSz w:w="11900" w:h="16820"/>
          <w:pgMar w:top="1010" w:right="1770" w:bottom="1411" w:left="1615" w:header="990" w:footer="1267" w:gutter="0"/>
          <w:cols w:space="720" w:num="1"/>
        </w:sectPr>
      </w:pPr>
    </w:p>
    <w:p w14:paraId="5AA02EE7">
      <w:pPr>
        <w:pStyle w:val="2"/>
        <w:spacing w:line="389" w:lineRule="auto"/>
      </w:pPr>
    </w:p>
    <w:p w14:paraId="3DB8C439">
      <w:pPr>
        <w:spacing w:before="100" w:line="229" w:lineRule="auto"/>
        <w:ind w:left="1054"/>
        <w:outlineLvl w:val="1"/>
        <w:rPr>
          <w:rFonts w:ascii="楷体" w:hAnsi="楷体" w:eastAsia="楷体" w:cs="楷体"/>
          <w:sz w:val="31"/>
          <w:szCs w:val="31"/>
        </w:rPr>
      </w:pPr>
      <w:bookmarkStart w:id="33" w:name="bookmark22"/>
      <w:bookmarkEnd w:id="33"/>
      <w:r>
        <w:rPr>
          <w:rFonts w:ascii="楷体" w:hAnsi="楷体" w:eastAsia="楷体" w:cs="楷体"/>
          <w:b/>
          <w:bCs/>
          <w:spacing w:val="45"/>
          <w:sz w:val="31"/>
          <w:szCs w:val="31"/>
        </w:rPr>
        <w:t>(二)过程(48分)</w:t>
      </w:r>
    </w:p>
    <w:p w14:paraId="4E3F936C">
      <w:pPr>
        <w:spacing w:before="270" w:line="363" w:lineRule="auto"/>
        <w:ind w:left="200" w:right="98" w:firstLine="66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该一级指标包含预算执行、预算管理和绩效评价三个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二级指标，主要反映预算调整、收入支出完成情况，“三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公”经费、政府采购执行情况，财务管理是否规范、资金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使用是否合规，决算真实性。</w:t>
      </w:r>
    </w:p>
    <w:p w14:paraId="64E46000">
      <w:pPr>
        <w:spacing w:before="62" w:line="219" w:lineRule="auto"/>
        <w:ind w:left="226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2"/>
          <w:sz w:val="31"/>
          <w:szCs w:val="31"/>
        </w:rPr>
        <w:t>表</w:t>
      </w:r>
      <w:r>
        <w:rPr>
          <w:rFonts w:ascii="宋体" w:hAnsi="宋体" w:eastAsia="宋体" w:cs="宋体"/>
          <w:spacing w:val="-43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pacing w:val="2"/>
          <w:sz w:val="31"/>
          <w:szCs w:val="31"/>
        </w:rPr>
        <w:t>3</w:t>
      </w:r>
      <w:r>
        <w:rPr>
          <w:rFonts w:ascii="宋体" w:hAnsi="宋体" w:eastAsia="宋体" w:cs="宋体"/>
          <w:spacing w:val="2"/>
          <w:sz w:val="31"/>
          <w:szCs w:val="31"/>
        </w:rPr>
        <w:t xml:space="preserve">  </w:t>
      </w:r>
      <w:r>
        <w:rPr>
          <w:rFonts w:ascii="宋体" w:hAnsi="宋体" w:eastAsia="宋体" w:cs="宋体"/>
          <w:b/>
          <w:bCs/>
          <w:spacing w:val="2"/>
          <w:sz w:val="31"/>
          <w:szCs w:val="31"/>
        </w:rPr>
        <w:t>过程指标及得分情况表</w:t>
      </w:r>
    </w:p>
    <w:p w14:paraId="394E382B">
      <w:pPr>
        <w:spacing w:line="179" w:lineRule="exact"/>
      </w:pPr>
    </w:p>
    <w:tbl>
      <w:tblPr>
        <w:tblStyle w:val="5"/>
        <w:tblW w:w="7569" w:type="dxa"/>
        <w:tblInd w:w="42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53"/>
        <w:gridCol w:w="1368"/>
        <w:gridCol w:w="2247"/>
        <w:gridCol w:w="1138"/>
        <w:gridCol w:w="1263"/>
      </w:tblGrid>
      <w:tr w14:paraId="7E40B6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553" w:type="dxa"/>
            <w:vAlign w:val="top"/>
          </w:tcPr>
          <w:p w14:paraId="5313FF36">
            <w:pPr>
              <w:pStyle w:val="6"/>
              <w:spacing w:before="101" w:line="220" w:lineRule="auto"/>
              <w:ind w:left="347"/>
              <w:rPr>
                <w:sz w:val="21"/>
                <w:szCs w:val="21"/>
              </w:rPr>
            </w:pPr>
            <w:r>
              <w:rPr>
                <w:b/>
                <w:bCs/>
                <w:spacing w:val="-6"/>
                <w:sz w:val="21"/>
                <w:szCs w:val="21"/>
              </w:rPr>
              <w:t>一级指标</w:t>
            </w:r>
          </w:p>
        </w:tc>
        <w:tc>
          <w:tcPr>
            <w:tcW w:w="1368" w:type="dxa"/>
            <w:vAlign w:val="top"/>
          </w:tcPr>
          <w:p w14:paraId="0ABC0C1D">
            <w:pPr>
              <w:pStyle w:val="6"/>
              <w:spacing w:before="101" w:line="220" w:lineRule="auto"/>
              <w:ind w:left="254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二级指标</w:t>
            </w:r>
          </w:p>
        </w:tc>
        <w:tc>
          <w:tcPr>
            <w:tcW w:w="2247" w:type="dxa"/>
            <w:vAlign w:val="top"/>
          </w:tcPr>
          <w:p w14:paraId="74D947CB">
            <w:pPr>
              <w:pStyle w:val="6"/>
              <w:spacing w:before="101" w:line="220" w:lineRule="auto"/>
              <w:ind w:left="696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三级指标</w:t>
            </w:r>
          </w:p>
        </w:tc>
        <w:tc>
          <w:tcPr>
            <w:tcW w:w="1138" w:type="dxa"/>
            <w:vAlign w:val="top"/>
          </w:tcPr>
          <w:p w14:paraId="0428397C">
            <w:pPr>
              <w:pStyle w:val="6"/>
              <w:spacing w:before="100" w:line="219" w:lineRule="auto"/>
              <w:ind w:left="150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分数权重</w:t>
            </w:r>
          </w:p>
        </w:tc>
        <w:tc>
          <w:tcPr>
            <w:tcW w:w="1263" w:type="dxa"/>
            <w:vAlign w:val="top"/>
          </w:tcPr>
          <w:p w14:paraId="0A6984AF">
            <w:pPr>
              <w:pStyle w:val="6"/>
              <w:spacing w:before="100" w:line="219" w:lineRule="auto"/>
              <w:ind w:left="421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得分</w:t>
            </w:r>
          </w:p>
        </w:tc>
      </w:tr>
      <w:tr w14:paraId="632B79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1553" w:type="dxa"/>
            <w:vMerge w:val="restart"/>
            <w:tcBorders>
              <w:bottom w:val="nil"/>
            </w:tcBorders>
            <w:vAlign w:val="top"/>
          </w:tcPr>
          <w:p w14:paraId="7636187F">
            <w:pPr>
              <w:spacing w:line="252" w:lineRule="auto"/>
              <w:rPr>
                <w:rFonts w:ascii="Arial"/>
                <w:sz w:val="21"/>
              </w:rPr>
            </w:pPr>
          </w:p>
          <w:p w14:paraId="64558DC3">
            <w:pPr>
              <w:spacing w:line="252" w:lineRule="auto"/>
              <w:rPr>
                <w:rFonts w:ascii="Arial"/>
                <w:sz w:val="21"/>
              </w:rPr>
            </w:pPr>
          </w:p>
          <w:p w14:paraId="578BCD85">
            <w:pPr>
              <w:spacing w:line="252" w:lineRule="auto"/>
              <w:rPr>
                <w:rFonts w:ascii="Arial"/>
                <w:sz w:val="21"/>
              </w:rPr>
            </w:pPr>
          </w:p>
          <w:p w14:paraId="7DDB40F5">
            <w:pPr>
              <w:spacing w:line="252" w:lineRule="auto"/>
              <w:rPr>
                <w:rFonts w:ascii="Arial"/>
                <w:sz w:val="21"/>
              </w:rPr>
            </w:pPr>
          </w:p>
          <w:p w14:paraId="5142CF2F">
            <w:pPr>
              <w:spacing w:line="252" w:lineRule="auto"/>
              <w:rPr>
                <w:rFonts w:ascii="Arial"/>
                <w:sz w:val="21"/>
              </w:rPr>
            </w:pPr>
          </w:p>
          <w:p w14:paraId="5DAA2440">
            <w:pPr>
              <w:spacing w:line="252" w:lineRule="auto"/>
              <w:rPr>
                <w:rFonts w:ascii="Arial"/>
                <w:sz w:val="21"/>
              </w:rPr>
            </w:pPr>
          </w:p>
          <w:p w14:paraId="0E5AF23B">
            <w:pPr>
              <w:spacing w:line="252" w:lineRule="auto"/>
              <w:rPr>
                <w:rFonts w:ascii="Arial"/>
                <w:sz w:val="21"/>
              </w:rPr>
            </w:pPr>
          </w:p>
          <w:p w14:paraId="63053EFA">
            <w:pPr>
              <w:spacing w:line="252" w:lineRule="auto"/>
              <w:rPr>
                <w:rFonts w:ascii="Arial"/>
                <w:sz w:val="21"/>
              </w:rPr>
            </w:pPr>
          </w:p>
          <w:p w14:paraId="13E4F29B">
            <w:pPr>
              <w:spacing w:line="253" w:lineRule="auto"/>
              <w:rPr>
                <w:rFonts w:ascii="Arial"/>
                <w:sz w:val="21"/>
              </w:rPr>
            </w:pPr>
          </w:p>
          <w:p w14:paraId="5A915265">
            <w:pPr>
              <w:spacing w:line="253" w:lineRule="auto"/>
              <w:rPr>
                <w:rFonts w:ascii="Arial"/>
                <w:sz w:val="21"/>
              </w:rPr>
            </w:pPr>
          </w:p>
          <w:p w14:paraId="5FB0C9EB">
            <w:pPr>
              <w:spacing w:line="253" w:lineRule="auto"/>
              <w:rPr>
                <w:rFonts w:ascii="Arial"/>
                <w:sz w:val="21"/>
              </w:rPr>
            </w:pPr>
          </w:p>
          <w:p w14:paraId="6B95AFDE">
            <w:pPr>
              <w:pStyle w:val="6"/>
              <w:spacing w:before="68" w:line="220" w:lineRule="auto"/>
              <w:ind w:left="245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</w:rPr>
              <w:t>过程(48分)</w:t>
            </w:r>
          </w:p>
        </w:tc>
        <w:tc>
          <w:tcPr>
            <w:tcW w:w="1368" w:type="dxa"/>
            <w:vMerge w:val="restart"/>
            <w:tcBorders>
              <w:bottom w:val="nil"/>
            </w:tcBorders>
            <w:vAlign w:val="top"/>
          </w:tcPr>
          <w:p w14:paraId="4DCF92D3">
            <w:pPr>
              <w:spacing w:line="276" w:lineRule="auto"/>
              <w:rPr>
                <w:rFonts w:ascii="Arial"/>
                <w:sz w:val="21"/>
              </w:rPr>
            </w:pPr>
          </w:p>
          <w:p w14:paraId="12092426">
            <w:pPr>
              <w:spacing w:line="276" w:lineRule="auto"/>
              <w:rPr>
                <w:rFonts w:ascii="Arial"/>
                <w:sz w:val="21"/>
              </w:rPr>
            </w:pPr>
          </w:p>
          <w:p w14:paraId="3F73F028">
            <w:pPr>
              <w:spacing w:line="276" w:lineRule="auto"/>
              <w:rPr>
                <w:rFonts w:ascii="Arial"/>
                <w:sz w:val="21"/>
              </w:rPr>
            </w:pPr>
          </w:p>
          <w:p w14:paraId="77EBE75D">
            <w:pPr>
              <w:spacing w:line="276" w:lineRule="auto"/>
              <w:rPr>
                <w:rFonts w:ascii="Arial"/>
                <w:sz w:val="21"/>
              </w:rPr>
            </w:pPr>
          </w:p>
          <w:p w14:paraId="521E5D54">
            <w:pPr>
              <w:pStyle w:val="6"/>
              <w:spacing w:before="68" w:line="219" w:lineRule="auto"/>
              <w:ind w:left="251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预算执行</w:t>
            </w:r>
          </w:p>
          <w:p w14:paraId="359C7A8A">
            <w:pPr>
              <w:spacing w:line="301" w:lineRule="auto"/>
              <w:rPr>
                <w:rFonts w:ascii="Arial"/>
                <w:sz w:val="21"/>
              </w:rPr>
            </w:pPr>
          </w:p>
          <w:p w14:paraId="3275C2F1">
            <w:pPr>
              <w:pStyle w:val="6"/>
              <w:spacing w:before="68" w:line="220" w:lineRule="auto"/>
              <w:ind w:left="361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</w:rPr>
              <w:t>(24分)</w:t>
            </w:r>
          </w:p>
        </w:tc>
        <w:tc>
          <w:tcPr>
            <w:tcW w:w="2247" w:type="dxa"/>
            <w:vAlign w:val="top"/>
          </w:tcPr>
          <w:p w14:paraId="4D41258E">
            <w:pPr>
              <w:pStyle w:val="6"/>
              <w:spacing w:before="169" w:line="202" w:lineRule="auto"/>
              <w:ind w:left="383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预算收入调整率</w:t>
            </w:r>
          </w:p>
        </w:tc>
        <w:tc>
          <w:tcPr>
            <w:tcW w:w="1138" w:type="dxa"/>
            <w:vAlign w:val="top"/>
          </w:tcPr>
          <w:p w14:paraId="51D61475">
            <w:pPr>
              <w:pStyle w:val="6"/>
              <w:spacing w:before="190" w:line="183" w:lineRule="auto"/>
              <w:ind w:left="50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263" w:type="dxa"/>
            <w:vAlign w:val="top"/>
          </w:tcPr>
          <w:p w14:paraId="7867DBBC">
            <w:pPr>
              <w:pStyle w:val="6"/>
              <w:spacing w:before="190" w:line="183" w:lineRule="auto"/>
              <w:ind w:left="56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14:paraId="60DC26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1553" w:type="dxa"/>
            <w:vMerge w:val="continue"/>
            <w:tcBorders>
              <w:top w:val="nil"/>
              <w:bottom w:val="nil"/>
            </w:tcBorders>
            <w:vAlign w:val="top"/>
          </w:tcPr>
          <w:p w14:paraId="7E5BA5C6">
            <w:pPr>
              <w:rPr>
                <w:rFonts w:ascii="Arial"/>
                <w:sz w:val="21"/>
              </w:rPr>
            </w:pPr>
          </w:p>
        </w:tc>
        <w:tc>
          <w:tcPr>
            <w:tcW w:w="1368" w:type="dxa"/>
            <w:vMerge w:val="continue"/>
            <w:tcBorders>
              <w:top w:val="nil"/>
              <w:bottom w:val="nil"/>
            </w:tcBorders>
            <w:vAlign w:val="top"/>
          </w:tcPr>
          <w:p w14:paraId="74401415">
            <w:pPr>
              <w:rPr>
                <w:rFonts w:ascii="Arial"/>
                <w:sz w:val="21"/>
              </w:rPr>
            </w:pPr>
          </w:p>
        </w:tc>
        <w:tc>
          <w:tcPr>
            <w:tcW w:w="2247" w:type="dxa"/>
            <w:vAlign w:val="top"/>
          </w:tcPr>
          <w:p w14:paraId="600D3DB9">
            <w:pPr>
              <w:pStyle w:val="6"/>
              <w:spacing w:before="139" w:line="219" w:lineRule="auto"/>
              <w:ind w:left="594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收入完成率</w:t>
            </w:r>
          </w:p>
        </w:tc>
        <w:tc>
          <w:tcPr>
            <w:tcW w:w="1138" w:type="dxa"/>
            <w:vAlign w:val="top"/>
          </w:tcPr>
          <w:p w14:paraId="38C5A27F">
            <w:pPr>
              <w:pStyle w:val="6"/>
              <w:spacing w:before="181" w:line="182" w:lineRule="auto"/>
              <w:ind w:left="50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1263" w:type="dxa"/>
            <w:vAlign w:val="top"/>
          </w:tcPr>
          <w:p w14:paraId="5584DEBD">
            <w:pPr>
              <w:pStyle w:val="6"/>
              <w:spacing w:before="181" w:line="182" w:lineRule="auto"/>
              <w:ind w:left="56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</w:tr>
      <w:tr w14:paraId="07DCA1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553" w:type="dxa"/>
            <w:vMerge w:val="continue"/>
            <w:tcBorders>
              <w:top w:val="nil"/>
              <w:bottom w:val="nil"/>
            </w:tcBorders>
            <w:vAlign w:val="top"/>
          </w:tcPr>
          <w:p w14:paraId="03CE8508">
            <w:pPr>
              <w:rPr>
                <w:rFonts w:ascii="Arial"/>
                <w:sz w:val="21"/>
              </w:rPr>
            </w:pPr>
          </w:p>
        </w:tc>
        <w:tc>
          <w:tcPr>
            <w:tcW w:w="1368" w:type="dxa"/>
            <w:vMerge w:val="continue"/>
            <w:tcBorders>
              <w:top w:val="nil"/>
              <w:bottom w:val="nil"/>
            </w:tcBorders>
            <w:vAlign w:val="top"/>
          </w:tcPr>
          <w:p w14:paraId="344BA2E3">
            <w:pPr>
              <w:rPr>
                <w:rFonts w:ascii="Arial"/>
                <w:sz w:val="21"/>
              </w:rPr>
            </w:pPr>
          </w:p>
        </w:tc>
        <w:tc>
          <w:tcPr>
            <w:tcW w:w="2247" w:type="dxa"/>
            <w:vAlign w:val="top"/>
          </w:tcPr>
          <w:p w14:paraId="12BD264E">
            <w:pPr>
              <w:pStyle w:val="6"/>
              <w:spacing w:before="140" w:line="219" w:lineRule="auto"/>
              <w:ind w:left="383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预算支出调整率</w:t>
            </w:r>
          </w:p>
        </w:tc>
        <w:tc>
          <w:tcPr>
            <w:tcW w:w="1138" w:type="dxa"/>
            <w:vAlign w:val="top"/>
          </w:tcPr>
          <w:p w14:paraId="35301423">
            <w:pPr>
              <w:pStyle w:val="6"/>
              <w:spacing w:before="182" w:line="182" w:lineRule="auto"/>
              <w:ind w:left="50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263" w:type="dxa"/>
            <w:vAlign w:val="top"/>
          </w:tcPr>
          <w:p w14:paraId="358CCEEC">
            <w:pPr>
              <w:pStyle w:val="6"/>
              <w:spacing w:before="182" w:line="182" w:lineRule="auto"/>
              <w:ind w:left="56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14:paraId="6160A0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1553" w:type="dxa"/>
            <w:vMerge w:val="continue"/>
            <w:tcBorders>
              <w:top w:val="nil"/>
              <w:bottom w:val="nil"/>
            </w:tcBorders>
            <w:vAlign w:val="top"/>
          </w:tcPr>
          <w:p w14:paraId="568BE386">
            <w:pPr>
              <w:rPr>
                <w:rFonts w:ascii="Arial"/>
                <w:sz w:val="21"/>
              </w:rPr>
            </w:pPr>
          </w:p>
        </w:tc>
        <w:tc>
          <w:tcPr>
            <w:tcW w:w="1368" w:type="dxa"/>
            <w:vMerge w:val="continue"/>
            <w:tcBorders>
              <w:top w:val="nil"/>
              <w:bottom w:val="nil"/>
            </w:tcBorders>
            <w:vAlign w:val="top"/>
          </w:tcPr>
          <w:p w14:paraId="0DC0012C">
            <w:pPr>
              <w:rPr>
                <w:rFonts w:ascii="Arial"/>
                <w:sz w:val="21"/>
              </w:rPr>
            </w:pPr>
          </w:p>
        </w:tc>
        <w:tc>
          <w:tcPr>
            <w:tcW w:w="2247" w:type="dxa"/>
            <w:vAlign w:val="top"/>
          </w:tcPr>
          <w:p w14:paraId="708EEFCD">
            <w:pPr>
              <w:pStyle w:val="6"/>
              <w:spacing w:before="121" w:line="219" w:lineRule="auto"/>
              <w:ind w:left="173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财政拨款支出完成率</w:t>
            </w:r>
          </w:p>
        </w:tc>
        <w:tc>
          <w:tcPr>
            <w:tcW w:w="1138" w:type="dxa"/>
            <w:vAlign w:val="top"/>
          </w:tcPr>
          <w:p w14:paraId="111D9A68">
            <w:pPr>
              <w:pStyle w:val="6"/>
              <w:spacing w:before="181" w:line="182" w:lineRule="auto"/>
              <w:ind w:left="50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1263" w:type="dxa"/>
            <w:vAlign w:val="top"/>
          </w:tcPr>
          <w:p w14:paraId="28613CEE">
            <w:pPr>
              <w:pStyle w:val="6"/>
              <w:spacing w:before="181" w:line="182" w:lineRule="auto"/>
              <w:ind w:left="56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</w:tr>
      <w:tr w14:paraId="5CFD75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553" w:type="dxa"/>
            <w:vMerge w:val="continue"/>
            <w:tcBorders>
              <w:top w:val="nil"/>
              <w:bottom w:val="nil"/>
            </w:tcBorders>
            <w:vAlign w:val="top"/>
          </w:tcPr>
          <w:p w14:paraId="4ED5E785">
            <w:pPr>
              <w:rPr>
                <w:rFonts w:ascii="Arial"/>
                <w:sz w:val="21"/>
              </w:rPr>
            </w:pPr>
          </w:p>
        </w:tc>
        <w:tc>
          <w:tcPr>
            <w:tcW w:w="1368" w:type="dxa"/>
            <w:vMerge w:val="continue"/>
            <w:tcBorders>
              <w:top w:val="nil"/>
              <w:bottom w:val="nil"/>
            </w:tcBorders>
            <w:vAlign w:val="top"/>
          </w:tcPr>
          <w:p w14:paraId="471255FE">
            <w:pPr>
              <w:rPr>
                <w:rFonts w:ascii="Arial"/>
                <w:sz w:val="21"/>
              </w:rPr>
            </w:pPr>
          </w:p>
        </w:tc>
        <w:tc>
          <w:tcPr>
            <w:tcW w:w="2247" w:type="dxa"/>
            <w:vAlign w:val="top"/>
          </w:tcPr>
          <w:p w14:paraId="38EC8CB2">
            <w:pPr>
              <w:pStyle w:val="6"/>
              <w:spacing w:before="122" w:line="219" w:lineRule="auto"/>
              <w:ind w:left="68"/>
              <w:rPr>
                <w:sz w:val="21"/>
                <w:szCs w:val="21"/>
              </w:rPr>
            </w:pPr>
            <w:r>
              <w:rPr>
                <w:spacing w:val="12"/>
                <w:sz w:val="21"/>
                <w:szCs w:val="21"/>
              </w:rPr>
              <w:t>“三公经费”控制率</w:t>
            </w:r>
          </w:p>
        </w:tc>
        <w:tc>
          <w:tcPr>
            <w:tcW w:w="1138" w:type="dxa"/>
            <w:vAlign w:val="top"/>
          </w:tcPr>
          <w:p w14:paraId="09D45F8E">
            <w:pPr>
              <w:pStyle w:val="6"/>
              <w:spacing w:before="184" w:line="181" w:lineRule="auto"/>
              <w:ind w:left="50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1263" w:type="dxa"/>
            <w:vAlign w:val="top"/>
          </w:tcPr>
          <w:p w14:paraId="3901E202">
            <w:pPr>
              <w:pStyle w:val="6"/>
              <w:spacing w:before="184" w:line="181" w:lineRule="auto"/>
              <w:ind w:left="56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</w:tr>
      <w:tr w14:paraId="4C393A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1553" w:type="dxa"/>
            <w:vMerge w:val="continue"/>
            <w:tcBorders>
              <w:top w:val="nil"/>
              <w:bottom w:val="nil"/>
            </w:tcBorders>
            <w:vAlign w:val="top"/>
          </w:tcPr>
          <w:p w14:paraId="68997526">
            <w:pPr>
              <w:rPr>
                <w:rFonts w:ascii="Arial"/>
                <w:sz w:val="21"/>
              </w:rPr>
            </w:pPr>
          </w:p>
        </w:tc>
        <w:tc>
          <w:tcPr>
            <w:tcW w:w="1368" w:type="dxa"/>
            <w:vMerge w:val="continue"/>
            <w:tcBorders>
              <w:top w:val="nil"/>
              <w:bottom w:val="nil"/>
            </w:tcBorders>
            <w:vAlign w:val="top"/>
          </w:tcPr>
          <w:p w14:paraId="67500E26">
            <w:pPr>
              <w:rPr>
                <w:rFonts w:ascii="Arial"/>
                <w:sz w:val="21"/>
              </w:rPr>
            </w:pPr>
          </w:p>
        </w:tc>
        <w:tc>
          <w:tcPr>
            <w:tcW w:w="2247" w:type="dxa"/>
            <w:vAlign w:val="top"/>
          </w:tcPr>
          <w:p w14:paraId="45841F49">
            <w:pPr>
              <w:pStyle w:val="6"/>
              <w:spacing w:before="171" w:line="200" w:lineRule="auto"/>
              <w:ind w:left="383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政府采购执行率</w:t>
            </w:r>
          </w:p>
        </w:tc>
        <w:tc>
          <w:tcPr>
            <w:tcW w:w="1138" w:type="dxa"/>
            <w:vAlign w:val="top"/>
          </w:tcPr>
          <w:p w14:paraId="002E59B9">
            <w:pPr>
              <w:pStyle w:val="6"/>
              <w:spacing w:before="193" w:line="181" w:lineRule="auto"/>
              <w:ind w:left="50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1263" w:type="dxa"/>
            <w:vAlign w:val="top"/>
          </w:tcPr>
          <w:p w14:paraId="1A0AC6F6">
            <w:pPr>
              <w:pStyle w:val="6"/>
              <w:spacing w:before="193" w:line="181" w:lineRule="auto"/>
              <w:ind w:left="56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</w:tr>
      <w:tr w14:paraId="299D74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1553" w:type="dxa"/>
            <w:vMerge w:val="continue"/>
            <w:tcBorders>
              <w:top w:val="nil"/>
              <w:bottom w:val="nil"/>
            </w:tcBorders>
            <w:vAlign w:val="top"/>
          </w:tcPr>
          <w:p w14:paraId="51519D35">
            <w:pPr>
              <w:rPr>
                <w:rFonts w:ascii="Arial"/>
                <w:sz w:val="21"/>
              </w:rPr>
            </w:pPr>
          </w:p>
        </w:tc>
        <w:tc>
          <w:tcPr>
            <w:tcW w:w="1368" w:type="dxa"/>
            <w:vMerge w:val="continue"/>
            <w:tcBorders>
              <w:top w:val="nil"/>
              <w:bottom w:val="nil"/>
            </w:tcBorders>
            <w:vAlign w:val="top"/>
          </w:tcPr>
          <w:p w14:paraId="425C61CD">
            <w:pPr>
              <w:rPr>
                <w:rFonts w:ascii="Arial"/>
                <w:sz w:val="21"/>
              </w:rPr>
            </w:pPr>
          </w:p>
        </w:tc>
        <w:tc>
          <w:tcPr>
            <w:tcW w:w="2247" w:type="dxa"/>
            <w:vAlign w:val="top"/>
          </w:tcPr>
          <w:p w14:paraId="7862D009">
            <w:pPr>
              <w:pStyle w:val="6"/>
              <w:spacing w:before="163" w:line="198" w:lineRule="auto"/>
              <w:ind w:left="383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资金使用合规性</w:t>
            </w:r>
          </w:p>
        </w:tc>
        <w:tc>
          <w:tcPr>
            <w:tcW w:w="1138" w:type="dxa"/>
            <w:vAlign w:val="top"/>
          </w:tcPr>
          <w:p w14:paraId="31429BFD">
            <w:pPr>
              <w:pStyle w:val="6"/>
              <w:spacing w:before="184" w:line="180" w:lineRule="auto"/>
              <w:ind w:left="50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1263" w:type="dxa"/>
            <w:vAlign w:val="top"/>
          </w:tcPr>
          <w:p w14:paraId="7FC149A6">
            <w:pPr>
              <w:pStyle w:val="6"/>
              <w:spacing w:before="184" w:line="180" w:lineRule="auto"/>
              <w:ind w:left="56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</w:tr>
      <w:tr w14:paraId="5A20A4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553" w:type="dxa"/>
            <w:vMerge w:val="continue"/>
            <w:tcBorders>
              <w:top w:val="nil"/>
              <w:bottom w:val="nil"/>
            </w:tcBorders>
            <w:vAlign w:val="top"/>
          </w:tcPr>
          <w:p w14:paraId="2EA4FE17">
            <w:pPr>
              <w:rPr>
                <w:rFonts w:ascii="Arial"/>
                <w:sz w:val="21"/>
              </w:rPr>
            </w:pPr>
          </w:p>
        </w:tc>
        <w:tc>
          <w:tcPr>
            <w:tcW w:w="1368" w:type="dxa"/>
            <w:vMerge w:val="continue"/>
            <w:tcBorders>
              <w:top w:val="nil"/>
            </w:tcBorders>
            <w:vAlign w:val="top"/>
          </w:tcPr>
          <w:p w14:paraId="10F1B384">
            <w:pPr>
              <w:rPr>
                <w:rFonts w:ascii="Arial"/>
                <w:sz w:val="21"/>
              </w:rPr>
            </w:pPr>
          </w:p>
        </w:tc>
        <w:tc>
          <w:tcPr>
            <w:tcW w:w="2247" w:type="dxa"/>
            <w:vAlign w:val="top"/>
          </w:tcPr>
          <w:p w14:paraId="5DED1F34">
            <w:pPr>
              <w:pStyle w:val="6"/>
              <w:spacing w:before="164" w:line="198" w:lineRule="auto"/>
              <w:ind w:left="594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决算真实性</w:t>
            </w:r>
          </w:p>
        </w:tc>
        <w:tc>
          <w:tcPr>
            <w:tcW w:w="1138" w:type="dxa"/>
            <w:vAlign w:val="top"/>
          </w:tcPr>
          <w:p w14:paraId="278A2684">
            <w:pPr>
              <w:pStyle w:val="6"/>
              <w:spacing w:before="185" w:line="180" w:lineRule="auto"/>
              <w:ind w:left="50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1263" w:type="dxa"/>
            <w:vAlign w:val="top"/>
          </w:tcPr>
          <w:p w14:paraId="6A31E6F2">
            <w:pPr>
              <w:pStyle w:val="6"/>
              <w:spacing w:before="185" w:line="180" w:lineRule="auto"/>
              <w:ind w:left="56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</w:tr>
      <w:tr w14:paraId="23D645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553" w:type="dxa"/>
            <w:vMerge w:val="continue"/>
            <w:tcBorders>
              <w:top w:val="nil"/>
              <w:bottom w:val="nil"/>
            </w:tcBorders>
            <w:vAlign w:val="top"/>
          </w:tcPr>
          <w:p w14:paraId="75F29472">
            <w:pPr>
              <w:rPr>
                <w:rFonts w:ascii="Arial"/>
                <w:sz w:val="21"/>
              </w:rPr>
            </w:pPr>
          </w:p>
        </w:tc>
        <w:tc>
          <w:tcPr>
            <w:tcW w:w="1368" w:type="dxa"/>
            <w:vMerge w:val="restart"/>
            <w:tcBorders>
              <w:bottom w:val="nil"/>
            </w:tcBorders>
            <w:vAlign w:val="top"/>
          </w:tcPr>
          <w:p w14:paraId="27EDF760">
            <w:pPr>
              <w:spacing w:line="284" w:lineRule="auto"/>
              <w:rPr>
                <w:rFonts w:ascii="Arial"/>
                <w:sz w:val="21"/>
              </w:rPr>
            </w:pPr>
          </w:p>
          <w:p w14:paraId="003B32C2">
            <w:pPr>
              <w:pStyle w:val="6"/>
              <w:spacing w:before="68" w:line="219" w:lineRule="auto"/>
              <w:ind w:left="251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预算管理</w:t>
            </w:r>
          </w:p>
          <w:p w14:paraId="32C40CD3">
            <w:pPr>
              <w:spacing w:line="311" w:lineRule="auto"/>
              <w:rPr>
                <w:rFonts w:ascii="Arial"/>
                <w:sz w:val="21"/>
              </w:rPr>
            </w:pPr>
          </w:p>
          <w:p w14:paraId="65714941">
            <w:pPr>
              <w:pStyle w:val="6"/>
              <w:spacing w:before="68" w:line="220" w:lineRule="auto"/>
              <w:ind w:left="361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</w:rPr>
              <w:t>(16分)</w:t>
            </w:r>
          </w:p>
        </w:tc>
        <w:tc>
          <w:tcPr>
            <w:tcW w:w="2247" w:type="dxa"/>
            <w:vAlign w:val="top"/>
          </w:tcPr>
          <w:p w14:paraId="5AABBC67">
            <w:pPr>
              <w:pStyle w:val="6"/>
              <w:spacing w:before="144" w:line="216" w:lineRule="auto"/>
              <w:ind w:left="383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管理制度健全性</w:t>
            </w:r>
          </w:p>
        </w:tc>
        <w:tc>
          <w:tcPr>
            <w:tcW w:w="1138" w:type="dxa"/>
            <w:vAlign w:val="top"/>
          </w:tcPr>
          <w:p w14:paraId="221B910A">
            <w:pPr>
              <w:pStyle w:val="6"/>
              <w:spacing w:before="185" w:line="180" w:lineRule="auto"/>
              <w:ind w:left="50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1263" w:type="dxa"/>
            <w:vAlign w:val="top"/>
          </w:tcPr>
          <w:p w14:paraId="7F8C0915">
            <w:pPr>
              <w:pStyle w:val="6"/>
              <w:spacing w:before="185" w:line="180" w:lineRule="auto"/>
              <w:ind w:left="56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</w:tr>
      <w:tr w14:paraId="121F99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1553" w:type="dxa"/>
            <w:vMerge w:val="continue"/>
            <w:tcBorders>
              <w:top w:val="nil"/>
              <w:bottom w:val="nil"/>
            </w:tcBorders>
            <w:vAlign w:val="top"/>
          </w:tcPr>
          <w:p w14:paraId="4B509A13">
            <w:pPr>
              <w:rPr>
                <w:rFonts w:ascii="Arial"/>
                <w:sz w:val="21"/>
              </w:rPr>
            </w:pPr>
          </w:p>
        </w:tc>
        <w:tc>
          <w:tcPr>
            <w:tcW w:w="1368" w:type="dxa"/>
            <w:vMerge w:val="continue"/>
            <w:tcBorders>
              <w:top w:val="nil"/>
              <w:bottom w:val="nil"/>
            </w:tcBorders>
            <w:vAlign w:val="top"/>
          </w:tcPr>
          <w:p w14:paraId="7F304334">
            <w:pPr>
              <w:rPr>
                <w:rFonts w:ascii="Arial"/>
                <w:sz w:val="21"/>
              </w:rPr>
            </w:pPr>
          </w:p>
        </w:tc>
        <w:tc>
          <w:tcPr>
            <w:tcW w:w="2247" w:type="dxa"/>
            <w:vAlign w:val="top"/>
          </w:tcPr>
          <w:p w14:paraId="54378BC5">
            <w:pPr>
              <w:pStyle w:val="6"/>
              <w:spacing w:before="163" w:line="198" w:lineRule="auto"/>
              <w:ind w:left="383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预决算信息公开</w:t>
            </w:r>
          </w:p>
        </w:tc>
        <w:tc>
          <w:tcPr>
            <w:tcW w:w="1138" w:type="dxa"/>
            <w:vAlign w:val="top"/>
          </w:tcPr>
          <w:p w14:paraId="597C1F76">
            <w:pPr>
              <w:pStyle w:val="6"/>
              <w:spacing w:before="185" w:line="179" w:lineRule="auto"/>
              <w:ind w:left="50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1263" w:type="dxa"/>
            <w:vAlign w:val="top"/>
          </w:tcPr>
          <w:p w14:paraId="441D7452">
            <w:pPr>
              <w:pStyle w:val="6"/>
              <w:spacing w:before="185" w:line="179" w:lineRule="auto"/>
              <w:ind w:left="56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</w:tr>
      <w:tr w14:paraId="45736B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1553" w:type="dxa"/>
            <w:vMerge w:val="continue"/>
            <w:tcBorders>
              <w:top w:val="nil"/>
              <w:bottom w:val="nil"/>
            </w:tcBorders>
            <w:vAlign w:val="top"/>
          </w:tcPr>
          <w:p w14:paraId="53270CFE">
            <w:pPr>
              <w:rPr>
                <w:rFonts w:ascii="Arial"/>
                <w:sz w:val="21"/>
              </w:rPr>
            </w:pPr>
          </w:p>
        </w:tc>
        <w:tc>
          <w:tcPr>
            <w:tcW w:w="1368" w:type="dxa"/>
            <w:vMerge w:val="continue"/>
            <w:tcBorders>
              <w:top w:val="nil"/>
              <w:bottom w:val="nil"/>
            </w:tcBorders>
            <w:vAlign w:val="top"/>
          </w:tcPr>
          <w:p w14:paraId="18193AB7">
            <w:pPr>
              <w:rPr>
                <w:rFonts w:ascii="Arial"/>
                <w:sz w:val="21"/>
              </w:rPr>
            </w:pPr>
          </w:p>
        </w:tc>
        <w:tc>
          <w:tcPr>
            <w:tcW w:w="2247" w:type="dxa"/>
            <w:vAlign w:val="top"/>
          </w:tcPr>
          <w:p w14:paraId="63538AEC">
            <w:pPr>
              <w:pStyle w:val="6"/>
              <w:spacing w:before="174" w:line="197" w:lineRule="auto"/>
              <w:ind w:left="383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基础信息完善性</w:t>
            </w:r>
          </w:p>
        </w:tc>
        <w:tc>
          <w:tcPr>
            <w:tcW w:w="1138" w:type="dxa"/>
            <w:vAlign w:val="top"/>
          </w:tcPr>
          <w:p w14:paraId="47336368">
            <w:pPr>
              <w:pStyle w:val="6"/>
              <w:spacing w:before="196" w:line="178" w:lineRule="auto"/>
              <w:ind w:left="50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1263" w:type="dxa"/>
            <w:vAlign w:val="top"/>
          </w:tcPr>
          <w:p w14:paraId="700BA456">
            <w:pPr>
              <w:pStyle w:val="6"/>
              <w:spacing w:before="196" w:line="178" w:lineRule="auto"/>
              <w:ind w:left="56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</w:tr>
      <w:tr w14:paraId="7C2FF5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553" w:type="dxa"/>
            <w:vMerge w:val="continue"/>
            <w:tcBorders>
              <w:top w:val="nil"/>
              <w:bottom w:val="nil"/>
            </w:tcBorders>
            <w:vAlign w:val="top"/>
          </w:tcPr>
          <w:p w14:paraId="413F6523">
            <w:pPr>
              <w:rPr>
                <w:rFonts w:ascii="Arial"/>
                <w:sz w:val="21"/>
              </w:rPr>
            </w:pPr>
          </w:p>
        </w:tc>
        <w:tc>
          <w:tcPr>
            <w:tcW w:w="1368" w:type="dxa"/>
            <w:vMerge w:val="continue"/>
            <w:tcBorders>
              <w:top w:val="nil"/>
            </w:tcBorders>
            <w:vAlign w:val="top"/>
          </w:tcPr>
          <w:p w14:paraId="61030EB3">
            <w:pPr>
              <w:rPr>
                <w:rFonts w:ascii="Arial"/>
                <w:sz w:val="21"/>
              </w:rPr>
            </w:pPr>
          </w:p>
        </w:tc>
        <w:tc>
          <w:tcPr>
            <w:tcW w:w="2247" w:type="dxa"/>
            <w:vAlign w:val="top"/>
          </w:tcPr>
          <w:p w14:paraId="1B204899">
            <w:pPr>
              <w:pStyle w:val="6"/>
              <w:spacing w:before="165" w:line="197" w:lineRule="auto"/>
              <w:ind w:left="383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资产管理规范性</w:t>
            </w:r>
          </w:p>
        </w:tc>
        <w:tc>
          <w:tcPr>
            <w:tcW w:w="1138" w:type="dxa"/>
            <w:vAlign w:val="top"/>
          </w:tcPr>
          <w:p w14:paraId="4CBE293C">
            <w:pPr>
              <w:pStyle w:val="6"/>
              <w:spacing w:before="187" w:line="178" w:lineRule="auto"/>
              <w:ind w:left="50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1263" w:type="dxa"/>
            <w:vAlign w:val="top"/>
          </w:tcPr>
          <w:p w14:paraId="46796D20">
            <w:pPr>
              <w:pStyle w:val="6"/>
              <w:spacing w:before="187" w:line="178" w:lineRule="auto"/>
              <w:ind w:left="56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</w:tr>
      <w:tr w14:paraId="0732C1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W w:w="1553" w:type="dxa"/>
            <w:vMerge w:val="continue"/>
            <w:tcBorders>
              <w:top w:val="nil"/>
              <w:bottom w:val="nil"/>
            </w:tcBorders>
            <w:vAlign w:val="top"/>
          </w:tcPr>
          <w:p w14:paraId="2B5D24B7">
            <w:pPr>
              <w:rPr>
                <w:rFonts w:ascii="Arial"/>
                <w:sz w:val="21"/>
              </w:rPr>
            </w:pPr>
          </w:p>
        </w:tc>
        <w:tc>
          <w:tcPr>
            <w:tcW w:w="1368" w:type="dxa"/>
            <w:vMerge w:val="restart"/>
            <w:tcBorders>
              <w:bottom w:val="nil"/>
            </w:tcBorders>
            <w:vAlign w:val="top"/>
          </w:tcPr>
          <w:p w14:paraId="5264BC6A">
            <w:pPr>
              <w:pStyle w:val="6"/>
              <w:spacing w:before="154" w:line="218" w:lineRule="auto"/>
              <w:ind w:left="251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绩效评价</w:t>
            </w:r>
          </w:p>
          <w:p w14:paraId="7DD30E4F">
            <w:pPr>
              <w:spacing w:line="264" w:lineRule="auto"/>
              <w:rPr>
                <w:rFonts w:ascii="Arial"/>
                <w:sz w:val="21"/>
              </w:rPr>
            </w:pPr>
          </w:p>
          <w:p w14:paraId="34743EF4">
            <w:pPr>
              <w:pStyle w:val="6"/>
              <w:spacing w:before="68" w:line="194" w:lineRule="auto"/>
              <w:ind w:left="411"/>
              <w:rPr>
                <w:sz w:val="21"/>
                <w:szCs w:val="21"/>
              </w:rPr>
            </w:pPr>
            <w:r>
              <w:rPr>
                <w:spacing w:val="10"/>
                <w:sz w:val="21"/>
                <w:szCs w:val="21"/>
              </w:rPr>
              <w:t>(8分)</w:t>
            </w:r>
          </w:p>
        </w:tc>
        <w:tc>
          <w:tcPr>
            <w:tcW w:w="2247" w:type="dxa"/>
            <w:vAlign w:val="top"/>
          </w:tcPr>
          <w:p w14:paraId="05114070">
            <w:pPr>
              <w:pStyle w:val="6"/>
              <w:spacing w:before="176" w:line="219" w:lineRule="auto"/>
              <w:ind w:left="383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绩效自评覆盖率</w:t>
            </w:r>
          </w:p>
        </w:tc>
        <w:tc>
          <w:tcPr>
            <w:tcW w:w="1138" w:type="dxa"/>
            <w:vAlign w:val="top"/>
          </w:tcPr>
          <w:p w14:paraId="16D7BAC0">
            <w:pPr>
              <w:pStyle w:val="6"/>
              <w:spacing w:before="197" w:line="230" w:lineRule="auto"/>
              <w:ind w:left="50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1263" w:type="dxa"/>
            <w:vAlign w:val="top"/>
          </w:tcPr>
          <w:p w14:paraId="07EB5EC5">
            <w:pPr>
              <w:pStyle w:val="6"/>
              <w:spacing w:before="217" w:line="212" w:lineRule="auto"/>
              <w:ind w:left="56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</w:tr>
      <w:tr w14:paraId="7A3363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1553" w:type="dxa"/>
            <w:vMerge w:val="continue"/>
            <w:tcBorders>
              <w:top w:val="nil"/>
            </w:tcBorders>
            <w:vAlign w:val="top"/>
          </w:tcPr>
          <w:p w14:paraId="6CBF81D9">
            <w:pPr>
              <w:rPr>
                <w:rFonts w:ascii="Arial"/>
                <w:sz w:val="21"/>
              </w:rPr>
            </w:pPr>
          </w:p>
        </w:tc>
        <w:tc>
          <w:tcPr>
            <w:tcW w:w="1368" w:type="dxa"/>
            <w:vMerge w:val="continue"/>
            <w:tcBorders>
              <w:top w:val="nil"/>
            </w:tcBorders>
            <w:vAlign w:val="top"/>
          </w:tcPr>
          <w:p w14:paraId="2D550ED5">
            <w:pPr>
              <w:rPr>
                <w:rFonts w:ascii="Arial"/>
                <w:sz w:val="21"/>
              </w:rPr>
            </w:pPr>
          </w:p>
        </w:tc>
        <w:tc>
          <w:tcPr>
            <w:tcW w:w="2247" w:type="dxa"/>
            <w:vAlign w:val="top"/>
          </w:tcPr>
          <w:p w14:paraId="1FF26114">
            <w:pPr>
              <w:pStyle w:val="6"/>
              <w:spacing w:before="145" w:line="218" w:lineRule="auto"/>
              <w:ind w:left="383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绩效评价优等率</w:t>
            </w:r>
          </w:p>
        </w:tc>
        <w:tc>
          <w:tcPr>
            <w:tcW w:w="1138" w:type="dxa"/>
            <w:vAlign w:val="top"/>
          </w:tcPr>
          <w:p w14:paraId="51D86D0F">
            <w:pPr>
              <w:pStyle w:val="6"/>
              <w:spacing w:before="208" w:line="238" w:lineRule="auto"/>
              <w:ind w:left="50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1263" w:type="dxa"/>
            <w:vAlign w:val="top"/>
          </w:tcPr>
          <w:p w14:paraId="7AB53FD1">
            <w:pPr>
              <w:pStyle w:val="6"/>
              <w:spacing w:before="218" w:line="229" w:lineRule="auto"/>
              <w:ind w:left="56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</w:tr>
      <w:tr w14:paraId="3B2E97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2921" w:type="dxa"/>
            <w:gridSpan w:val="2"/>
            <w:vAlign w:val="top"/>
          </w:tcPr>
          <w:p w14:paraId="35342740">
            <w:pPr>
              <w:pStyle w:val="6"/>
              <w:spacing w:before="170" w:line="201" w:lineRule="auto"/>
              <w:ind w:left="124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合计</w:t>
            </w:r>
          </w:p>
        </w:tc>
        <w:tc>
          <w:tcPr>
            <w:tcW w:w="2247" w:type="dxa"/>
            <w:vAlign w:val="top"/>
          </w:tcPr>
          <w:p w14:paraId="34003DA6">
            <w:pPr>
              <w:rPr>
                <w:rFonts w:ascii="Arial"/>
                <w:sz w:val="21"/>
              </w:rPr>
            </w:pPr>
          </w:p>
        </w:tc>
        <w:tc>
          <w:tcPr>
            <w:tcW w:w="1138" w:type="dxa"/>
            <w:vAlign w:val="top"/>
          </w:tcPr>
          <w:p w14:paraId="41312274">
            <w:pPr>
              <w:pStyle w:val="6"/>
              <w:spacing w:before="210" w:line="166" w:lineRule="auto"/>
              <w:ind w:left="457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48</w:t>
            </w:r>
          </w:p>
        </w:tc>
        <w:tc>
          <w:tcPr>
            <w:tcW w:w="1263" w:type="dxa"/>
            <w:vAlign w:val="top"/>
          </w:tcPr>
          <w:p w14:paraId="5874965F">
            <w:pPr>
              <w:pStyle w:val="6"/>
              <w:spacing w:before="189" w:line="184" w:lineRule="auto"/>
              <w:ind w:left="519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44</w:t>
            </w:r>
          </w:p>
        </w:tc>
      </w:tr>
    </w:tbl>
    <w:p w14:paraId="1D683525">
      <w:pPr>
        <w:spacing w:before="70" w:line="219" w:lineRule="auto"/>
        <w:ind w:left="694"/>
        <w:rPr>
          <w:rFonts w:ascii="宋体" w:hAnsi="宋体" w:eastAsia="宋体" w:cs="宋体"/>
          <w:sz w:val="34"/>
          <w:szCs w:val="34"/>
        </w:rPr>
      </w:pPr>
      <w:r>
        <w:rPr>
          <w:rFonts w:ascii="宋体" w:hAnsi="宋体" w:eastAsia="宋体" w:cs="宋体"/>
          <w:b/>
          <w:bCs/>
          <w:spacing w:val="2"/>
          <w:sz w:val="34"/>
          <w:szCs w:val="34"/>
        </w:rPr>
        <w:t>1.预算执行(24分)</w:t>
      </w:r>
    </w:p>
    <w:p w14:paraId="543FDF95">
      <w:pPr>
        <w:spacing w:before="195" w:line="222" w:lineRule="auto"/>
        <w:ind w:left="80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8"/>
          <w:sz w:val="31"/>
          <w:szCs w:val="31"/>
        </w:rPr>
        <w:t>(1)预算收入调整率(2分)</w:t>
      </w:r>
    </w:p>
    <w:p w14:paraId="4E4791ED">
      <w:pPr>
        <w:spacing w:before="267" w:line="380" w:lineRule="auto"/>
        <w:ind w:right="325" w:firstLine="65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该指标主要评价预算收入的调整情况，进而</w:t>
      </w:r>
      <w:r>
        <w:rPr>
          <w:rFonts w:ascii="仿宋" w:hAnsi="仿宋" w:eastAsia="仿宋" w:cs="仿宋"/>
          <w:spacing w:val="18"/>
          <w:sz w:val="31"/>
          <w:szCs w:val="31"/>
        </w:rPr>
        <w:t>衡量预算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收入编制的准确性，通过预算收入调整率衡量。</w:t>
      </w:r>
    </w:p>
    <w:p w14:paraId="09E07036">
      <w:pPr>
        <w:spacing w:line="380" w:lineRule="auto"/>
        <w:rPr>
          <w:rFonts w:ascii="仿宋" w:hAnsi="仿宋" w:eastAsia="仿宋" w:cs="仿宋"/>
          <w:sz w:val="31"/>
          <w:szCs w:val="31"/>
        </w:rPr>
        <w:sectPr>
          <w:headerReference r:id="rId47" w:type="default"/>
          <w:footerReference r:id="rId48" w:type="default"/>
          <w:pgSz w:w="11900" w:h="16820"/>
          <w:pgMar w:top="1030" w:right="1760" w:bottom="1389" w:left="1599" w:header="1010" w:footer="1245" w:gutter="0"/>
          <w:cols w:space="720" w:num="1"/>
        </w:sectPr>
      </w:pPr>
    </w:p>
    <w:p w14:paraId="7C12186D">
      <w:pPr>
        <w:pStyle w:val="2"/>
        <w:spacing w:line="395" w:lineRule="auto"/>
      </w:pPr>
    </w:p>
    <w:p w14:paraId="1B646207">
      <w:pPr>
        <w:spacing w:before="101" w:line="370" w:lineRule="auto"/>
        <w:ind w:left="170" w:right="87" w:firstLine="6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4"/>
          <w:sz w:val="31"/>
          <w:szCs w:val="31"/>
        </w:rPr>
        <w:t>预算收入调整率=(调整预算数-年初预算数)/年初预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算数*100%</w:t>
      </w:r>
    </w:p>
    <w:p w14:paraId="5A546642">
      <w:pPr>
        <w:spacing w:before="69" w:line="352" w:lineRule="auto"/>
        <w:ind w:left="100" w:right="55" w:firstLine="70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1"/>
          <w:sz w:val="31"/>
          <w:szCs w:val="31"/>
        </w:rPr>
        <w:t>根据我部门的预算文本和决算文本，2020 年度预算收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入调整预算数32116.22万元，年初预算数</w:t>
      </w:r>
      <w:r>
        <w:rPr>
          <w:rFonts w:ascii="仿宋" w:hAnsi="仿宋" w:eastAsia="仿宋" w:cs="仿宋"/>
          <w:spacing w:val="17"/>
          <w:sz w:val="31"/>
          <w:szCs w:val="31"/>
        </w:rPr>
        <w:t>11479.82万元，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0"/>
          <w:sz w:val="31"/>
          <w:szCs w:val="31"/>
        </w:rPr>
        <w:t>预算收入调整率为179.76%,预算调整增加了1</w:t>
      </w:r>
      <w:r>
        <w:rPr>
          <w:rFonts w:ascii="仿宋" w:hAnsi="仿宋" w:eastAsia="仿宋" w:cs="仿宋"/>
          <w:spacing w:val="19"/>
          <w:sz w:val="31"/>
          <w:szCs w:val="31"/>
        </w:rPr>
        <w:t>79.76 个百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1"/>
          <w:sz w:val="31"/>
          <w:szCs w:val="31"/>
        </w:rPr>
        <w:t>分点，得0分。</w:t>
      </w:r>
    </w:p>
    <w:p w14:paraId="5AB0F068">
      <w:pPr>
        <w:spacing w:before="76" w:line="222" w:lineRule="auto"/>
        <w:ind w:left="70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6"/>
          <w:sz w:val="31"/>
          <w:szCs w:val="31"/>
        </w:rPr>
        <w:t>该项指标实际得分0分。</w:t>
      </w:r>
    </w:p>
    <w:p w14:paraId="4EA2B3AC">
      <w:pPr>
        <w:spacing w:before="238" w:line="223" w:lineRule="auto"/>
        <w:ind w:left="91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3"/>
          <w:sz w:val="31"/>
          <w:szCs w:val="31"/>
        </w:rPr>
        <w:t>(2)收入完成率(4分)</w:t>
      </w:r>
    </w:p>
    <w:p w14:paraId="44DC8D16">
      <w:pPr>
        <w:spacing w:before="312" w:line="346" w:lineRule="auto"/>
        <w:ind w:left="100" w:right="190" w:firstLine="59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0"/>
          <w:sz w:val="31"/>
          <w:szCs w:val="31"/>
        </w:rPr>
        <w:t>该指标主要评价部门预算收入的完成情况，用以反映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部门预算收入的完成程度，通过收入完成率衡量。</w:t>
      </w:r>
    </w:p>
    <w:p w14:paraId="07B0CD52">
      <w:pPr>
        <w:spacing w:before="27" w:line="222" w:lineRule="auto"/>
        <w:ind w:left="70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7"/>
          <w:sz w:val="31"/>
          <w:szCs w:val="31"/>
        </w:rPr>
        <w:t>收入完成率=(决算收入/预算收入)×100%。</w:t>
      </w:r>
    </w:p>
    <w:p w14:paraId="3E35DB0A">
      <w:pPr>
        <w:spacing w:before="235" w:line="372" w:lineRule="auto"/>
        <w:ind w:left="60" w:right="189" w:firstLine="6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</w:rPr>
        <w:t>根据2020 年决算文本，2020 年调整</w:t>
      </w:r>
      <w:r>
        <w:rPr>
          <w:rFonts w:ascii="仿宋" w:hAnsi="仿宋" w:eastAsia="仿宋" w:cs="仿宋"/>
          <w:spacing w:val="14"/>
          <w:sz w:val="31"/>
          <w:szCs w:val="31"/>
        </w:rPr>
        <w:t>预算数32116.22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4"/>
          <w:sz w:val="31"/>
          <w:szCs w:val="31"/>
        </w:rPr>
        <w:t>万</w:t>
      </w:r>
      <w:r>
        <w:rPr>
          <w:rFonts w:ascii="仿宋" w:hAnsi="仿宋" w:eastAsia="仿宋" w:cs="仿宋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4"/>
          <w:sz w:val="31"/>
          <w:szCs w:val="31"/>
        </w:rPr>
        <w:t>元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4"/>
          <w:sz w:val="31"/>
          <w:szCs w:val="31"/>
        </w:rPr>
        <w:t>，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4"/>
          <w:sz w:val="31"/>
          <w:szCs w:val="31"/>
        </w:rPr>
        <w:t>收</w:t>
      </w:r>
      <w:r>
        <w:rPr>
          <w:rFonts w:ascii="仿宋" w:hAnsi="仿宋" w:eastAsia="仿宋" w:cs="仿宋"/>
          <w:spacing w:val="-6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4"/>
          <w:sz w:val="31"/>
          <w:szCs w:val="31"/>
        </w:rPr>
        <w:t>入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4"/>
          <w:sz w:val="31"/>
          <w:szCs w:val="31"/>
        </w:rPr>
        <w:t>决</w:t>
      </w:r>
      <w:r>
        <w:rPr>
          <w:rFonts w:ascii="仿宋" w:hAnsi="仿宋" w:eastAsia="仿宋" w:cs="仿宋"/>
          <w:spacing w:val="-6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4"/>
          <w:sz w:val="31"/>
          <w:szCs w:val="31"/>
        </w:rPr>
        <w:t>算</w:t>
      </w:r>
      <w:r>
        <w:rPr>
          <w:rFonts w:ascii="仿宋" w:hAnsi="仿宋" w:eastAsia="仿宋" w:cs="仿宋"/>
          <w:spacing w:val="-6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4"/>
          <w:sz w:val="31"/>
          <w:szCs w:val="31"/>
        </w:rPr>
        <w:t>数</w:t>
      </w:r>
      <w:r>
        <w:rPr>
          <w:rFonts w:ascii="仿宋" w:hAnsi="仿宋" w:eastAsia="仿宋" w:cs="仿宋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4"/>
          <w:sz w:val="31"/>
          <w:szCs w:val="31"/>
        </w:rPr>
        <w:t>3</w:t>
      </w:r>
      <w:r>
        <w:rPr>
          <w:rFonts w:ascii="仿宋" w:hAnsi="仿宋" w:eastAsia="仿宋" w:cs="仿宋"/>
          <w:spacing w:val="-6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4"/>
          <w:sz w:val="31"/>
          <w:szCs w:val="31"/>
        </w:rPr>
        <w:t>2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4"/>
          <w:sz w:val="31"/>
          <w:szCs w:val="31"/>
        </w:rPr>
        <w:t>1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4"/>
          <w:sz w:val="31"/>
          <w:szCs w:val="31"/>
        </w:rPr>
        <w:t>1</w:t>
      </w:r>
      <w:r>
        <w:rPr>
          <w:rFonts w:ascii="仿宋" w:hAnsi="仿宋" w:eastAsia="仿宋" w:cs="仿宋"/>
          <w:spacing w:val="-6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4"/>
          <w:sz w:val="31"/>
          <w:szCs w:val="31"/>
        </w:rPr>
        <w:t>6</w:t>
      </w:r>
      <w:r>
        <w:rPr>
          <w:rFonts w:ascii="仿宋" w:hAnsi="仿宋" w:eastAsia="仿宋" w:cs="仿宋"/>
          <w:spacing w:val="-6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4"/>
          <w:sz w:val="31"/>
          <w:szCs w:val="31"/>
        </w:rPr>
        <w:t>.</w:t>
      </w:r>
      <w:r>
        <w:rPr>
          <w:rFonts w:ascii="仿宋" w:hAnsi="仿宋" w:eastAsia="仿宋" w:cs="仿宋"/>
          <w:spacing w:val="-7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4"/>
          <w:sz w:val="31"/>
          <w:szCs w:val="31"/>
        </w:rPr>
        <w:t>9</w:t>
      </w:r>
      <w:r>
        <w:rPr>
          <w:rFonts w:ascii="仿宋" w:hAnsi="仿宋" w:eastAsia="仿宋" w:cs="仿宋"/>
          <w:spacing w:val="6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4"/>
          <w:sz w:val="31"/>
          <w:szCs w:val="31"/>
        </w:rPr>
        <w:t>万 元 ， 收 入</w:t>
      </w:r>
      <w:r>
        <w:rPr>
          <w:rFonts w:ascii="仿宋" w:hAnsi="仿宋" w:eastAsia="仿宋" w:cs="仿宋"/>
          <w:spacing w:val="-25"/>
          <w:sz w:val="31"/>
          <w:szCs w:val="31"/>
        </w:rPr>
        <w:t xml:space="preserve"> 完</w:t>
      </w:r>
      <w:r>
        <w:rPr>
          <w:rFonts w:ascii="仿宋" w:hAnsi="仿宋" w:eastAsia="仿宋" w:cs="仿宋"/>
          <w:spacing w:val="-2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5"/>
          <w:sz w:val="31"/>
          <w:szCs w:val="31"/>
        </w:rPr>
        <w:t>成</w:t>
      </w:r>
      <w:r>
        <w:rPr>
          <w:rFonts w:ascii="仿宋" w:hAnsi="仿宋" w:eastAsia="仿宋" w:cs="仿宋"/>
          <w:spacing w:val="-2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5"/>
          <w:sz w:val="31"/>
          <w:szCs w:val="31"/>
        </w:rPr>
        <w:t>率</w:t>
      </w:r>
      <w:r>
        <w:rPr>
          <w:rFonts w:ascii="仿宋" w:hAnsi="仿宋" w:eastAsia="仿宋" w:cs="仿宋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5"/>
          <w:sz w:val="31"/>
          <w:szCs w:val="31"/>
        </w:rPr>
        <w:t>=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(32116.9/32116.22)*100%=100%。应得分4分。</w:t>
      </w:r>
    </w:p>
    <w:p w14:paraId="6C4D35E7">
      <w:pPr>
        <w:spacing w:line="222" w:lineRule="auto"/>
        <w:ind w:left="69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6"/>
          <w:sz w:val="31"/>
          <w:szCs w:val="31"/>
        </w:rPr>
        <w:t>该指标实际得分4分。</w:t>
      </w:r>
    </w:p>
    <w:p w14:paraId="51366E18">
      <w:pPr>
        <w:spacing w:before="255" w:line="222" w:lineRule="auto"/>
        <w:ind w:left="81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7"/>
          <w:sz w:val="31"/>
          <w:szCs w:val="31"/>
        </w:rPr>
        <w:t>(3)预算支出调整率(2分)</w:t>
      </w:r>
    </w:p>
    <w:p w14:paraId="4720264D">
      <w:pPr>
        <w:spacing w:before="259" w:line="366" w:lineRule="auto"/>
        <w:ind w:right="295" w:firstLine="63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该指标主要评价预算支出的调整情况，进而</w:t>
      </w:r>
      <w:r>
        <w:rPr>
          <w:rFonts w:ascii="仿宋" w:hAnsi="仿宋" w:eastAsia="仿宋" w:cs="仿宋"/>
          <w:spacing w:val="18"/>
          <w:sz w:val="31"/>
          <w:szCs w:val="31"/>
        </w:rPr>
        <w:t>衡量预算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支出编制的准确性，通过预算支出调整率衡量。</w:t>
      </w:r>
    </w:p>
    <w:p w14:paraId="0676974B">
      <w:pPr>
        <w:spacing w:before="2" w:line="363" w:lineRule="auto"/>
        <w:ind w:right="296" w:firstLine="63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3"/>
          <w:sz w:val="31"/>
          <w:szCs w:val="31"/>
        </w:rPr>
        <w:t>预算支出调整率=(调整预算数-年初预算数)/年初预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算数*100%。</w:t>
      </w:r>
    </w:p>
    <w:p w14:paraId="02E9DB21">
      <w:pPr>
        <w:spacing w:before="96" w:line="359" w:lineRule="auto"/>
        <w:ind w:right="215" w:firstLine="63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1"/>
          <w:sz w:val="31"/>
          <w:szCs w:val="31"/>
        </w:rPr>
        <w:t>根据我部门的预算文本和决算文本，2020 年度预算支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出调整预算数32165.36万元，年初预算数11479.8</w:t>
      </w:r>
      <w:r>
        <w:rPr>
          <w:rFonts w:ascii="仿宋" w:hAnsi="仿宋" w:eastAsia="仿宋" w:cs="仿宋"/>
          <w:spacing w:val="15"/>
          <w:sz w:val="31"/>
          <w:szCs w:val="31"/>
        </w:rPr>
        <w:t>2万元，</w:t>
      </w:r>
    </w:p>
    <w:p w14:paraId="20A073D9">
      <w:pPr>
        <w:spacing w:line="359" w:lineRule="auto"/>
        <w:rPr>
          <w:rFonts w:ascii="仿宋" w:hAnsi="仿宋" w:eastAsia="仿宋" w:cs="仿宋"/>
          <w:sz w:val="31"/>
          <w:szCs w:val="31"/>
        </w:rPr>
        <w:sectPr>
          <w:headerReference r:id="rId49" w:type="default"/>
          <w:footerReference r:id="rId50" w:type="default"/>
          <w:pgSz w:w="11900" w:h="16820"/>
          <w:pgMar w:top="1010" w:right="1780" w:bottom="1409" w:left="1629" w:header="990" w:footer="1265" w:gutter="0"/>
          <w:cols w:space="720" w:num="1"/>
        </w:sectPr>
      </w:pPr>
    </w:p>
    <w:p w14:paraId="2AF9151F">
      <w:pPr>
        <w:pStyle w:val="2"/>
        <w:spacing w:line="401" w:lineRule="auto"/>
      </w:pPr>
    </w:p>
    <w:p w14:paraId="5286B55F">
      <w:pPr>
        <w:spacing w:before="101" w:line="373" w:lineRule="auto"/>
        <w:ind w:left="120" w:right="14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预算支出调整率为180.19%,预算调整增加了180.19 个百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2"/>
          <w:sz w:val="31"/>
          <w:szCs w:val="31"/>
        </w:rPr>
        <w:t>分点，得0分。</w:t>
      </w:r>
    </w:p>
    <w:p w14:paraId="283DD1DE">
      <w:pPr>
        <w:spacing w:before="3" w:line="222" w:lineRule="auto"/>
        <w:ind w:left="77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sz w:val="31"/>
          <w:szCs w:val="31"/>
        </w:rPr>
        <w:t>该指标实际得分0分。</w:t>
      </w:r>
    </w:p>
    <w:p w14:paraId="6EBE8FDF">
      <w:pPr>
        <w:spacing w:before="258" w:line="223" w:lineRule="auto"/>
        <w:ind w:left="93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3"/>
          <w:sz w:val="31"/>
          <w:szCs w:val="31"/>
        </w:rPr>
        <w:t>(4)财政拨款支出完成率(4分)</w:t>
      </w:r>
    </w:p>
    <w:p w14:paraId="617F9307">
      <w:pPr>
        <w:spacing w:before="242" w:line="358" w:lineRule="auto"/>
        <w:ind w:left="120" w:right="142" w:firstLine="6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该指标主要评价部门财政拨款的支出进度，通过财政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拨款支出完成率来衡量。</w:t>
      </w:r>
    </w:p>
    <w:p w14:paraId="496FFE8C">
      <w:pPr>
        <w:spacing w:before="37" w:line="364" w:lineRule="auto"/>
        <w:ind w:left="100" w:right="142" w:firstLine="6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5"/>
          <w:sz w:val="31"/>
          <w:szCs w:val="31"/>
        </w:rPr>
        <w:t>财政拨款支出完成率=(部门决算财政拨款支出/部门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决算财政拨款收入)*100%。</w:t>
      </w:r>
    </w:p>
    <w:p w14:paraId="58357009">
      <w:pPr>
        <w:spacing w:before="29" w:line="364" w:lineRule="auto"/>
        <w:ind w:left="40" w:right="169" w:firstLine="68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4"/>
          <w:sz w:val="31"/>
          <w:szCs w:val="31"/>
        </w:rPr>
        <w:t>根据我部门2020 年决算文本，部门决算财政拨款支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6"/>
          <w:sz w:val="31"/>
          <w:szCs w:val="31"/>
        </w:rPr>
        <w:t>出数32116.15万元，财政拨款收入数32113.18万元，财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政拨款支出率=(32116.15/32113.</w:t>
      </w:r>
      <w:r>
        <w:rPr>
          <w:rFonts w:ascii="仿宋" w:hAnsi="仿宋" w:eastAsia="仿宋" w:cs="仿宋"/>
          <w:spacing w:val="15"/>
          <w:sz w:val="31"/>
          <w:szCs w:val="31"/>
        </w:rPr>
        <w:t>18)*100%=100%≥90%。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7"/>
          <w:sz w:val="31"/>
          <w:szCs w:val="31"/>
        </w:rPr>
        <w:t>2020</w:t>
      </w:r>
      <w:r>
        <w:rPr>
          <w:rFonts w:ascii="宋体" w:hAnsi="宋体" w:eastAsia="宋体" w:cs="宋体"/>
          <w:spacing w:val="1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年年初结转和结余49.</w:t>
      </w:r>
      <w:r>
        <w:rPr>
          <w:rFonts w:ascii="仿宋" w:hAnsi="仿宋" w:eastAsia="仿宋" w:cs="仿宋"/>
          <w:spacing w:val="-9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14 万元，故支出数大于收入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7"/>
          <w:sz w:val="31"/>
          <w:szCs w:val="31"/>
        </w:rPr>
        <w:t>数。</w:t>
      </w:r>
    </w:p>
    <w:p w14:paraId="336FD711">
      <w:pPr>
        <w:spacing w:before="34" w:line="222" w:lineRule="auto"/>
        <w:ind w:left="6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sz w:val="31"/>
          <w:szCs w:val="31"/>
        </w:rPr>
        <w:t>该指标实际得分4分。</w:t>
      </w:r>
    </w:p>
    <w:p w14:paraId="489F4529">
      <w:pPr>
        <w:spacing w:before="275" w:line="222" w:lineRule="auto"/>
        <w:ind w:left="77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4"/>
          <w:sz w:val="31"/>
          <w:szCs w:val="31"/>
        </w:rPr>
        <w:t>(5)“三公”经费控制率(3分)</w:t>
      </w:r>
    </w:p>
    <w:p w14:paraId="178F5CCF">
      <w:pPr>
        <w:spacing w:before="257" w:line="364" w:lineRule="auto"/>
        <w:ind w:left="40" w:right="250" w:firstLine="59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0"/>
          <w:sz w:val="31"/>
          <w:szCs w:val="31"/>
        </w:rPr>
        <w:t>该指标主要评价“三公”经费是否得到有效控制，通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过“三公”经费控制率来衡量。</w:t>
      </w:r>
    </w:p>
    <w:p w14:paraId="60D7FE5C">
      <w:pPr>
        <w:spacing w:before="18" w:line="222" w:lineRule="auto"/>
        <w:ind w:left="61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7"/>
          <w:sz w:val="31"/>
          <w:szCs w:val="31"/>
        </w:rPr>
        <w:t>“三公”经费控制率=(实际支出数/预算数)*100%。</w:t>
      </w:r>
    </w:p>
    <w:p w14:paraId="1754A380">
      <w:pPr>
        <w:spacing w:before="248" w:line="365" w:lineRule="auto"/>
        <w:ind w:right="272" w:firstLine="6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1"/>
          <w:sz w:val="31"/>
          <w:szCs w:val="31"/>
        </w:rPr>
        <w:t>根据2020 预算文本及决算文本，“三公”经费年初预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算数1</w:t>
      </w:r>
      <w:r>
        <w:rPr>
          <w:rFonts w:ascii="仿宋" w:hAnsi="仿宋" w:eastAsia="仿宋" w:cs="仿宋"/>
          <w:spacing w:val="-7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.2 万元，年末决算数1.2 万元，“三公”经费控制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率=(1.2/1.2)*100%=100%≤100%。</w:t>
      </w:r>
    </w:p>
    <w:p w14:paraId="1DABC4E7">
      <w:pPr>
        <w:spacing w:before="33" w:line="222" w:lineRule="auto"/>
        <w:ind w:left="6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sz w:val="31"/>
          <w:szCs w:val="31"/>
        </w:rPr>
        <w:t>该指标实际得分3分。</w:t>
      </w:r>
    </w:p>
    <w:p w14:paraId="015FF539">
      <w:pPr>
        <w:spacing w:line="222" w:lineRule="auto"/>
        <w:rPr>
          <w:rFonts w:ascii="仿宋" w:hAnsi="仿宋" w:eastAsia="仿宋" w:cs="仿宋"/>
          <w:sz w:val="31"/>
          <w:szCs w:val="31"/>
        </w:rPr>
        <w:sectPr>
          <w:headerReference r:id="rId51" w:type="default"/>
          <w:footerReference r:id="rId52" w:type="default"/>
          <w:pgSz w:w="11900" w:h="16820"/>
          <w:pgMar w:top="1120" w:right="1785" w:bottom="1304" w:left="1629" w:header="1100" w:footer="1169" w:gutter="0"/>
          <w:cols w:space="720" w:num="1"/>
        </w:sectPr>
      </w:pPr>
    </w:p>
    <w:p w14:paraId="0136C0A7">
      <w:pPr>
        <w:pStyle w:val="2"/>
        <w:spacing w:line="424" w:lineRule="auto"/>
      </w:pPr>
    </w:p>
    <w:p w14:paraId="5BE2C53C">
      <w:pPr>
        <w:spacing w:before="100" w:line="221" w:lineRule="auto"/>
        <w:ind w:left="93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7"/>
          <w:sz w:val="31"/>
          <w:szCs w:val="31"/>
        </w:rPr>
        <w:t>(6)政府采购执行率(3分)</w:t>
      </w:r>
    </w:p>
    <w:p w14:paraId="69424B4D">
      <w:pPr>
        <w:spacing w:before="239" w:line="375" w:lineRule="auto"/>
        <w:ind w:left="30" w:right="256" w:firstLine="69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该指标主要评价部门是否有效执行政府采购政策，通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过政府采购执行率来衡量。</w:t>
      </w:r>
    </w:p>
    <w:p w14:paraId="174657C1">
      <w:pPr>
        <w:spacing w:before="2" w:line="366" w:lineRule="auto"/>
        <w:ind w:left="30" w:right="256" w:firstLine="69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5"/>
          <w:sz w:val="31"/>
          <w:szCs w:val="31"/>
        </w:rPr>
        <w:t>政府采购执行率=(实际政府采购金额/政府采购</w:t>
      </w:r>
      <w:r>
        <w:rPr>
          <w:rFonts w:ascii="仿宋" w:hAnsi="仿宋" w:eastAsia="仿宋" w:cs="仿宋"/>
          <w:spacing w:val="24"/>
          <w:sz w:val="31"/>
          <w:szCs w:val="31"/>
        </w:rPr>
        <w:t>预算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0"/>
          <w:sz w:val="31"/>
          <w:szCs w:val="31"/>
        </w:rPr>
        <w:t>金额)*100%。</w:t>
      </w:r>
    </w:p>
    <w:p w14:paraId="2EBBFA2D">
      <w:pPr>
        <w:spacing w:before="10" w:line="369" w:lineRule="auto"/>
        <w:ind w:left="30" w:right="260" w:firstLine="69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1"/>
          <w:sz w:val="31"/>
          <w:szCs w:val="31"/>
        </w:rPr>
        <w:t>根据我部门2020 年预算文本及决算文本，政府采</w:t>
      </w:r>
      <w:r>
        <w:rPr>
          <w:rFonts w:ascii="仿宋" w:hAnsi="仿宋" w:eastAsia="仿宋" w:cs="仿宋"/>
          <w:spacing w:val="10"/>
          <w:sz w:val="31"/>
          <w:szCs w:val="31"/>
        </w:rPr>
        <w:t>购年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0"/>
          <w:sz w:val="31"/>
          <w:szCs w:val="31"/>
        </w:rPr>
        <w:t>初预算数6294.41万元，年末决算数62</w:t>
      </w:r>
      <w:r>
        <w:rPr>
          <w:rFonts w:ascii="仿宋" w:hAnsi="仿宋" w:eastAsia="仿宋" w:cs="仿宋"/>
          <w:spacing w:val="19"/>
          <w:sz w:val="31"/>
          <w:szCs w:val="31"/>
        </w:rPr>
        <w:t>0.96万元，政府采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购执行率为9.8。</w:t>
      </w:r>
    </w:p>
    <w:p w14:paraId="73E9BD04">
      <w:pPr>
        <w:spacing w:before="12" w:line="222" w:lineRule="auto"/>
        <w:ind w:left="72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7"/>
          <w:sz w:val="31"/>
          <w:szCs w:val="31"/>
        </w:rPr>
        <w:t>该指标实际得分为3分。</w:t>
      </w:r>
    </w:p>
    <w:p w14:paraId="2669C8F8">
      <w:pPr>
        <w:spacing w:before="243" w:line="220" w:lineRule="auto"/>
        <w:ind w:left="87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7"/>
          <w:sz w:val="31"/>
          <w:szCs w:val="31"/>
        </w:rPr>
        <w:t>(7)资金使用合规性(3分)</w:t>
      </w:r>
    </w:p>
    <w:p w14:paraId="050AD03A">
      <w:pPr>
        <w:spacing w:before="251" w:line="370" w:lineRule="auto"/>
        <w:ind w:left="30" w:right="278" w:firstLine="67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该指标主要评价资金使用是否按照相关法律法规和资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金管理办法规定的用途使用，财务管理是否符合相关会计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准则和财务制度。</w:t>
      </w:r>
    </w:p>
    <w:p w14:paraId="24E0890F">
      <w:pPr>
        <w:spacing w:before="7" w:line="369" w:lineRule="auto"/>
        <w:ind w:left="30" w:right="303" w:firstLine="67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sz w:val="31"/>
          <w:szCs w:val="31"/>
        </w:rPr>
        <w:t>根据我部门2020 年明细账、会计凭证等相关资料，我</w:t>
      </w:r>
      <w:r>
        <w:rPr>
          <w:rFonts w:ascii="仿宋" w:hAnsi="仿宋" w:eastAsia="仿宋" w:cs="仿宋"/>
          <w:spacing w:val="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部门资金使用符合相关会计准则和财务制度，资金拨付有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完备的审批程序和手续，资金使用符合部门预算批复的用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途，未发现截留、挤占、挪用财政资金的情况。</w:t>
      </w:r>
    </w:p>
    <w:p w14:paraId="36692F2F">
      <w:pPr>
        <w:spacing w:before="15" w:line="222" w:lineRule="auto"/>
        <w:ind w:left="66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sz w:val="31"/>
          <w:szCs w:val="31"/>
        </w:rPr>
        <w:t>该指标实际得分3分。</w:t>
      </w:r>
    </w:p>
    <w:p w14:paraId="35B465FC">
      <w:pPr>
        <w:spacing w:before="263" w:line="220" w:lineRule="auto"/>
        <w:ind w:left="81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3"/>
          <w:sz w:val="31"/>
          <w:szCs w:val="31"/>
        </w:rPr>
        <w:t>(8)决算真实性(3分)</w:t>
      </w:r>
    </w:p>
    <w:p w14:paraId="1E42BA2B">
      <w:pPr>
        <w:spacing w:before="252" w:line="370" w:lineRule="auto"/>
        <w:ind w:right="360" w:firstLine="65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sz w:val="31"/>
          <w:szCs w:val="31"/>
        </w:rPr>
        <w:t>该指标主要评价决算编制数据是否与账表一致，即决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算报表数据与会计账簿数据是否一致。</w:t>
      </w:r>
    </w:p>
    <w:p w14:paraId="44DD4213">
      <w:pPr>
        <w:spacing w:line="370" w:lineRule="auto"/>
        <w:rPr>
          <w:rFonts w:ascii="仿宋" w:hAnsi="仿宋" w:eastAsia="仿宋" w:cs="仿宋"/>
          <w:sz w:val="31"/>
          <w:szCs w:val="31"/>
        </w:rPr>
        <w:sectPr>
          <w:headerReference r:id="rId53" w:type="default"/>
          <w:footerReference r:id="rId54" w:type="default"/>
          <w:pgSz w:w="12060" w:h="16930"/>
          <w:pgMar w:top="1030" w:right="1809" w:bottom="1502" w:left="1689" w:header="1010" w:footer="1367" w:gutter="0"/>
          <w:cols w:space="720" w:num="1"/>
        </w:sectPr>
      </w:pPr>
    </w:p>
    <w:p w14:paraId="2C873E0B">
      <w:pPr>
        <w:pStyle w:val="2"/>
        <w:spacing w:line="425" w:lineRule="auto"/>
      </w:pPr>
    </w:p>
    <w:p w14:paraId="7AA9550C">
      <w:pPr>
        <w:spacing w:before="101" w:line="359" w:lineRule="auto"/>
        <w:ind w:left="190" w:right="140" w:firstLine="609"/>
        <w:rPr>
          <w:rFonts w:ascii="仿宋" w:hAnsi="仿宋" w:eastAsia="仿宋" w:cs="仿宋"/>
          <w:sz w:val="31"/>
          <w:szCs w:val="31"/>
        </w:rPr>
      </w:pPr>
      <w:bookmarkStart w:id="34" w:name="bookmark38"/>
      <w:bookmarkEnd w:id="34"/>
      <w:r>
        <w:rPr>
          <w:rFonts w:ascii="仿宋" w:hAnsi="仿宋" w:eastAsia="仿宋" w:cs="仿宋"/>
          <w:spacing w:val="11"/>
          <w:sz w:val="31"/>
          <w:szCs w:val="31"/>
        </w:rPr>
        <w:t>经核查我部门2020 年决算文本、明细账及总账，决算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文本数据均与明细账、总账一致。</w:t>
      </w:r>
    </w:p>
    <w:p w14:paraId="250DB444">
      <w:pPr>
        <w:spacing w:before="15" w:line="222" w:lineRule="auto"/>
        <w:ind w:left="80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sz w:val="31"/>
          <w:szCs w:val="31"/>
        </w:rPr>
        <w:t>该指标实际得分3分。</w:t>
      </w:r>
    </w:p>
    <w:p w14:paraId="36C185C0">
      <w:pPr>
        <w:spacing w:before="240" w:line="222" w:lineRule="auto"/>
        <w:ind w:left="804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b/>
          <w:bCs/>
          <w:spacing w:val="27"/>
          <w:sz w:val="31"/>
          <w:szCs w:val="31"/>
        </w:rPr>
        <w:t>2.</w:t>
      </w:r>
      <w:r>
        <w:rPr>
          <w:rFonts w:ascii="仿宋" w:hAnsi="仿宋" w:eastAsia="仿宋" w:cs="仿宋"/>
          <w:b/>
          <w:bCs/>
          <w:spacing w:val="27"/>
          <w:sz w:val="31"/>
          <w:szCs w:val="31"/>
        </w:rPr>
        <w:t>预算管理(16分)</w:t>
      </w:r>
    </w:p>
    <w:p w14:paraId="1F8140FE">
      <w:pPr>
        <w:spacing w:before="260" w:line="220" w:lineRule="auto"/>
        <w:ind w:left="9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7"/>
          <w:sz w:val="31"/>
          <w:szCs w:val="31"/>
        </w:rPr>
        <w:t>(1)管理制度健全性(4分)</w:t>
      </w:r>
    </w:p>
    <w:p w14:paraId="2B590E17">
      <w:pPr>
        <w:spacing w:before="273" w:line="363" w:lineRule="auto"/>
        <w:ind w:left="110" w:right="184" w:firstLine="60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该指标主要评价部门是否制定资金管理办法、财务管</w:t>
      </w:r>
      <w:r>
        <w:rPr>
          <w:rFonts w:ascii="仿宋" w:hAnsi="仿宋" w:eastAsia="仿宋" w:cs="仿宋"/>
          <w:spacing w:val="1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理制度、会计核算制度等相关内部控制制度，制度执行是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否得到有效执行。</w:t>
      </w:r>
    </w:p>
    <w:p w14:paraId="6F213E39">
      <w:pPr>
        <w:spacing w:before="39" w:line="369" w:lineRule="auto"/>
        <w:ind w:left="110" w:right="226" w:firstLine="60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我部门工作制度涵盖了财务制度、政府采购制度、公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务用车制度等相关制度，经检查我部门付款流程审批单等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资料，均已按照相关管理制度的规定执行。</w:t>
      </w:r>
    </w:p>
    <w:p w14:paraId="4BEC60E1">
      <w:pPr>
        <w:spacing w:before="5" w:line="222" w:lineRule="auto"/>
        <w:ind w:left="72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</w:rPr>
        <w:t>该项指标实际得分4分。</w:t>
      </w:r>
    </w:p>
    <w:p w14:paraId="0B4AC40E">
      <w:pPr>
        <w:spacing w:before="233" w:line="220" w:lineRule="auto"/>
        <w:ind w:left="87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6"/>
          <w:sz w:val="31"/>
          <w:szCs w:val="31"/>
        </w:rPr>
        <w:t>(2)预决算信息公开性(4分)</w:t>
      </w:r>
    </w:p>
    <w:p w14:paraId="78DE4A5A">
      <w:pPr>
        <w:spacing w:before="261" w:line="364" w:lineRule="auto"/>
        <w:ind w:left="60" w:right="230" w:firstLine="65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该指标主要评价部门是否按照政府信息公开的有关要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求在相关网站公开部门预算、预算执行情况、年度工作任</w:t>
      </w:r>
      <w:r>
        <w:rPr>
          <w:rFonts w:ascii="仿宋" w:hAnsi="仿宋" w:eastAsia="仿宋" w:cs="仿宋"/>
          <w:spacing w:val="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务等相关信息。</w:t>
      </w:r>
    </w:p>
    <w:p w14:paraId="2403A96B">
      <w:pPr>
        <w:spacing w:before="33" w:line="371" w:lineRule="auto"/>
        <w:ind w:left="60" w:right="278" w:firstLine="590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9"/>
          <w:sz w:val="31"/>
          <w:szCs w:val="31"/>
        </w:rPr>
        <w:t>2020</w:t>
      </w:r>
      <w:r>
        <w:rPr>
          <w:rFonts w:ascii="宋体" w:hAnsi="宋体" w:eastAsia="宋体" w:cs="宋体"/>
          <w:spacing w:val="9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年按政府信息公开的有关要求在曲</w:t>
      </w:r>
      <w:r>
        <w:rPr>
          <w:rFonts w:ascii="仿宋" w:hAnsi="仿宋" w:eastAsia="仿宋" w:cs="仿宋"/>
          <w:spacing w:val="8"/>
          <w:sz w:val="31"/>
          <w:szCs w:val="31"/>
        </w:rPr>
        <w:t>阳县人民政府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网进行了预决算公开等相关信息。</w:t>
      </w:r>
    </w:p>
    <w:p w14:paraId="679A4002">
      <w:pPr>
        <w:spacing w:before="1" w:line="222" w:lineRule="auto"/>
        <w:ind w:left="65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</w:rPr>
        <w:t>该指标实际得分4分。</w:t>
      </w:r>
    </w:p>
    <w:p w14:paraId="5421A074">
      <w:pPr>
        <w:spacing w:before="253" w:line="220" w:lineRule="auto"/>
        <w:ind w:left="80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7"/>
          <w:sz w:val="31"/>
          <w:szCs w:val="31"/>
        </w:rPr>
        <w:t>(3)基础信息完善性(4分)</w:t>
      </w:r>
    </w:p>
    <w:p w14:paraId="7C5D7A03">
      <w:pPr>
        <w:spacing w:before="259" w:line="367" w:lineRule="auto"/>
        <w:ind w:right="305" w:firstLine="65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该指标主要评价基础数据信息和财务信息资料是否真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实、完整。</w:t>
      </w:r>
    </w:p>
    <w:p w14:paraId="2E7EF7DF">
      <w:pPr>
        <w:spacing w:line="367" w:lineRule="auto"/>
        <w:rPr>
          <w:rFonts w:ascii="仿宋" w:hAnsi="仿宋" w:eastAsia="仿宋" w:cs="仿宋"/>
          <w:sz w:val="31"/>
          <w:szCs w:val="31"/>
        </w:rPr>
        <w:sectPr>
          <w:headerReference r:id="rId55" w:type="default"/>
          <w:footerReference r:id="rId56" w:type="default"/>
          <w:pgSz w:w="11900" w:h="16820"/>
          <w:pgMar w:top="1109" w:right="1785" w:bottom="1301" w:left="1589" w:header="1089" w:footer="1157" w:gutter="0"/>
          <w:cols w:space="720" w:num="1"/>
        </w:sectPr>
      </w:pPr>
    </w:p>
    <w:p w14:paraId="6B9E2069">
      <w:pPr>
        <w:pStyle w:val="2"/>
        <w:spacing w:line="423" w:lineRule="auto"/>
      </w:pPr>
    </w:p>
    <w:p w14:paraId="25EEB58E">
      <w:pPr>
        <w:spacing w:before="101" w:line="220" w:lineRule="auto"/>
        <w:ind w:left="779"/>
        <w:rPr>
          <w:rFonts w:ascii="仿宋" w:hAnsi="仿宋" w:eastAsia="仿宋" w:cs="仿宋"/>
          <w:sz w:val="31"/>
          <w:szCs w:val="31"/>
        </w:rPr>
      </w:pPr>
      <w:bookmarkStart w:id="35" w:name="bookmark39"/>
      <w:bookmarkEnd w:id="35"/>
      <w:r>
        <w:rPr>
          <w:rFonts w:ascii="仿宋" w:hAnsi="仿宋" w:eastAsia="仿宋" w:cs="仿宋"/>
          <w:spacing w:val="10"/>
          <w:sz w:val="31"/>
          <w:szCs w:val="31"/>
        </w:rPr>
        <w:t>经核查2020 年会计账簿、凭证及其他相关资料，我部</w:t>
      </w:r>
    </w:p>
    <w:p w14:paraId="05C565BC">
      <w:pPr>
        <w:spacing w:before="250" w:line="220" w:lineRule="auto"/>
        <w:ind w:left="1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"/>
          <w:sz w:val="31"/>
          <w:szCs w:val="31"/>
        </w:rPr>
        <w:t>门会计信息资料真实完整，</w:t>
      </w:r>
    </w:p>
    <w:p w14:paraId="58C05C64">
      <w:pPr>
        <w:spacing w:before="244" w:line="222" w:lineRule="auto"/>
        <w:ind w:left="77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</w:rPr>
        <w:t>该指标实际得分4分。</w:t>
      </w:r>
    </w:p>
    <w:p w14:paraId="7A3A3BEE">
      <w:pPr>
        <w:spacing w:before="243" w:line="220" w:lineRule="auto"/>
        <w:ind w:left="90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8"/>
          <w:sz w:val="31"/>
          <w:szCs w:val="31"/>
        </w:rPr>
        <w:t>(4)资产管理规范性(4分)</w:t>
      </w:r>
    </w:p>
    <w:p w14:paraId="58A75E63">
      <w:pPr>
        <w:spacing w:before="262" w:line="368" w:lineRule="auto"/>
        <w:ind w:left="60" w:right="221" w:firstLine="68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sz w:val="31"/>
          <w:szCs w:val="31"/>
        </w:rPr>
        <w:t>该指标主要评价资产管理是否规范，是否建立资产台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账，新增资产是否符合规定程序和规定标准，资产的配置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是否合规，资产保存是否完整。</w:t>
      </w:r>
    </w:p>
    <w:p w14:paraId="02BDAA5C">
      <w:pPr>
        <w:spacing w:before="25" w:line="364" w:lineRule="auto"/>
        <w:ind w:left="60" w:right="221" w:firstLine="67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4"/>
          <w:sz w:val="31"/>
          <w:szCs w:val="31"/>
        </w:rPr>
        <w:t>我部门利用行政事业单位资产系统登记固定资产台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账，管理固定资产，资产保存完整，2020</w:t>
      </w:r>
      <w:r>
        <w:rPr>
          <w:rFonts w:ascii="仿宋" w:hAnsi="仿宋" w:eastAsia="仿宋" w:cs="仿宋"/>
          <w:spacing w:val="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年无</w:t>
      </w:r>
      <w:r>
        <w:rPr>
          <w:rFonts w:ascii="仿宋" w:hAnsi="仿宋" w:eastAsia="仿宋" w:cs="仿宋"/>
          <w:spacing w:val="7"/>
          <w:sz w:val="31"/>
          <w:szCs w:val="31"/>
        </w:rPr>
        <w:t>新增资产，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资产管理整体较规范。</w:t>
      </w:r>
    </w:p>
    <w:p w14:paraId="2518D295">
      <w:pPr>
        <w:spacing w:before="29" w:line="222" w:lineRule="auto"/>
        <w:ind w:left="67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7"/>
          <w:sz w:val="31"/>
          <w:szCs w:val="31"/>
        </w:rPr>
        <w:t>该项指标实际得分4分。</w:t>
      </w:r>
    </w:p>
    <w:p w14:paraId="1215B674">
      <w:pPr>
        <w:spacing w:before="233" w:line="222" w:lineRule="auto"/>
        <w:ind w:left="684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b/>
          <w:bCs/>
          <w:spacing w:val="31"/>
          <w:sz w:val="31"/>
          <w:szCs w:val="31"/>
        </w:rPr>
        <w:t>3.</w:t>
      </w:r>
      <w:r>
        <w:rPr>
          <w:rFonts w:ascii="仿宋" w:hAnsi="仿宋" w:eastAsia="仿宋" w:cs="仿宋"/>
          <w:b/>
          <w:bCs/>
          <w:spacing w:val="31"/>
          <w:sz w:val="31"/>
          <w:szCs w:val="31"/>
        </w:rPr>
        <w:t>绩效评价(8分)</w:t>
      </w:r>
    </w:p>
    <w:p w14:paraId="52767E8D">
      <w:pPr>
        <w:spacing w:before="262" w:line="222" w:lineRule="auto"/>
        <w:ind w:left="8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8"/>
          <w:sz w:val="31"/>
          <w:szCs w:val="31"/>
        </w:rPr>
        <w:t>(1)绩效自评覆盖率(4分)</w:t>
      </w:r>
    </w:p>
    <w:p w14:paraId="17EF6A74">
      <w:pPr>
        <w:spacing w:before="255" w:line="370" w:lineRule="auto"/>
        <w:ind w:left="60" w:right="337" w:firstLine="6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6"/>
          <w:sz w:val="31"/>
          <w:szCs w:val="31"/>
        </w:rPr>
        <w:t>该指标主要评价部门是否按相关要求实施绩效自评，</w:t>
      </w:r>
      <w:r>
        <w:rPr>
          <w:rFonts w:ascii="仿宋" w:hAnsi="仿宋" w:eastAsia="仿宋" w:cs="仿宋"/>
          <w:spacing w:val="1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通过绩效自评覆盖率来衡量。</w:t>
      </w:r>
    </w:p>
    <w:p w14:paraId="0472A862">
      <w:pPr>
        <w:spacing w:before="7" w:line="366" w:lineRule="auto"/>
        <w:ind w:right="288" w:firstLine="67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4"/>
          <w:sz w:val="31"/>
          <w:szCs w:val="31"/>
        </w:rPr>
        <w:t>绩效自评覆盖率=(报送相关自评材料的数量/应实施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项目绩效自评数量)*100%。</w:t>
      </w:r>
    </w:p>
    <w:p w14:paraId="4121A6E6">
      <w:pPr>
        <w:spacing w:before="9" w:line="370" w:lineRule="auto"/>
        <w:ind w:right="338" w:firstLine="64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</w:rPr>
        <w:t>根据2020 年项目绩效自评表，我部门2</w:t>
      </w:r>
      <w:r>
        <w:rPr>
          <w:rFonts w:ascii="仿宋" w:hAnsi="仿宋" w:eastAsia="仿宋" w:cs="仿宋"/>
          <w:spacing w:val="14"/>
          <w:sz w:val="31"/>
          <w:szCs w:val="31"/>
        </w:rPr>
        <w:t>020 年开展绩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2"/>
          <w:sz w:val="31"/>
          <w:szCs w:val="31"/>
        </w:rPr>
        <w:t>效自评的项目数为57 个，年初预算文本项目数29个，要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求自评项目个数57个，自评覆盖率为100%。</w:t>
      </w:r>
    </w:p>
    <w:p w14:paraId="5E93D746">
      <w:pPr>
        <w:spacing w:line="222" w:lineRule="auto"/>
        <w:ind w:left="6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sz w:val="31"/>
          <w:szCs w:val="31"/>
        </w:rPr>
        <w:t>该指标实际得分4分。</w:t>
      </w:r>
    </w:p>
    <w:p w14:paraId="32EB1F40">
      <w:pPr>
        <w:spacing w:before="258" w:line="222" w:lineRule="auto"/>
        <w:ind w:left="77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8"/>
          <w:sz w:val="31"/>
          <w:szCs w:val="31"/>
        </w:rPr>
        <w:t>(2)绩效评价优等率(4分)</w:t>
      </w:r>
    </w:p>
    <w:p w14:paraId="24B23F80">
      <w:pPr>
        <w:spacing w:line="222" w:lineRule="auto"/>
        <w:rPr>
          <w:rFonts w:ascii="仿宋" w:hAnsi="仿宋" w:eastAsia="仿宋" w:cs="仿宋"/>
          <w:sz w:val="31"/>
          <w:szCs w:val="31"/>
        </w:rPr>
        <w:sectPr>
          <w:headerReference r:id="rId57" w:type="default"/>
          <w:footerReference r:id="rId58" w:type="default"/>
          <w:pgSz w:w="12050" w:h="16930"/>
          <w:pgMar w:top="1049" w:right="1807" w:bottom="1484" w:left="1710" w:header="1030" w:footer="1349" w:gutter="0"/>
          <w:cols w:space="720" w:num="1"/>
        </w:sectPr>
      </w:pPr>
    </w:p>
    <w:p w14:paraId="7C6EE705">
      <w:pPr>
        <w:pStyle w:val="2"/>
        <w:spacing w:line="435" w:lineRule="auto"/>
      </w:pPr>
    </w:p>
    <w:p w14:paraId="48E58D44">
      <w:pPr>
        <w:spacing w:before="101" w:line="358" w:lineRule="auto"/>
        <w:ind w:left="230" w:right="78" w:firstLine="639"/>
        <w:rPr>
          <w:rFonts w:ascii="仿宋" w:hAnsi="仿宋" w:eastAsia="仿宋" w:cs="仿宋"/>
          <w:sz w:val="31"/>
          <w:szCs w:val="31"/>
        </w:rPr>
      </w:pPr>
      <w:bookmarkStart w:id="36" w:name="bookmark40"/>
      <w:bookmarkEnd w:id="36"/>
      <w:r>
        <w:rPr>
          <w:rFonts w:ascii="仿宋" w:hAnsi="仿宋" w:eastAsia="仿宋" w:cs="仿宋"/>
          <w:spacing w:val="34"/>
          <w:sz w:val="31"/>
          <w:szCs w:val="31"/>
        </w:rPr>
        <w:t>该指标主要评价部门开展的绩效评价项目的完成质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量，通过绩效评价优等率来衡量。</w:t>
      </w:r>
    </w:p>
    <w:p w14:paraId="54CC58BB">
      <w:pPr>
        <w:spacing w:before="30" w:line="366" w:lineRule="auto"/>
        <w:ind w:left="190" w:right="240" w:firstLine="619"/>
        <w:rPr>
          <w:rFonts w:ascii="宋体" w:hAnsi="宋体" w:eastAsia="宋体" w:cs="宋体"/>
          <w:sz w:val="31"/>
          <w:szCs w:val="31"/>
        </w:rPr>
      </w:pPr>
      <w:r>
        <w:rPr>
          <w:rFonts w:ascii="仿宋" w:hAnsi="仿宋" w:eastAsia="仿宋" w:cs="仿宋"/>
          <w:spacing w:val="27"/>
          <w:sz w:val="31"/>
          <w:szCs w:val="31"/>
        </w:rPr>
        <w:t>绩效评价优等率=(结果达到优等的数量/参评数量)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7"/>
          <w:sz w:val="31"/>
          <w:szCs w:val="31"/>
        </w:rPr>
        <w:t>*100%。</w:t>
      </w:r>
    </w:p>
    <w:p w14:paraId="2DC3DA13">
      <w:pPr>
        <w:spacing w:before="6" w:line="370" w:lineRule="auto"/>
        <w:ind w:left="180" w:right="122" w:firstLine="62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</w:rPr>
        <w:t>我部门2020</w:t>
      </w:r>
      <w:r>
        <w:rPr>
          <w:rFonts w:ascii="仿宋" w:hAnsi="仿宋" w:eastAsia="仿宋" w:cs="仿宋"/>
          <w:spacing w:val="7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年参评数量57 个，绩效评价结果达到优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等的数量57个，绩效评价优等率为100%。</w:t>
      </w:r>
    </w:p>
    <w:p w14:paraId="1CDAC30A">
      <w:pPr>
        <w:spacing w:line="222" w:lineRule="auto"/>
        <w:ind w:left="81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6"/>
          <w:sz w:val="31"/>
          <w:szCs w:val="31"/>
        </w:rPr>
        <w:t>该指标实际得分4分。</w:t>
      </w:r>
    </w:p>
    <w:p w14:paraId="0575A715">
      <w:pPr>
        <w:spacing w:before="227" w:line="223" w:lineRule="auto"/>
        <w:ind w:left="944"/>
        <w:outlineLvl w:val="1"/>
        <w:rPr>
          <w:rFonts w:ascii="楷体" w:hAnsi="楷体" w:eastAsia="楷体" w:cs="楷体"/>
          <w:sz w:val="31"/>
          <w:szCs w:val="31"/>
        </w:rPr>
      </w:pPr>
      <w:bookmarkStart w:id="37" w:name="bookmark23"/>
      <w:bookmarkEnd w:id="37"/>
      <w:r>
        <w:rPr>
          <w:rFonts w:ascii="楷体" w:hAnsi="楷体" w:eastAsia="楷体" w:cs="楷体"/>
          <w:b/>
          <w:bCs/>
          <w:spacing w:val="46"/>
          <w:sz w:val="31"/>
          <w:szCs w:val="31"/>
        </w:rPr>
        <w:t>(三)产出(20分)</w:t>
      </w:r>
    </w:p>
    <w:p w14:paraId="33CA877C">
      <w:pPr>
        <w:spacing w:before="284" w:line="364" w:lineRule="auto"/>
        <w:ind w:left="110" w:right="188" w:firstLine="65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该一级指标包含数量指标、质量指标、时效指标三个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二级指标，主要反映预算项目的开工量、完工数、验收合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格数的考核评价。</w:t>
      </w:r>
    </w:p>
    <w:p w14:paraId="020C03D8">
      <w:pPr>
        <w:spacing w:before="45" w:line="219" w:lineRule="auto"/>
        <w:ind w:left="219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3"/>
          <w:sz w:val="31"/>
          <w:szCs w:val="31"/>
        </w:rPr>
        <w:t>表</w:t>
      </w:r>
      <w:r>
        <w:rPr>
          <w:rFonts w:ascii="宋体" w:hAnsi="宋体" w:eastAsia="宋体" w:cs="宋体"/>
          <w:spacing w:val="-39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pacing w:val="3"/>
          <w:sz w:val="31"/>
          <w:szCs w:val="31"/>
        </w:rPr>
        <w:t>4</w:t>
      </w:r>
      <w:r>
        <w:rPr>
          <w:rFonts w:ascii="宋体" w:hAnsi="宋体" w:eastAsia="宋体" w:cs="宋体"/>
          <w:spacing w:val="143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pacing w:val="3"/>
          <w:sz w:val="31"/>
          <w:szCs w:val="31"/>
        </w:rPr>
        <w:t>产出指标及得分情况表</w:t>
      </w:r>
    </w:p>
    <w:p w14:paraId="1B826C24">
      <w:pPr>
        <w:spacing w:line="189" w:lineRule="exact"/>
      </w:pPr>
    </w:p>
    <w:tbl>
      <w:tblPr>
        <w:tblStyle w:val="5"/>
        <w:tblW w:w="7679" w:type="dxa"/>
        <w:tblInd w:w="35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73"/>
        <w:gridCol w:w="2107"/>
        <w:gridCol w:w="1927"/>
        <w:gridCol w:w="939"/>
        <w:gridCol w:w="1133"/>
      </w:tblGrid>
      <w:tr w14:paraId="727CC9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3" w:hRule="atLeast"/>
        </w:trPr>
        <w:tc>
          <w:tcPr>
            <w:tcW w:w="1573" w:type="dxa"/>
            <w:vAlign w:val="top"/>
          </w:tcPr>
          <w:p w14:paraId="1DA23046">
            <w:pPr>
              <w:pStyle w:val="6"/>
              <w:spacing w:before="91" w:line="220" w:lineRule="auto"/>
              <w:ind w:left="338"/>
            </w:pPr>
            <w:r>
              <w:rPr>
                <w:b/>
                <w:bCs/>
                <w:spacing w:val="-6"/>
              </w:rPr>
              <w:t>一级指标</w:t>
            </w:r>
          </w:p>
        </w:tc>
        <w:tc>
          <w:tcPr>
            <w:tcW w:w="2107" w:type="dxa"/>
            <w:vAlign w:val="top"/>
          </w:tcPr>
          <w:p w14:paraId="18A3A696">
            <w:pPr>
              <w:pStyle w:val="6"/>
              <w:spacing w:before="91" w:line="220" w:lineRule="auto"/>
              <w:ind w:left="605"/>
            </w:pPr>
            <w:r>
              <w:rPr>
                <w:b/>
                <w:bCs/>
                <w:spacing w:val="-5"/>
              </w:rPr>
              <w:t>二级指标</w:t>
            </w:r>
          </w:p>
        </w:tc>
        <w:tc>
          <w:tcPr>
            <w:tcW w:w="1927" w:type="dxa"/>
            <w:vAlign w:val="top"/>
          </w:tcPr>
          <w:p w14:paraId="5A9CFB18">
            <w:pPr>
              <w:pStyle w:val="6"/>
              <w:spacing w:before="91" w:line="220" w:lineRule="auto"/>
              <w:ind w:left="518"/>
            </w:pPr>
            <w:r>
              <w:rPr>
                <w:b/>
                <w:bCs/>
                <w:spacing w:val="-4"/>
              </w:rPr>
              <w:t>三级指标</w:t>
            </w:r>
          </w:p>
        </w:tc>
        <w:tc>
          <w:tcPr>
            <w:tcW w:w="939" w:type="dxa"/>
            <w:vAlign w:val="top"/>
          </w:tcPr>
          <w:p w14:paraId="48296AF7">
            <w:pPr>
              <w:pStyle w:val="6"/>
              <w:spacing w:before="91" w:line="219" w:lineRule="auto"/>
              <w:ind w:left="31"/>
            </w:pPr>
            <w:r>
              <w:rPr>
                <w:b/>
                <w:bCs/>
                <w:spacing w:val="-5"/>
              </w:rPr>
              <w:t>分数权重</w:t>
            </w:r>
          </w:p>
        </w:tc>
        <w:tc>
          <w:tcPr>
            <w:tcW w:w="1133" w:type="dxa"/>
            <w:vAlign w:val="top"/>
          </w:tcPr>
          <w:p w14:paraId="2DCC4E11">
            <w:pPr>
              <w:pStyle w:val="6"/>
              <w:spacing w:before="91" w:line="219" w:lineRule="auto"/>
              <w:ind w:left="342"/>
            </w:pPr>
            <w:r>
              <w:rPr>
                <w:b/>
                <w:bCs/>
                <w:spacing w:val="-5"/>
              </w:rPr>
              <w:t>得分</w:t>
            </w:r>
          </w:p>
        </w:tc>
      </w:tr>
      <w:tr w14:paraId="172F7C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 w:hRule="atLeast"/>
        </w:trPr>
        <w:tc>
          <w:tcPr>
            <w:tcW w:w="1573" w:type="dxa"/>
            <w:vMerge w:val="restart"/>
            <w:tcBorders>
              <w:bottom w:val="nil"/>
            </w:tcBorders>
            <w:vAlign w:val="top"/>
          </w:tcPr>
          <w:p w14:paraId="294BBA0B">
            <w:pPr>
              <w:pStyle w:val="6"/>
              <w:spacing w:before="171" w:line="219" w:lineRule="auto"/>
              <w:ind w:left="554"/>
            </w:pPr>
            <w:r>
              <w:rPr>
                <w:spacing w:val="13"/>
              </w:rPr>
              <w:t>产出</w:t>
            </w:r>
          </w:p>
          <w:p w14:paraId="0C9F24E2">
            <w:pPr>
              <w:spacing w:line="286" w:lineRule="auto"/>
              <w:rPr>
                <w:rFonts w:ascii="Arial"/>
                <w:sz w:val="21"/>
              </w:rPr>
            </w:pPr>
          </w:p>
          <w:p w14:paraId="21A35723">
            <w:pPr>
              <w:pStyle w:val="6"/>
              <w:spacing w:before="71" w:line="220" w:lineRule="auto"/>
              <w:ind w:left="444"/>
            </w:pPr>
            <w:r>
              <w:rPr>
                <w:spacing w:val="9"/>
              </w:rPr>
              <w:t>(30分)</w:t>
            </w:r>
          </w:p>
        </w:tc>
        <w:tc>
          <w:tcPr>
            <w:tcW w:w="2107" w:type="dxa"/>
            <w:vAlign w:val="top"/>
          </w:tcPr>
          <w:p w14:paraId="0BDE8D90">
            <w:pPr>
              <w:pStyle w:val="6"/>
              <w:spacing w:before="121" w:line="219" w:lineRule="auto"/>
              <w:ind w:left="271"/>
            </w:pPr>
            <w:r>
              <w:rPr>
                <w:spacing w:val="5"/>
              </w:rPr>
              <w:t>数量指标(10分)</w:t>
            </w:r>
          </w:p>
        </w:tc>
        <w:tc>
          <w:tcPr>
            <w:tcW w:w="1927" w:type="dxa"/>
            <w:vAlign w:val="top"/>
          </w:tcPr>
          <w:p w14:paraId="670DFAE6">
            <w:pPr>
              <w:pStyle w:val="6"/>
              <w:spacing w:before="160" w:line="191" w:lineRule="auto"/>
              <w:ind w:left="404"/>
            </w:pPr>
            <w:r>
              <w:rPr>
                <w:spacing w:val="2"/>
              </w:rPr>
              <w:t>工程完工率</w:t>
            </w:r>
          </w:p>
        </w:tc>
        <w:tc>
          <w:tcPr>
            <w:tcW w:w="939" w:type="dxa"/>
            <w:vAlign w:val="top"/>
          </w:tcPr>
          <w:p w14:paraId="2A333146">
            <w:pPr>
              <w:pStyle w:val="6"/>
              <w:spacing w:before="173" w:line="180" w:lineRule="auto"/>
              <w:ind w:left="357"/>
            </w:pPr>
            <w:r>
              <w:rPr>
                <w:spacing w:val="-7"/>
              </w:rPr>
              <w:t>10</w:t>
            </w:r>
          </w:p>
        </w:tc>
        <w:tc>
          <w:tcPr>
            <w:tcW w:w="1133" w:type="dxa"/>
            <w:vAlign w:val="top"/>
          </w:tcPr>
          <w:p w14:paraId="5F90C3E2">
            <w:pPr>
              <w:pStyle w:val="6"/>
              <w:spacing w:before="173" w:line="180" w:lineRule="auto"/>
              <w:ind w:left="448"/>
            </w:pPr>
            <w:r>
              <w:rPr>
                <w:spacing w:val="-7"/>
              </w:rPr>
              <w:t>10</w:t>
            </w:r>
          </w:p>
        </w:tc>
      </w:tr>
      <w:tr w14:paraId="58D10B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1573" w:type="dxa"/>
            <w:vMerge w:val="continue"/>
            <w:tcBorders>
              <w:top w:val="nil"/>
              <w:bottom w:val="nil"/>
            </w:tcBorders>
            <w:vAlign w:val="top"/>
          </w:tcPr>
          <w:p w14:paraId="588F9F0D">
            <w:pPr>
              <w:rPr>
                <w:rFonts w:ascii="Arial"/>
                <w:sz w:val="21"/>
              </w:rPr>
            </w:pPr>
          </w:p>
        </w:tc>
        <w:tc>
          <w:tcPr>
            <w:tcW w:w="2107" w:type="dxa"/>
            <w:vAlign w:val="top"/>
          </w:tcPr>
          <w:p w14:paraId="336CFCD5">
            <w:pPr>
              <w:pStyle w:val="6"/>
              <w:spacing w:before="133" w:line="220" w:lineRule="auto"/>
              <w:ind w:left="271"/>
            </w:pPr>
            <w:r>
              <w:rPr>
                <w:spacing w:val="5"/>
              </w:rPr>
              <w:t>质量指标(10分)</w:t>
            </w:r>
          </w:p>
        </w:tc>
        <w:tc>
          <w:tcPr>
            <w:tcW w:w="1927" w:type="dxa"/>
            <w:vAlign w:val="top"/>
          </w:tcPr>
          <w:p w14:paraId="4DF66C3C">
            <w:pPr>
              <w:pStyle w:val="6"/>
              <w:spacing w:before="172" w:line="189" w:lineRule="auto"/>
              <w:ind w:left="404"/>
            </w:pPr>
            <w:r>
              <w:rPr>
                <w:spacing w:val="-2"/>
              </w:rPr>
              <w:t>验收合格率</w:t>
            </w:r>
          </w:p>
        </w:tc>
        <w:tc>
          <w:tcPr>
            <w:tcW w:w="939" w:type="dxa"/>
            <w:vAlign w:val="top"/>
          </w:tcPr>
          <w:p w14:paraId="135ABFFF">
            <w:pPr>
              <w:pStyle w:val="6"/>
              <w:spacing w:before="195" w:line="170" w:lineRule="auto"/>
              <w:ind w:left="407"/>
            </w:pPr>
            <w:r>
              <w:t>5</w:t>
            </w:r>
          </w:p>
        </w:tc>
        <w:tc>
          <w:tcPr>
            <w:tcW w:w="1133" w:type="dxa"/>
            <w:vAlign w:val="top"/>
          </w:tcPr>
          <w:p w14:paraId="5377DC60">
            <w:pPr>
              <w:pStyle w:val="6"/>
              <w:spacing w:before="195" w:line="170" w:lineRule="auto"/>
              <w:ind w:left="508"/>
            </w:pPr>
            <w:r>
              <w:t>5</w:t>
            </w:r>
          </w:p>
        </w:tc>
      </w:tr>
      <w:tr w14:paraId="6BB2E1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 w:hRule="atLeast"/>
        </w:trPr>
        <w:tc>
          <w:tcPr>
            <w:tcW w:w="1573" w:type="dxa"/>
            <w:vMerge w:val="continue"/>
            <w:tcBorders>
              <w:top w:val="nil"/>
            </w:tcBorders>
            <w:vAlign w:val="top"/>
          </w:tcPr>
          <w:p w14:paraId="434BBCF4">
            <w:pPr>
              <w:rPr>
                <w:rFonts w:ascii="Arial"/>
                <w:sz w:val="21"/>
              </w:rPr>
            </w:pPr>
          </w:p>
        </w:tc>
        <w:tc>
          <w:tcPr>
            <w:tcW w:w="2107" w:type="dxa"/>
            <w:vAlign w:val="top"/>
          </w:tcPr>
          <w:p w14:paraId="2103E0CA">
            <w:pPr>
              <w:pStyle w:val="6"/>
              <w:spacing w:before="125" w:line="220" w:lineRule="auto"/>
              <w:ind w:left="271"/>
            </w:pPr>
            <w:r>
              <w:rPr>
                <w:spacing w:val="5"/>
              </w:rPr>
              <w:t>时效指标(10分)</w:t>
            </w:r>
          </w:p>
        </w:tc>
        <w:tc>
          <w:tcPr>
            <w:tcW w:w="1927" w:type="dxa"/>
            <w:vAlign w:val="top"/>
          </w:tcPr>
          <w:p w14:paraId="7E4941BB">
            <w:pPr>
              <w:pStyle w:val="6"/>
              <w:spacing w:before="144" w:line="204" w:lineRule="auto"/>
              <w:ind w:left="184"/>
            </w:pPr>
            <w:r>
              <w:rPr>
                <w:spacing w:val="1"/>
              </w:rPr>
              <w:t>污水处理及时率</w:t>
            </w:r>
          </w:p>
        </w:tc>
        <w:tc>
          <w:tcPr>
            <w:tcW w:w="939" w:type="dxa"/>
            <w:vAlign w:val="top"/>
          </w:tcPr>
          <w:p w14:paraId="5EF11622">
            <w:pPr>
              <w:pStyle w:val="6"/>
              <w:spacing w:before="186" w:line="169" w:lineRule="auto"/>
              <w:ind w:left="407"/>
            </w:pPr>
            <w:r>
              <w:t>5</w:t>
            </w:r>
          </w:p>
        </w:tc>
        <w:tc>
          <w:tcPr>
            <w:tcW w:w="1133" w:type="dxa"/>
            <w:vAlign w:val="top"/>
          </w:tcPr>
          <w:p w14:paraId="71EAAD00">
            <w:pPr>
              <w:pStyle w:val="6"/>
              <w:spacing w:before="186" w:line="169" w:lineRule="auto"/>
              <w:ind w:left="508"/>
            </w:pPr>
            <w:r>
              <w:t>5</w:t>
            </w:r>
          </w:p>
        </w:tc>
      </w:tr>
      <w:tr w14:paraId="1E8C0D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3680" w:type="dxa"/>
            <w:gridSpan w:val="2"/>
            <w:vAlign w:val="top"/>
          </w:tcPr>
          <w:p w14:paraId="0C646344">
            <w:pPr>
              <w:pStyle w:val="6"/>
              <w:spacing w:before="169" w:line="187" w:lineRule="auto"/>
              <w:ind w:left="1634"/>
            </w:pPr>
            <w:r>
              <w:rPr>
                <w:spacing w:val="-3"/>
              </w:rPr>
              <w:t>合计</w:t>
            </w:r>
          </w:p>
        </w:tc>
        <w:tc>
          <w:tcPr>
            <w:tcW w:w="1927" w:type="dxa"/>
            <w:vAlign w:val="top"/>
          </w:tcPr>
          <w:p w14:paraId="327DDA28">
            <w:pPr>
              <w:rPr>
                <w:rFonts w:ascii="Arial"/>
                <w:sz w:val="21"/>
              </w:rPr>
            </w:pPr>
          </w:p>
        </w:tc>
        <w:tc>
          <w:tcPr>
            <w:tcW w:w="939" w:type="dxa"/>
            <w:vAlign w:val="top"/>
          </w:tcPr>
          <w:p w14:paraId="4D20CCFB">
            <w:pPr>
              <w:pStyle w:val="6"/>
              <w:spacing w:before="178" w:line="179" w:lineRule="auto"/>
              <w:ind w:left="357"/>
            </w:pPr>
            <w:r>
              <w:rPr>
                <w:spacing w:val="-3"/>
              </w:rPr>
              <w:t>20</w:t>
            </w:r>
          </w:p>
        </w:tc>
        <w:tc>
          <w:tcPr>
            <w:tcW w:w="1133" w:type="dxa"/>
            <w:vAlign w:val="top"/>
          </w:tcPr>
          <w:p w14:paraId="1B7FF496">
            <w:pPr>
              <w:pStyle w:val="6"/>
              <w:spacing w:before="189" w:line="170" w:lineRule="auto"/>
              <w:ind w:left="448"/>
            </w:pPr>
            <w:r>
              <w:rPr>
                <w:spacing w:val="-3"/>
              </w:rPr>
              <w:t>20</w:t>
            </w:r>
          </w:p>
        </w:tc>
      </w:tr>
    </w:tbl>
    <w:p w14:paraId="6D41D5FA">
      <w:pPr>
        <w:spacing w:before="59" w:line="219" w:lineRule="auto"/>
        <w:ind w:left="700"/>
        <w:rPr>
          <w:rFonts w:ascii="宋体" w:hAnsi="宋体" w:eastAsia="宋体" w:cs="宋体"/>
          <w:sz w:val="34"/>
          <w:szCs w:val="34"/>
        </w:rPr>
      </w:pPr>
      <w:r>
        <w:rPr>
          <w:rFonts w:ascii="宋体" w:hAnsi="宋体" w:eastAsia="宋体" w:cs="宋体"/>
          <w:spacing w:val="6"/>
          <w:sz w:val="34"/>
          <w:szCs w:val="34"/>
        </w:rPr>
        <w:t>1.工程完工率(10分)</w:t>
      </w:r>
    </w:p>
    <w:p w14:paraId="54B533C6">
      <w:pPr>
        <w:spacing w:before="232" w:line="340" w:lineRule="auto"/>
        <w:ind w:left="50" w:right="356" w:firstLine="56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sz w:val="31"/>
          <w:szCs w:val="31"/>
        </w:rPr>
        <w:t>该指标主要评价部门预算项目的完工情况，通过工程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完工率衡量。</w:t>
      </w:r>
    </w:p>
    <w:p w14:paraId="052C8C1E">
      <w:pPr>
        <w:spacing w:before="90" w:line="364" w:lineRule="auto"/>
        <w:ind w:right="359" w:firstLine="6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1"/>
          <w:sz w:val="31"/>
          <w:szCs w:val="31"/>
        </w:rPr>
        <w:t>工程完工率=(本年完工工程量/工程总量)*100%。年</w:t>
      </w:r>
      <w:r>
        <w:rPr>
          <w:rFonts w:ascii="仿宋" w:hAnsi="仿宋" w:eastAsia="仿宋" w:cs="仿宋"/>
          <w:spacing w:val="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度指标值=100%,全年完成值100%。</w:t>
      </w:r>
    </w:p>
    <w:p w14:paraId="11529262">
      <w:pPr>
        <w:spacing w:before="17" w:line="222" w:lineRule="auto"/>
        <w:ind w:left="6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</w:rPr>
        <w:t>该项指标实际得分10分。</w:t>
      </w:r>
    </w:p>
    <w:p w14:paraId="56663A81">
      <w:pPr>
        <w:spacing w:before="248" w:line="222" w:lineRule="auto"/>
        <w:ind w:left="61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32"/>
          <w:sz w:val="31"/>
          <w:szCs w:val="31"/>
        </w:rPr>
        <w:t>2.</w:t>
      </w:r>
      <w:r>
        <w:rPr>
          <w:rFonts w:ascii="仿宋" w:hAnsi="仿宋" w:eastAsia="仿宋" w:cs="仿宋"/>
          <w:spacing w:val="32"/>
          <w:sz w:val="31"/>
          <w:szCs w:val="31"/>
        </w:rPr>
        <w:t>验收合格率(5分)</w:t>
      </w:r>
    </w:p>
    <w:p w14:paraId="6A6AC97D">
      <w:pPr>
        <w:spacing w:line="222" w:lineRule="auto"/>
        <w:rPr>
          <w:rFonts w:ascii="仿宋" w:hAnsi="仿宋" w:eastAsia="仿宋" w:cs="仿宋"/>
          <w:sz w:val="31"/>
          <w:szCs w:val="31"/>
        </w:rPr>
        <w:sectPr>
          <w:headerReference r:id="rId59" w:type="default"/>
          <w:footerReference r:id="rId60" w:type="default"/>
          <w:pgSz w:w="11900" w:h="16820"/>
          <w:pgMar w:top="1010" w:right="1780" w:bottom="1401" w:left="1589" w:header="990" w:footer="1257" w:gutter="0"/>
          <w:cols w:space="720" w:num="1"/>
        </w:sectPr>
      </w:pPr>
    </w:p>
    <w:p w14:paraId="3DC4F139">
      <w:pPr>
        <w:pStyle w:val="2"/>
        <w:spacing w:line="405" w:lineRule="auto"/>
      </w:pPr>
    </w:p>
    <w:p w14:paraId="5E07C054">
      <w:pPr>
        <w:spacing w:before="101" w:line="358" w:lineRule="auto"/>
        <w:ind w:left="189" w:right="80" w:firstLine="6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sz w:val="31"/>
          <w:szCs w:val="31"/>
        </w:rPr>
        <w:t>该指标主要评价预算项目的工程质量，通过项目验收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合格率来衡量。</w:t>
      </w:r>
    </w:p>
    <w:p w14:paraId="300CE928">
      <w:pPr>
        <w:spacing w:before="59" w:line="364" w:lineRule="auto"/>
        <w:ind w:left="149" w:right="154" w:firstLine="6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0"/>
          <w:sz w:val="31"/>
          <w:szCs w:val="31"/>
        </w:rPr>
        <w:t>验收合格率=(验收合格数量/完工工程总量)*100%。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年度指标值=100%,全年完成值100%。</w:t>
      </w:r>
    </w:p>
    <w:p w14:paraId="30DA6C84">
      <w:pPr>
        <w:spacing w:before="7" w:line="222" w:lineRule="auto"/>
        <w:ind w:left="78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sz w:val="31"/>
          <w:szCs w:val="31"/>
        </w:rPr>
        <w:t>该指标实际得分5分。</w:t>
      </w:r>
    </w:p>
    <w:p w14:paraId="07C92C0C">
      <w:pPr>
        <w:spacing w:before="247" w:line="223" w:lineRule="auto"/>
        <w:ind w:left="70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27"/>
          <w:sz w:val="31"/>
          <w:szCs w:val="31"/>
        </w:rPr>
        <w:t>3.</w:t>
      </w:r>
      <w:r>
        <w:rPr>
          <w:rFonts w:ascii="仿宋" w:hAnsi="仿宋" w:eastAsia="仿宋" w:cs="仿宋"/>
          <w:spacing w:val="27"/>
          <w:sz w:val="31"/>
          <w:szCs w:val="31"/>
        </w:rPr>
        <w:t>污水处理及时率(5分)</w:t>
      </w:r>
    </w:p>
    <w:p w14:paraId="60A0DCC5">
      <w:pPr>
        <w:spacing w:before="255" w:line="357" w:lineRule="auto"/>
        <w:ind w:left="99" w:right="197" w:firstLine="60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该指标主要评价污水处理厂处理污水的时效，通过污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水处理及时率来衡量。</w:t>
      </w:r>
    </w:p>
    <w:p w14:paraId="09A91DBA">
      <w:pPr>
        <w:spacing w:before="50" w:line="358" w:lineRule="auto"/>
        <w:ind w:left="79" w:right="225" w:firstLine="62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1"/>
          <w:sz w:val="31"/>
          <w:szCs w:val="31"/>
        </w:rPr>
        <w:t>处理及时率=(按时处理污水数量/污水总量)*100%。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年度指标值=100%,全年完成值100%。</w:t>
      </w:r>
    </w:p>
    <w:p w14:paraId="3B9C07D5">
      <w:pPr>
        <w:spacing w:before="29" w:line="222" w:lineRule="auto"/>
        <w:ind w:left="70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6"/>
          <w:sz w:val="31"/>
          <w:szCs w:val="31"/>
        </w:rPr>
        <w:t>该指标实际得分5分。</w:t>
      </w:r>
    </w:p>
    <w:p w14:paraId="2C2C7546">
      <w:pPr>
        <w:spacing w:before="230" w:line="224" w:lineRule="auto"/>
        <w:ind w:left="854"/>
        <w:outlineLvl w:val="1"/>
        <w:rPr>
          <w:rFonts w:ascii="楷体" w:hAnsi="楷体" w:eastAsia="楷体" w:cs="楷体"/>
          <w:sz w:val="31"/>
          <w:szCs w:val="31"/>
        </w:rPr>
      </w:pPr>
      <w:bookmarkStart w:id="38" w:name="bookmark24"/>
      <w:bookmarkEnd w:id="38"/>
      <w:r>
        <w:rPr>
          <w:rFonts w:ascii="楷体" w:hAnsi="楷体" w:eastAsia="楷体" w:cs="楷体"/>
          <w:b/>
          <w:bCs/>
          <w:spacing w:val="47"/>
          <w:sz w:val="31"/>
          <w:szCs w:val="31"/>
        </w:rPr>
        <w:t>(四)效果(20分)</w:t>
      </w:r>
    </w:p>
    <w:p w14:paraId="4D25D48B">
      <w:pPr>
        <w:spacing w:before="281" w:line="364" w:lineRule="auto"/>
        <w:ind w:right="234" w:firstLine="67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3"/>
          <w:sz w:val="31"/>
          <w:szCs w:val="31"/>
        </w:rPr>
        <w:t>该一级指标包含效果指标和满意度指标二个二级指</w:t>
      </w:r>
      <w:r>
        <w:rPr>
          <w:rFonts w:ascii="仿宋" w:hAnsi="仿宋" w:eastAsia="仿宋" w:cs="仿宋"/>
          <w:spacing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标。主要反映部门职责对社会发展所带来的直接或间接效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益及社会公众或部门的服务对象对部门履职效果的满意程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度。</w:t>
      </w:r>
    </w:p>
    <w:p w14:paraId="588DE4EA">
      <w:pPr>
        <w:spacing w:before="52" w:line="219" w:lineRule="auto"/>
        <w:ind w:left="207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1"/>
          <w:sz w:val="31"/>
          <w:szCs w:val="31"/>
        </w:rPr>
        <w:t>表</w:t>
      </w:r>
      <w:r>
        <w:rPr>
          <w:rFonts w:ascii="宋体" w:hAnsi="宋体" w:eastAsia="宋体" w:cs="宋体"/>
          <w:spacing w:val="-29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pacing w:val="1"/>
          <w:sz w:val="31"/>
          <w:szCs w:val="31"/>
        </w:rPr>
        <w:t>5</w:t>
      </w:r>
      <w:r>
        <w:rPr>
          <w:rFonts w:ascii="宋体" w:hAnsi="宋体" w:eastAsia="宋体" w:cs="宋体"/>
          <w:spacing w:val="1"/>
          <w:sz w:val="31"/>
          <w:szCs w:val="31"/>
        </w:rPr>
        <w:t xml:space="preserve">  </w:t>
      </w:r>
      <w:r>
        <w:rPr>
          <w:rFonts w:ascii="宋体" w:hAnsi="宋体" w:eastAsia="宋体" w:cs="宋体"/>
          <w:b/>
          <w:bCs/>
          <w:spacing w:val="1"/>
          <w:sz w:val="31"/>
          <w:szCs w:val="31"/>
        </w:rPr>
        <w:t>效果指标及得分情况表</w:t>
      </w:r>
    </w:p>
    <w:p w14:paraId="1D4F9145">
      <w:pPr>
        <w:spacing w:line="209" w:lineRule="exact"/>
      </w:pPr>
    </w:p>
    <w:tbl>
      <w:tblPr>
        <w:tblStyle w:val="5"/>
        <w:tblW w:w="6919" w:type="dxa"/>
        <w:tblInd w:w="60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53"/>
        <w:gridCol w:w="1148"/>
        <w:gridCol w:w="2107"/>
        <w:gridCol w:w="1188"/>
        <w:gridCol w:w="1023"/>
      </w:tblGrid>
      <w:tr w14:paraId="495724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3" w:hRule="atLeast"/>
        </w:trPr>
        <w:tc>
          <w:tcPr>
            <w:tcW w:w="1453" w:type="dxa"/>
            <w:vAlign w:val="top"/>
          </w:tcPr>
          <w:p w14:paraId="5401A22B">
            <w:pPr>
              <w:pStyle w:val="6"/>
              <w:spacing w:before="101" w:line="220" w:lineRule="auto"/>
              <w:ind w:left="298"/>
              <w:rPr>
                <w:sz w:val="21"/>
                <w:szCs w:val="21"/>
              </w:rPr>
            </w:pPr>
            <w:r>
              <w:rPr>
                <w:b/>
                <w:bCs/>
                <w:spacing w:val="-6"/>
                <w:sz w:val="21"/>
                <w:szCs w:val="21"/>
              </w:rPr>
              <w:t>一级指标</w:t>
            </w:r>
          </w:p>
        </w:tc>
        <w:tc>
          <w:tcPr>
            <w:tcW w:w="1148" w:type="dxa"/>
            <w:vAlign w:val="top"/>
          </w:tcPr>
          <w:p w14:paraId="3FCE49A0">
            <w:pPr>
              <w:pStyle w:val="6"/>
              <w:spacing w:before="101" w:line="220" w:lineRule="auto"/>
              <w:ind w:left="144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二级指标</w:t>
            </w:r>
          </w:p>
        </w:tc>
        <w:tc>
          <w:tcPr>
            <w:tcW w:w="2107" w:type="dxa"/>
            <w:vAlign w:val="top"/>
          </w:tcPr>
          <w:p w14:paraId="19E968E4">
            <w:pPr>
              <w:pStyle w:val="6"/>
              <w:spacing w:before="101" w:line="220" w:lineRule="auto"/>
              <w:ind w:left="626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三级指标</w:t>
            </w:r>
          </w:p>
        </w:tc>
        <w:tc>
          <w:tcPr>
            <w:tcW w:w="1188" w:type="dxa"/>
            <w:vAlign w:val="top"/>
          </w:tcPr>
          <w:p w14:paraId="5ACFE3D4">
            <w:pPr>
              <w:pStyle w:val="6"/>
              <w:spacing w:before="100" w:line="219" w:lineRule="auto"/>
              <w:ind w:left="169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分数权重</w:t>
            </w:r>
          </w:p>
        </w:tc>
        <w:tc>
          <w:tcPr>
            <w:tcW w:w="1023" w:type="dxa"/>
            <w:vAlign w:val="top"/>
          </w:tcPr>
          <w:p w14:paraId="135DBDEA">
            <w:pPr>
              <w:pStyle w:val="6"/>
              <w:spacing w:before="100" w:line="219" w:lineRule="auto"/>
              <w:ind w:left="301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得分</w:t>
            </w:r>
          </w:p>
        </w:tc>
      </w:tr>
      <w:tr w14:paraId="164267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</w:trPr>
        <w:tc>
          <w:tcPr>
            <w:tcW w:w="1453" w:type="dxa"/>
            <w:vMerge w:val="restart"/>
            <w:tcBorders>
              <w:bottom w:val="nil"/>
            </w:tcBorders>
            <w:vAlign w:val="top"/>
          </w:tcPr>
          <w:p w14:paraId="586EA210">
            <w:pPr>
              <w:spacing w:line="349" w:lineRule="auto"/>
              <w:rPr>
                <w:rFonts w:ascii="Arial"/>
                <w:sz w:val="21"/>
              </w:rPr>
            </w:pPr>
          </w:p>
          <w:p w14:paraId="3E3CCCB3">
            <w:pPr>
              <w:spacing w:line="349" w:lineRule="auto"/>
              <w:rPr>
                <w:rFonts w:ascii="Arial"/>
                <w:sz w:val="21"/>
              </w:rPr>
            </w:pPr>
          </w:p>
          <w:p w14:paraId="6B177C6F">
            <w:pPr>
              <w:pStyle w:val="6"/>
              <w:spacing w:before="69" w:line="220" w:lineRule="auto"/>
              <w:ind w:left="294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项目效果</w:t>
            </w:r>
          </w:p>
          <w:p w14:paraId="5FA8A9E6">
            <w:pPr>
              <w:pStyle w:val="6"/>
              <w:spacing w:before="169" w:line="220" w:lineRule="auto"/>
              <w:ind w:left="404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</w:rPr>
              <w:t>(20分)</w:t>
            </w:r>
          </w:p>
        </w:tc>
        <w:tc>
          <w:tcPr>
            <w:tcW w:w="1148" w:type="dxa"/>
            <w:vMerge w:val="restart"/>
            <w:tcBorders>
              <w:bottom w:val="nil"/>
            </w:tcBorders>
            <w:vAlign w:val="top"/>
          </w:tcPr>
          <w:p w14:paraId="18A93E7E">
            <w:pPr>
              <w:spacing w:line="281" w:lineRule="auto"/>
              <w:rPr>
                <w:rFonts w:ascii="Arial"/>
                <w:sz w:val="21"/>
              </w:rPr>
            </w:pPr>
          </w:p>
          <w:p w14:paraId="388CDC7A">
            <w:pPr>
              <w:pStyle w:val="6"/>
              <w:spacing w:before="68" w:line="220" w:lineRule="auto"/>
              <w:ind w:left="141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效果指标</w:t>
            </w:r>
          </w:p>
          <w:p w14:paraId="597AE813">
            <w:pPr>
              <w:pStyle w:val="6"/>
              <w:spacing w:before="169" w:line="220" w:lineRule="auto"/>
              <w:ind w:left="251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</w:rPr>
              <w:t>(10分)</w:t>
            </w:r>
          </w:p>
        </w:tc>
        <w:tc>
          <w:tcPr>
            <w:tcW w:w="2107" w:type="dxa"/>
            <w:vAlign w:val="top"/>
          </w:tcPr>
          <w:p w14:paraId="5F4DFF45">
            <w:pPr>
              <w:pStyle w:val="6"/>
              <w:spacing w:before="210" w:line="219" w:lineRule="auto"/>
              <w:ind w:left="523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信息披露率</w:t>
            </w:r>
          </w:p>
        </w:tc>
        <w:tc>
          <w:tcPr>
            <w:tcW w:w="1188" w:type="dxa"/>
            <w:vAlign w:val="top"/>
          </w:tcPr>
          <w:p w14:paraId="4B13FFCA">
            <w:pPr>
              <w:pStyle w:val="6"/>
              <w:spacing w:before="231"/>
              <w:ind w:left="486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10</w:t>
            </w:r>
          </w:p>
        </w:tc>
        <w:tc>
          <w:tcPr>
            <w:tcW w:w="1023" w:type="dxa"/>
            <w:vAlign w:val="top"/>
          </w:tcPr>
          <w:p w14:paraId="27852B7E">
            <w:pPr>
              <w:pStyle w:val="6"/>
              <w:spacing w:before="231"/>
              <w:ind w:left="398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10</w:t>
            </w:r>
          </w:p>
        </w:tc>
      </w:tr>
      <w:tr w14:paraId="2D1CAA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1453" w:type="dxa"/>
            <w:vMerge w:val="continue"/>
            <w:tcBorders>
              <w:top w:val="nil"/>
              <w:bottom w:val="nil"/>
            </w:tcBorders>
            <w:vAlign w:val="top"/>
          </w:tcPr>
          <w:p w14:paraId="6809131A">
            <w:pPr>
              <w:rPr>
                <w:rFonts w:ascii="Arial"/>
                <w:sz w:val="21"/>
              </w:rPr>
            </w:pPr>
          </w:p>
        </w:tc>
        <w:tc>
          <w:tcPr>
            <w:tcW w:w="1148" w:type="dxa"/>
            <w:vMerge w:val="continue"/>
            <w:tcBorders>
              <w:top w:val="nil"/>
            </w:tcBorders>
            <w:vAlign w:val="top"/>
          </w:tcPr>
          <w:p w14:paraId="54725B94">
            <w:pPr>
              <w:rPr>
                <w:rFonts w:ascii="Arial"/>
                <w:sz w:val="21"/>
              </w:rPr>
            </w:pPr>
          </w:p>
        </w:tc>
        <w:tc>
          <w:tcPr>
            <w:tcW w:w="2107" w:type="dxa"/>
            <w:vAlign w:val="top"/>
          </w:tcPr>
          <w:p w14:paraId="717206D6">
            <w:pPr>
              <w:pStyle w:val="6"/>
              <w:spacing w:before="202" w:line="219" w:lineRule="auto"/>
              <w:ind w:left="523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综合利用率</w:t>
            </w:r>
          </w:p>
        </w:tc>
        <w:tc>
          <w:tcPr>
            <w:tcW w:w="1188" w:type="dxa"/>
            <w:vAlign w:val="top"/>
          </w:tcPr>
          <w:p w14:paraId="733F1041">
            <w:pPr>
              <w:pStyle w:val="6"/>
              <w:spacing w:before="223"/>
              <w:ind w:left="53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  <w:tc>
          <w:tcPr>
            <w:tcW w:w="1023" w:type="dxa"/>
            <w:vAlign w:val="top"/>
          </w:tcPr>
          <w:p w14:paraId="03C015E9">
            <w:pPr>
              <w:pStyle w:val="6"/>
              <w:spacing w:before="223"/>
              <w:ind w:left="44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</w:tr>
      <w:tr w14:paraId="07B2F0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453" w:type="dxa"/>
            <w:vMerge w:val="continue"/>
            <w:tcBorders>
              <w:top w:val="nil"/>
            </w:tcBorders>
            <w:vAlign w:val="top"/>
          </w:tcPr>
          <w:p w14:paraId="453EEFC0">
            <w:pPr>
              <w:rPr>
                <w:rFonts w:ascii="Arial"/>
                <w:sz w:val="21"/>
              </w:rPr>
            </w:pPr>
          </w:p>
        </w:tc>
        <w:tc>
          <w:tcPr>
            <w:tcW w:w="1148" w:type="dxa"/>
            <w:vAlign w:val="top"/>
          </w:tcPr>
          <w:p w14:paraId="686FA1FE">
            <w:pPr>
              <w:pStyle w:val="6"/>
              <w:spacing w:before="174" w:line="219" w:lineRule="auto"/>
              <w:ind w:left="41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满意度指标</w:t>
            </w:r>
          </w:p>
          <w:p w14:paraId="2FF18A58">
            <w:pPr>
              <w:pStyle w:val="6"/>
              <w:spacing w:before="171" w:line="195" w:lineRule="auto"/>
              <w:ind w:left="251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</w:rPr>
              <w:t>(10分)</w:t>
            </w:r>
          </w:p>
        </w:tc>
        <w:tc>
          <w:tcPr>
            <w:tcW w:w="2107" w:type="dxa"/>
            <w:vAlign w:val="top"/>
          </w:tcPr>
          <w:p w14:paraId="1C989170">
            <w:pPr>
              <w:spacing w:line="244" w:lineRule="auto"/>
              <w:rPr>
                <w:rFonts w:ascii="Arial"/>
                <w:sz w:val="21"/>
              </w:rPr>
            </w:pPr>
          </w:p>
          <w:p w14:paraId="1C43455B">
            <w:pPr>
              <w:pStyle w:val="6"/>
              <w:spacing w:before="69" w:line="219" w:lineRule="auto"/>
              <w:ind w:left="523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群众满意度</w:t>
            </w:r>
          </w:p>
        </w:tc>
        <w:tc>
          <w:tcPr>
            <w:tcW w:w="1188" w:type="dxa"/>
            <w:vAlign w:val="top"/>
          </w:tcPr>
          <w:p w14:paraId="6960E5B0">
            <w:pPr>
              <w:spacing w:line="265" w:lineRule="auto"/>
              <w:rPr>
                <w:rFonts w:ascii="Arial"/>
                <w:sz w:val="21"/>
              </w:rPr>
            </w:pPr>
          </w:p>
          <w:p w14:paraId="76B9A2B3">
            <w:pPr>
              <w:pStyle w:val="6"/>
              <w:spacing w:before="68"/>
              <w:ind w:left="53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  <w:tc>
          <w:tcPr>
            <w:tcW w:w="1023" w:type="dxa"/>
            <w:vAlign w:val="top"/>
          </w:tcPr>
          <w:p w14:paraId="526A63B6">
            <w:pPr>
              <w:spacing w:line="265" w:lineRule="auto"/>
              <w:rPr>
                <w:rFonts w:ascii="Arial"/>
                <w:sz w:val="21"/>
              </w:rPr>
            </w:pPr>
          </w:p>
          <w:p w14:paraId="43F39485">
            <w:pPr>
              <w:pStyle w:val="6"/>
              <w:spacing w:before="68"/>
              <w:ind w:left="44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</w:tr>
      <w:tr w14:paraId="0D24A1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2601" w:type="dxa"/>
            <w:gridSpan w:val="2"/>
            <w:vAlign w:val="top"/>
          </w:tcPr>
          <w:p w14:paraId="4A9A820C">
            <w:pPr>
              <w:pStyle w:val="6"/>
              <w:spacing w:before="169" w:line="201" w:lineRule="auto"/>
              <w:ind w:left="108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合计</w:t>
            </w:r>
          </w:p>
        </w:tc>
        <w:tc>
          <w:tcPr>
            <w:tcW w:w="2107" w:type="dxa"/>
            <w:vAlign w:val="top"/>
          </w:tcPr>
          <w:p w14:paraId="313A56B3">
            <w:pPr>
              <w:rPr>
                <w:rFonts w:ascii="Arial"/>
                <w:sz w:val="21"/>
              </w:rPr>
            </w:pPr>
          </w:p>
        </w:tc>
        <w:tc>
          <w:tcPr>
            <w:tcW w:w="1188" w:type="dxa"/>
            <w:vAlign w:val="top"/>
          </w:tcPr>
          <w:p w14:paraId="5352565F">
            <w:pPr>
              <w:pStyle w:val="6"/>
              <w:spacing w:before="209" w:line="166" w:lineRule="auto"/>
              <w:ind w:left="486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20</w:t>
            </w:r>
          </w:p>
        </w:tc>
        <w:tc>
          <w:tcPr>
            <w:tcW w:w="1023" w:type="dxa"/>
            <w:vAlign w:val="top"/>
          </w:tcPr>
          <w:p w14:paraId="1FC36E78">
            <w:pPr>
              <w:pStyle w:val="6"/>
              <w:spacing w:before="188" w:line="184" w:lineRule="auto"/>
              <w:ind w:left="398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20</w:t>
            </w:r>
          </w:p>
        </w:tc>
      </w:tr>
    </w:tbl>
    <w:p w14:paraId="0415268C">
      <w:pPr>
        <w:pStyle w:val="2"/>
      </w:pPr>
    </w:p>
    <w:p w14:paraId="7F03BE10">
      <w:pPr>
        <w:sectPr>
          <w:headerReference r:id="rId61" w:type="default"/>
          <w:footerReference r:id="rId62" w:type="default"/>
          <w:pgSz w:w="11900" w:h="16820"/>
          <w:pgMar w:top="1030" w:right="1760" w:bottom="1394" w:left="1660" w:header="1010" w:footer="1259" w:gutter="0"/>
          <w:cols w:space="720" w:num="1"/>
        </w:sectPr>
      </w:pPr>
    </w:p>
    <w:p w14:paraId="61627FDF">
      <w:pPr>
        <w:pStyle w:val="2"/>
        <w:spacing w:line="418" w:lineRule="auto"/>
      </w:pPr>
    </w:p>
    <w:p w14:paraId="7C662845">
      <w:pPr>
        <w:spacing w:before="97" w:line="222" w:lineRule="auto"/>
        <w:ind w:left="880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34"/>
          <w:sz w:val="30"/>
          <w:szCs w:val="30"/>
        </w:rPr>
        <w:t>1.</w:t>
      </w:r>
      <w:r>
        <w:rPr>
          <w:rFonts w:ascii="仿宋" w:hAnsi="仿宋" w:eastAsia="仿宋" w:cs="仿宋"/>
          <w:spacing w:val="34"/>
          <w:sz w:val="30"/>
          <w:szCs w:val="30"/>
        </w:rPr>
        <w:t>信息披露率(10分)</w:t>
      </w:r>
    </w:p>
    <w:p w14:paraId="484ADC78">
      <w:pPr>
        <w:pStyle w:val="2"/>
        <w:spacing w:line="338" w:lineRule="auto"/>
      </w:pPr>
    </w:p>
    <w:p w14:paraId="45D42ADA">
      <w:pPr>
        <w:spacing w:before="98" w:line="366" w:lineRule="auto"/>
        <w:ind w:left="210" w:right="395" w:firstLine="63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5"/>
          <w:sz w:val="30"/>
          <w:szCs w:val="30"/>
        </w:rPr>
        <w:t>该指标主要评价制作与安装展板、信息牌的信息披露</w:t>
      </w:r>
      <w:r>
        <w:rPr>
          <w:rFonts w:ascii="仿宋" w:hAnsi="仿宋" w:eastAsia="仿宋" w:cs="仿宋"/>
          <w:spacing w:val="1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率，年度指标值=100%,全年完成值100%。</w:t>
      </w:r>
    </w:p>
    <w:p w14:paraId="1EE5E152">
      <w:pPr>
        <w:spacing w:before="33" w:line="222" w:lineRule="auto"/>
        <w:ind w:left="84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3"/>
          <w:sz w:val="30"/>
          <w:szCs w:val="30"/>
        </w:rPr>
        <w:t>该项指标实际得分10分。</w:t>
      </w:r>
    </w:p>
    <w:p w14:paraId="3BE70C98">
      <w:pPr>
        <w:spacing w:before="259" w:line="222" w:lineRule="auto"/>
        <w:ind w:left="790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40"/>
          <w:sz w:val="30"/>
          <w:szCs w:val="30"/>
        </w:rPr>
        <w:t>2、</w:t>
      </w:r>
      <w:r>
        <w:rPr>
          <w:rFonts w:ascii="仿宋" w:hAnsi="仿宋" w:eastAsia="仿宋" w:cs="仿宋"/>
          <w:spacing w:val="40"/>
          <w:sz w:val="30"/>
          <w:szCs w:val="30"/>
        </w:rPr>
        <w:t>综合利用率(5分)</w:t>
      </w:r>
    </w:p>
    <w:p w14:paraId="35111CD6">
      <w:pPr>
        <w:pStyle w:val="2"/>
        <w:spacing w:line="349" w:lineRule="auto"/>
      </w:pPr>
    </w:p>
    <w:p w14:paraId="114F88A1">
      <w:pPr>
        <w:spacing w:before="97" w:line="364" w:lineRule="auto"/>
        <w:ind w:left="130" w:right="436" w:firstLine="65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6"/>
          <w:sz w:val="30"/>
          <w:szCs w:val="30"/>
        </w:rPr>
        <w:t>该指标主要评价建设项目建成后的综合利用情况，通</w:t>
      </w:r>
      <w:r>
        <w:rPr>
          <w:rFonts w:ascii="仿宋" w:hAnsi="仿宋" w:eastAsia="仿宋" w:cs="仿宋"/>
          <w:spacing w:val="1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9"/>
          <w:sz w:val="30"/>
          <w:szCs w:val="30"/>
        </w:rPr>
        <w:t>过综合利用率反映。年度指标值≥95%,全年完成值95%。</w:t>
      </w:r>
    </w:p>
    <w:p w14:paraId="401C25DF">
      <w:pPr>
        <w:spacing w:before="37" w:line="222" w:lineRule="auto"/>
        <w:ind w:left="79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4"/>
          <w:sz w:val="30"/>
          <w:szCs w:val="30"/>
        </w:rPr>
        <w:t>该项指标实际得分5分。</w:t>
      </w:r>
    </w:p>
    <w:p w14:paraId="62446E87">
      <w:pPr>
        <w:spacing w:before="260" w:line="222" w:lineRule="auto"/>
        <w:ind w:left="700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40"/>
          <w:sz w:val="30"/>
          <w:szCs w:val="30"/>
        </w:rPr>
        <w:t>3、</w:t>
      </w:r>
      <w:r>
        <w:rPr>
          <w:rFonts w:ascii="仿宋" w:hAnsi="仿宋" w:eastAsia="仿宋" w:cs="仿宋"/>
          <w:spacing w:val="40"/>
          <w:sz w:val="30"/>
          <w:szCs w:val="30"/>
        </w:rPr>
        <w:t>群众满意度(5分)</w:t>
      </w:r>
    </w:p>
    <w:p w14:paraId="182FF3A0">
      <w:pPr>
        <w:pStyle w:val="2"/>
        <w:spacing w:line="327" w:lineRule="auto"/>
      </w:pPr>
    </w:p>
    <w:p w14:paraId="4052257E">
      <w:pPr>
        <w:spacing w:before="98" w:line="358" w:lineRule="auto"/>
        <w:ind w:left="90" w:right="333" w:firstLine="79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2"/>
          <w:sz w:val="30"/>
          <w:szCs w:val="30"/>
        </w:rPr>
        <w:t>(1)该指标主要评价社会公众或部门的服务对象对部</w:t>
      </w:r>
      <w:r>
        <w:rPr>
          <w:rFonts w:ascii="仿宋" w:hAnsi="仿宋" w:eastAsia="仿宋" w:cs="仿宋"/>
          <w:spacing w:val="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7"/>
          <w:sz w:val="30"/>
          <w:szCs w:val="30"/>
        </w:rPr>
        <w:t>门履职效果的满意程度，通过群众满意度反映。年度指标</w:t>
      </w:r>
      <w:r>
        <w:rPr>
          <w:rFonts w:ascii="仿宋" w:hAnsi="仿宋" w:eastAsia="仿宋" w:cs="仿宋"/>
          <w:spacing w:val="1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20"/>
          <w:sz w:val="30"/>
          <w:szCs w:val="30"/>
        </w:rPr>
        <w:t>值≥95%,全年完成值95%。</w:t>
      </w:r>
    </w:p>
    <w:p w14:paraId="4C91B68C">
      <w:pPr>
        <w:spacing w:before="87" w:line="222" w:lineRule="auto"/>
        <w:ind w:left="7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5"/>
          <w:sz w:val="30"/>
          <w:szCs w:val="30"/>
        </w:rPr>
        <w:t>该指标实际得分5分。</w:t>
      </w:r>
    </w:p>
    <w:p w14:paraId="596B1459">
      <w:pPr>
        <w:spacing w:before="274" w:line="221" w:lineRule="auto"/>
        <w:ind w:left="704"/>
        <w:outlineLvl w:val="0"/>
        <w:rPr>
          <w:rFonts w:ascii="黑体" w:hAnsi="黑体" w:eastAsia="黑体" w:cs="黑体"/>
          <w:sz w:val="30"/>
          <w:szCs w:val="30"/>
        </w:rPr>
      </w:pPr>
      <w:bookmarkStart w:id="39" w:name="bookmark25"/>
      <w:bookmarkEnd w:id="39"/>
      <w:r>
        <w:rPr>
          <w:rFonts w:ascii="黑体" w:hAnsi="黑体" w:eastAsia="黑体" w:cs="黑体"/>
          <w:b/>
          <w:bCs/>
          <w:spacing w:val="9"/>
          <w:sz w:val="30"/>
          <w:szCs w:val="30"/>
        </w:rPr>
        <w:t>五</w:t>
      </w:r>
      <w:r>
        <w:rPr>
          <w:rFonts w:ascii="黑体" w:hAnsi="黑体" w:eastAsia="黑体" w:cs="黑体"/>
          <w:spacing w:val="-74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9"/>
          <w:sz w:val="30"/>
          <w:szCs w:val="30"/>
        </w:rPr>
        <w:t>、绩效评价发现的问题、意见及建议</w:t>
      </w:r>
    </w:p>
    <w:p w14:paraId="757C34BC">
      <w:pPr>
        <w:spacing w:before="255" w:line="376" w:lineRule="auto"/>
        <w:ind w:right="245" w:firstLine="70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0"/>
          <w:sz w:val="30"/>
          <w:szCs w:val="30"/>
        </w:rPr>
        <w:t>通过对各指标得分及扣分原因的分析，住建</w:t>
      </w:r>
      <w:r>
        <w:rPr>
          <w:rFonts w:ascii="仿宋" w:hAnsi="仿宋" w:eastAsia="仿宋" w:cs="仿宋"/>
          <w:spacing w:val="19"/>
          <w:sz w:val="30"/>
          <w:szCs w:val="30"/>
        </w:rPr>
        <w:t>局2020 年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8"/>
          <w:sz w:val="30"/>
          <w:szCs w:val="30"/>
        </w:rPr>
        <w:t>部门整体支出基本按相关要求执行预算、决算，完成</w:t>
      </w:r>
      <w:r>
        <w:rPr>
          <w:rFonts w:ascii="仿宋" w:hAnsi="仿宋" w:eastAsia="仿宋" w:cs="仿宋"/>
          <w:spacing w:val="27"/>
          <w:sz w:val="30"/>
          <w:szCs w:val="30"/>
        </w:rPr>
        <w:t>了绩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7"/>
          <w:sz w:val="30"/>
          <w:szCs w:val="30"/>
        </w:rPr>
        <w:t>效目标，资金使用效益良好。通过评价，也发现一些不足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之处，具体情况如下：</w:t>
      </w:r>
    </w:p>
    <w:p w14:paraId="27B76660">
      <w:pPr>
        <w:spacing w:before="56" w:line="393" w:lineRule="auto"/>
        <w:ind w:right="312" w:firstLine="640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24"/>
          <w:sz w:val="30"/>
          <w:szCs w:val="30"/>
        </w:rPr>
        <w:t>1.</w:t>
      </w:r>
      <w:r>
        <w:rPr>
          <w:rFonts w:ascii="宋体" w:hAnsi="宋体" w:eastAsia="宋体" w:cs="宋体"/>
          <w:spacing w:val="-7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4"/>
          <w:sz w:val="30"/>
          <w:szCs w:val="30"/>
        </w:rPr>
        <w:t>部分绩效指标方面，还有待于进一步精细化、科学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>化，以便于对预算项目绩效进行科学评价与考核。</w:t>
      </w:r>
    </w:p>
    <w:p w14:paraId="7D9F36FF">
      <w:pPr>
        <w:spacing w:line="393" w:lineRule="auto"/>
        <w:rPr>
          <w:rFonts w:ascii="仿宋" w:hAnsi="仿宋" w:eastAsia="仿宋" w:cs="仿宋"/>
          <w:sz w:val="30"/>
          <w:szCs w:val="30"/>
        </w:rPr>
        <w:sectPr>
          <w:headerReference r:id="rId63" w:type="default"/>
          <w:footerReference r:id="rId64" w:type="default"/>
          <w:pgSz w:w="11900" w:h="16820"/>
          <w:pgMar w:top="1019" w:right="1770" w:bottom="1401" w:left="1619" w:header="999" w:footer="1257" w:gutter="0"/>
          <w:cols w:space="720" w:num="1"/>
        </w:sectPr>
      </w:pPr>
    </w:p>
    <w:p w14:paraId="29A42978">
      <w:pPr>
        <w:pStyle w:val="2"/>
        <w:spacing w:line="437" w:lineRule="auto"/>
      </w:pPr>
    </w:p>
    <w:p w14:paraId="7FBA391A">
      <w:pPr>
        <w:spacing w:before="101" w:line="357" w:lineRule="auto"/>
        <w:ind w:left="49" w:right="60" w:firstLine="63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9"/>
          <w:sz w:val="31"/>
          <w:szCs w:val="31"/>
        </w:rPr>
        <w:t>2.</w:t>
      </w:r>
      <w:r>
        <w:rPr>
          <w:rFonts w:ascii="仿宋" w:hAnsi="仿宋" w:eastAsia="仿宋" w:cs="仿宋"/>
          <w:spacing w:val="19"/>
          <w:sz w:val="31"/>
          <w:szCs w:val="31"/>
        </w:rPr>
        <w:t>项目资金使用率方面：部分项目需要加强监督与管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理，项目资金使用率有待进一步提高。</w:t>
      </w:r>
    </w:p>
    <w:p w14:paraId="6F53878B">
      <w:pPr>
        <w:pStyle w:val="2"/>
        <w:spacing w:line="331" w:lineRule="auto"/>
      </w:pPr>
    </w:p>
    <w:p w14:paraId="41DAC307">
      <w:pPr>
        <w:pStyle w:val="2"/>
        <w:spacing w:line="332" w:lineRule="auto"/>
      </w:pPr>
    </w:p>
    <w:p w14:paraId="414662A3">
      <w:pPr>
        <w:spacing w:before="101" w:line="222" w:lineRule="auto"/>
        <w:ind w:left="98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附件：2020年预算部门整体支出绩效自评表</w:t>
      </w:r>
    </w:p>
    <w:p w14:paraId="7C0FEFAA">
      <w:pPr>
        <w:spacing w:line="222" w:lineRule="auto"/>
        <w:rPr>
          <w:rFonts w:ascii="仿宋" w:hAnsi="仿宋" w:eastAsia="仿宋" w:cs="仿宋"/>
          <w:sz w:val="31"/>
          <w:szCs w:val="31"/>
        </w:rPr>
        <w:sectPr>
          <w:headerReference r:id="rId65" w:type="default"/>
          <w:footerReference r:id="rId66" w:type="default"/>
          <w:pgSz w:w="11900" w:h="16820"/>
          <w:pgMar w:top="999" w:right="1785" w:bottom="1411" w:left="1760" w:header="979" w:footer="1267" w:gutter="0"/>
          <w:cols w:space="720" w:num="1"/>
        </w:sectPr>
      </w:pPr>
    </w:p>
    <w:p w14:paraId="6D6796A5">
      <w:pPr>
        <w:spacing w:before="8" w:line="224" w:lineRule="auto"/>
        <w:ind w:left="28"/>
        <w:rPr>
          <w:rFonts w:ascii="黑体" w:hAnsi="黑体" w:eastAsia="黑体" w:cs="黑体"/>
          <w:sz w:val="22"/>
          <w:szCs w:val="22"/>
        </w:rPr>
      </w:pPr>
      <w:r>
        <w:rPr>
          <w:rFonts w:ascii="黑体" w:hAnsi="黑体" w:eastAsia="黑体" w:cs="黑体"/>
          <w:b/>
          <w:bCs/>
          <w:spacing w:val="2"/>
          <w:sz w:val="22"/>
          <w:szCs w:val="22"/>
        </w:rPr>
        <w:t>附件1:</w:t>
      </w:r>
    </w:p>
    <w:p w14:paraId="43A55881">
      <w:pPr>
        <w:spacing w:before="193" w:line="219" w:lineRule="auto"/>
        <w:ind w:left="4969"/>
        <w:rPr>
          <w:rFonts w:ascii="宋体" w:hAnsi="宋体" w:eastAsia="宋体" w:cs="宋体"/>
          <w:sz w:val="32"/>
          <w:szCs w:val="32"/>
        </w:rPr>
      </w:pPr>
      <w: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3432175</wp:posOffset>
            </wp:positionH>
            <wp:positionV relativeFrom="paragraph">
              <wp:posOffset>116840</wp:posOffset>
            </wp:positionV>
            <wp:extent cx="1460500" cy="1454150"/>
            <wp:effectExtent l="0" t="0" r="0" b="0"/>
            <wp:wrapNone/>
            <wp:docPr id="70" name="IM 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 70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1460478" cy="14541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b/>
          <w:bCs/>
          <w:spacing w:val="-3"/>
          <w:sz w:val="32"/>
          <w:szCs w:val="32"/>
        </w:rPr>
        <w:t>2020年度预算部门整体支出绩效自评表</w:t>
      </w:r>
    </w:p>
    <w:p w14:paraId="450D4644">
      <w:pPr>
        <w:spacing w:before="65" w:line="232" w:lineRule="auto"/>
        <w:ind w:left="26"/>
        <w:rPr>
          <w:rFonts w:ascii="宋体" w:hAnsi="宋体" w:eastAsia="宋体" w:cs="宋体"/>
          <w:sz w:val="15"/>
          <w:szCs w:val="15"/>
        </w:rPr>
      </w:pPr>
      <w:r>
        <w:rPr>
          <w:rFonts w:ascii="宋体" w:hAnsi="宋体" w:eastAsia="宋体" w:cs="宋体"/>
          <w:b/>
          <w:bCs/>
          <w:position w:val="5"/>
          <w:sz w:val="13"/>
          <w:szCs w:val="13"/>
        </w:rPr>
        <w:t>填报单位：</w:t>
      </w:r>
      <w:r>
        <w:rPr>
          <w:rFonts w:ascii="宋体" w:hAnsi="宋体" w:eastAsia="宋体" w:cs="宋体"/>
          <w:position w:val="5"/>
          <w:sz w:val="13"/>
          <w:szCs w:val="13"/>
        </w:rPr>
        <w:t xml:space="preserve">                                                               </w:t>
      </w:r>
      <w:r>
        <w:rPr>
          <w:rFonts w:ascii="宋体" w:hAnsi="宋体" w:eastAsia="宋体" w:cs="宋体"/>
          <w:b/>
          <w:bCs/>
          <w:position w:val="-1"/>
          <w:sz w:val="15"/>
          <w:szCs w:val="15"/>
        </w:rPr>
        <w:t>主管部门；</w:t>
      </w:r>
      <w:r>
        <w:rPr>
          <w:rFonts w:ascii="宋体" w:hAnsi="宋体" w:eastAsia="宋体" w:cs="宋体"/>
          <w:position w:val="-1"/>
          <w:sz w:val="15"/>
          <w:szCs w:val="15"/>
        </w:rPr>
        <w:t xml:space="preserve">      </w:t>
      </w:r>
      <w:r>
        <w:rPr>
          <w:rFonts w:ascii="宋体" w:hAnsi="宋体" w:eastAsia="宋体" w:cs="宋体"/>
          <w:b/>
          <w:bCs/>
          <w:sz w:val="15"/>
          <w:szCs w:val="15"/>
        </w:rPr>
        <w:t>曲阳县住房和城乡建设局</w:t>
      </w:r>
      <w:r>
        <w:rPr>
          <w:rFonts w:ascii="宋体" w:hAnsi="宋体" w:eastAsia="宋体" w:cs="宋体"/>
          <w:sz w:val="15"/>
          <w:szCs w:val="15"/>
        </w:rPr>
        <w:t xml:space="preserve">          </w:t>
      </w:r>
      <w:r>
        <w:rPr>
          <w:rFonts w:ascii="宋体" w:hAnsi="宋体" w:eastAsia="宋体" w:cs="宋体"/>
          <w:spacing w:val="-1"/>
          <w:sz w:val="15"/>
          <w:szCs w:val="15"/>
        </w:rPr>
        <w:t xml:space="preserve">                                                                         </w:t>
      </w:r>
      <w:r>
        <w:rPr>
          <w:rFonts w:ascii="宋体" w:hAnsi="宋体" w:eastAsia="宋体" w:cs="宋体"/>
          <w:b/>
          <w:bCs/>
          <w:spacing w:val="-1"/>
          <w:position w:val="-2"/>
          <w:sz w:val="15"/>
          <w:szCs w:val="15"/>
        </w:rPr>
        <w:t>金额单位：万元</w:t>
      </w:r>
    </w:p>
    <w:p w14:paraId="6D62E22B">
      <w:pPr>
        <w:spacing w:line="103" w:lineRule="exact"/>
      </w:pPr>
    </w:p>
    <w:tbl>
      <w:tblPr>
        <w:tblStyle w:val="5"/>
        <w:tblW w:w="1534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5"/>
        <w:gridCol w:w="1849"/>
        <w:gridCol w:w="1859"/>
        <w:gridCol w:w="1209"/>
        <w:gridCol w:w="1199"/>
        <w:gridCol w:w="1209"/>
        <w:gridCol w:w="1209"/>
        <w:gridCol w:w="860"/>
        <w:gridCol w:w="840"/>
        <w:gridCol w:w="849"/>
        <w:gridCol w:w="1079"/>
        <w:gridCol w:w="1079"/>
        <w:gridCol w:w="1074"/>
      </w:tblGrid>
      <w:tr w14:paraId="39B932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1025" w:type="dxa"/>
            <w:tcBorders>
              <w:top w:val="single" w:color="000000" w:sz="2" w:space="0"/>
            </w:tcBorders>
            <w:vAlign w:val="top"/>
          </w:tcPr>
          <w:p w14:paraId="2B026A59">
            <w:pPr>
              <w:pStyle w:val="6"/>
              <w:spacing w:before="224" w:line="219" w:lineRule="auto"/>
              <w:ind w:left="187"/>
              <w:rPr>
                <w:sz w:val="16"/>
                <w:szCs w:val="16"/>
              </w:rPr>
            </w:pPr>
            <w:r>
              <w:rPr>
                <w:b/>
                <w:bCs/>
                <w:spacing w:val="-4"/>
                <w:sz w:val="16"/>
                <w:szCs w:val="16"/>
              </w:rPr>
              <w:t>部门编码</w:t>
            </w:r>
          </w:p>
        </w:tc>
        <w:tc>
          <w:tcPr>
            <w:tcW w:w="1849" w:type="dxa"/>
            <w:tcBorders>
              <w:top w:val="single" w:color="000000" w:sz="2" w:space="0"/>
            </w:tcBorders>
            <w:vAlign w:val="top"/>
          </w:tcPr>
          <w:p w14:paraId="4E4AE00E">
            <w:pPr>
              <w:pStyle w:val="6"/>
              <w:spacing w:before="242"/>
              <w:ind w:left="10"/>
              <w:rPr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333</w:t>
            </w:r>
          </w:p>
        </w:tc>
        <w:tc>
          <w:tcPr>
            <w:tcW w:w="1859" w:type="dxa"/>
            <w:tcBorders>
              <w:top w:val="single" w:color="000000" w:sz="2" w:space="0"/>
            </w:tcBorders>
            <w:vAlign w:val="top"/>
          </w:tcPr>
          <w:p w14:paraId="260157DB">
            <w:pPr>
              <w:pStyle w:val="6"/>
              <w:spacing w:before="224" w:line="219" w:lineRule="auto"/>
              <w:ind w:left="603"/>
              <w:rPr>
                <w:sz w:val="16"/>
                <w:szCs w:val="16"/>
              </w:rPr>
            </w:pPr>
            <w:r>
              <w:rPr>
                <w:b/>
                <w:bCs/>
                <w:spacing w:val="-4"/>
                <w:sz w:val="16"/>
                <w:szCs w:val="16"/>
              </w:rPr>
              <w:t>部门名称</w:t>
            </w:r>
          </w:p>
        </w:tc>
        <w:tc>
          <w:tcPr>
            <w:tcW w:w="3617" w:type="dxa"/>
            <w:gridSpan w:val="3"/>
            <w:tcBorders>
              <w:top w:val="single" w:color="000000" w:sz="2" w:space="0"/>
            </w:tcBorders>
            <w:vAlign w:val="top"/>
          </w:tcPr>
          <w:p w14:paraId="4D2A76F8">
            <w:pPr>
              <w:pStyle w:val="6"/>
              <w:spacing w:before="226" w:line="219" w:lineRule="auto"/>
              <w:ind w:left="922"/>
              <w:rPr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曲阳县住房和城乡建设局</w:t>
            </w:r>
          </w:p>
        </w:tc>
        <w:tc>
          <w:tcPr>
            <w:tcW w:w="1209" w:type="dxa"/>
            <w:tcBorders>
              <w:top w:val="single" w:color="000000" w:sz="2" w:space="0"/>
            </w:tcBorders>
            <w:vAlign w:val="top"/>
          </w:tcPr>
          <w:p w14:paraId="406CCF5D">
            <w:pPr>
              <w:pStyle w:val="6"/>
              <w:spacing w:before="163" w:line="197" w:lineRule="auto"/>
              <w:ind w:left="277"/>
              <w:rPr>
                <w:sz w:val="16"/>
                <w:szCs w:val="16"/>
              </w:rPr>
            </w:pPr>
            <w:r>
              <w:rPr>
                <w:b/>
                <w:bCs/>
                <w:spacing w:val="-4"/>
                <w:sz w:val="16"/>
                <w:szCs w:val="16"/>
              </w:rPr>
              <w:t>预算金额</w:t>
            </w:r>
          </w:p>
          <w:p w14:paraId="0105A85E">
            <w:pPr>
              <w:pStyle w:val="6"/>
              <w:spacing w:line="220" w:lineRule="auto"/>
              <w:ind w:left="317"/>
              <w:rPr>
                <w:sz w:val="16"/>
                <w:szCs w:val="16"/>
              </w:rPr>
            </w:pPr>
            <w:r>
              <w:rPr>
                <w:b/>
                <w:bCs/>
                <w:spacing w:val="4"/>
                <w:sz w:val="16"/>
                <w:szCs w:val="16"/>
              </w:rPr>
              <w:t>(调整后)</w:t>
            </w:r>
          </w:p>
        </w:tc>
        <w:tc>
          <w:tcPr>
            <w:tcW w:w="1700" w:type="dxa"/>
            <w:gridSpan w:val="2"/>
            <w:tcBorders>
              <w:top w:val="single" w:color="000000" w:sz="2" w:space="0"/>
            </w:tcBorders>
            <w:vAlign w:val="top"/>
          </w:tcPr>
          <w:p w14:paraId="51765171">
            <w:pPr>
              <w:pStyle w:val="6"/>
              <w:spacing w:before="242" w:line="239" w:lineRule="auto"/>
              <w:ind w:left="545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33042.79</w:t>
            </w:r>
          </w:p>
        </w:tc>
        <w:tc>
          <w:tcPr>
            <w:tcW w:w="849" w:type="dxa"/>
            <w:tcBorders>
              <w:top w:val="single" w:color="000000" w:sz="2" w:space="0"/>
            </w:tcBorders>
            <w:vAlign w:val="top"/>
          </w:tcPr>
          <w:p w14:paraId="6811A6FC">
            <w:pPr>
              <w:pStyle w:val="6"/>
              <w:spacing w:before="226" w:line="219" w:lineRule="auto"/>
              <w:ind w:left="96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执行金额</w:t>
            </w:r>
          </w:p>
        </w:tc>
        <w:tc>
          <w:tcPr>
            <w:tcW w:w="3232" w:type="dxa"/>
            <w:gridSpan w:val="3"/>
            <w:tcBorders>
              <w:top w:val="single" w:color="000000" w:sz="2" w:space="0"/>
            </w:tcBorders>
            <w:vAlign w:val="top"/>
          </w:tcPr>
          <w:p w14:paraId="71107600">
            <w:pPr>
              <w:pStyle w:val="6"/>
              <w:spacing w:before="240" w:line="239" w:lineRule="auto"/>
              <w:ind w:left="1329"/>
              <w:rPr>
                <w:sz w:val="16"/>
                <w:szCs w:val="16"/>
              </w:rPr>
            </w:pPr>
            <w:r>
              <w:rPr>
                <w:b/>
                <w:bCs/>
                <w:spacing w:val="-3"/>
                <w:sz w:val="16"/>
                <w:szCs w:val="16"/>
              </w:rPr>
              <w:t>32112.6</w:t>
            </w:r>
          </w:p>
        </w:tc>
      </w:tr>
      <w:tr w14:paraId="43562E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W w:w="1025" w:type="dxa"/>
            <w:vAlign w:val="top"/>
          </w:tcPr>
          <w:p w14:paraId="52D4EE71">
            <w:pPr>
              <w:pStyle w:val="6"/>
              <w:spacing w:before="155" w:line="220" w:lineRule="auto"/>
              <w:ind w:left="27"/>
              <w:rPr>
                <w:sz w:val="16"/>
                <w:szCs w:val="16"/>
              </w:rPr>
            </w:pPr>
            <w:r>
              <w:rPr>
                <w:b/>
                <w:bCs/>
                <w:spacing w:val="-3"/>
                <w:sz w:val="16"/>
                <w:szCs w:val="16"/>
              </w:rPr>
              <w:t>项目实施计划</w:t>
            </w:r>
          </w:p>
        </w:tc>
        <w:tc>
          <w:tcPr>
            <w:tcW w:w="14315" w:type="dxa"/>
            <w:gridSpan w:val="12"/>
            <w:vAlign w:val="top"/>
          </w:tcPr>
          <w:p w14:paraId="4C58803B">
            <w:pPr>
              <w:pStyle w:val="6"/>
              <w:spacing w:before="6" w:line="221" w:lineRule="auto"/>
              <w:ind w:left="20"/>
              <w:rPr>
                <w:sz w:val="16"/>
                <w:szCs w:val="16"/>
              </w:rPr>
            </w:pPr>
            <w:r>
              <w:rPr>
                <w:spacing w:val="-16"/>
                <w:sz w:val="16"/>
                <w:szCs w:val="16"/>
              </w:rPr>
              <w:t>加快城镇化进程和城</w:t>
            </w:r>
            <w:r>
              <w:rPr>
                <w:spacing w:val="-15"/>
                <w:sz w:val="16"/>
                <w:szCs w:val="16"/>
              </w:rPr>
              <w:t>市基础设施建设，改善人居环境，增强城市功</w:t>
            </w:r>
            <w:r>
              <w:rPr>
                <w:spacing w:val="-16"/>
                <w:sz w:val="16"/>
                <w:szCs w:val="16"/>
              </w:rPr>
              <w:t>能，整治建筑市场，提升建设水平，努力将县城建设成为经济繁荣、环境优美、</w:t>
            </w:r>
            <w:r>
              <w:rPr>
                <w:spacing w:val="62"/>
                <w:w w:val="101"/>
                <w:sz w:val="16"/>
                <w:szCs w:val="16"/>
              </w:rPr>
              <w:t xml:space="preserve"> </w:t>
            </w:r>
            <w:r>
              <w:rPr>
                <w:spacing w:val="-16"/>
                <w:sz w:val="16"/>
                <w:szCs w:val="16"/>
              </w:rPr>
              <w:t>功能完善、特色彰显、社会和谐的美好城市保障我县基础设施建设项目顺利</w:t>
            </w:r>
            <w:r>
              <w:rPr>
                <w:spacing w:val="-7"/>
                <w:sz w:val="16"/>
                <w:szCs w:val="16"/>
              </w:rPr>
              <w:t>开</w:t>
            </w:r>
            <w:r>
              <w:rPr>
                <w:sz w:val="16"/>
                <w:szCs w:val="16"/>
              </w:rPr>
              <w:t xml:space="preserve"> 展，加强管理，提高城市承载能力和宜居度。加强村镇建设，改善农村人居环境：提升机关及行业信息化水平，保障各类</w:t>
            </w:r>
            <w:r>
              <w:rPr>
                <w:spacing w:val="-1"/>
                <w:sz w:val="16"/>
                <w:szCs w:val="16"/>
              </w:rPr>
              <w:t>业务系统安全稳定运行</w:t>
            </w:r>
          </w:p>
        </w:tc>
      </w:tr>
      <w:tr w14:paraId="699214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W w:w="1025" w:type="dxa"/>
            <w:vMerge w:val="restart"/>
            <w:tcBorders>
              <w:bottom w:val="nil"/>
            </w:tcBorders>
            <w:vAlign w:val="top"/>
          </w:tcPr>
          <w:p w14:paraId="1813EE85">
            <w:pPr>
              <w:spacing w:line="253" w:lineRule="auto"/>
              <w:rPr>
                <w:rFonts w:ascii="Arial"/>
                <w:sz w:val="21"/>
              </w:rPr>
            </w:pPr>
          </w:p>
          <w:p w14:paraId="1D54E827">
            <w:pPr>
              <w:pStyle w:val="6"/>
              <w:spacing w:before="52" w:line="221" w:lineRule="auto"/>
              <w:ind w:left="347"/>
              <w:rPr>
                <w:sz w:val="16"/>
                <w:szCs w:val="16"/>
              </w:rPr>
            </w:pPr>
            <w:r>
              <w:rPr>
                <w:b/>
                <w:bCs/>
                <w:spacing w:val="-5"/>
                <w:sz w:val="16"/>
                <w:szCs w:val="16"/>
              </w:rPr>
              <w:t>资金</w:t>
            </w:r>
          </w:p>
          <w:p w14:paraId="72939318">
            <w:pPr>
              <w:pStyle w:val="6"/>
              <w:spacing w:before="7" w:line="220" w:lineRule="auto"/>
              <w:ind w:left="67"/>
              <w:rPr>
                <w:sz w:val="16"/>
                <w:szCs w:val="16"/>
              </w:rPr>
            </w:pPr>
            <w:r>
              <w:rPr>
                <w:b/>
                <w:bCs/>
                <w:spacing w:val="2"/>
                <w:sz w:val="16"/>
                <w:szCs w:val="16"/>
              </w:rPr>
              <w:t>支出计划(%)</w:t>
            </w:r>
          </w:p>
        </w:tc>
        <w:tc>
          <w:tcPr>
            <w:tcW w:w="3708" w:type="dxa"/>
            <w:gridSpan w:val="2"/>
            <w:vAlign w:val="top"/>
          </w:tcPr>
          <w:p w14:paraId="63B19ED1">
            <w:pPr>
              <w:pStyle w:val="6"/>
              <w:spacing w:before="156" w:line="219" w:lineRule="auto"/>
              <w:ind w:left="1522"/>
              <w:rPr>
                <w:sz w:val="16"/>
                <w:szCs w:val="16"/>
              </w:rPr>
            </w:pPr>
            <w:r>
              <w:rPr>
                <w:b/>
                <w:bCs/>
                <w:spacing w:val="-4"/>
                <w:sz w:val="16"/>
                <w:szCs w:val="16"/>
              </w:rPr>
              <w:t>第一季度</w:t>
            </w:r>
          </w:p>
        </w:tc>
        <w:tc>
          <w:tcPr>
            <w:tcW w:w="3617" w:type="dxa"/>
            <w:gridSpan w:val="3"/>
            <w:vAlign w:val="top"/>
          </w:tcPr>
          <w:p w14:paraId="178542ED">
            <w:pPr>
              <w:pStyle w:val="6"/>
              <w:spacing w:before="156" w:line="219" w:lineRule="auto"/>
              <w:ind w:left="1484"/>
              <w:rPr>
                <w:sz w:val="16"/>
                <w:szCs w:val="16"/>
              </w:rPr>
            </w:pPr>
            <w:r>
              <w:rPr>
                <w:b/>
                <w:bCs/>
                <w:spacing w:val="-3"/>
                <w:sz w:val="16"/>
                <w:szCs w:val="16"/>
              </w:rPr>
              <w:t>第二季度</w:t>
            </w:r>
          </w:p>
        </w:tc>
        <w:tc>
          <w:tcPr>
            <w:tcW w:w="3758" w:type="dxa"/>
            <w:gridSpan w:val="4"/>
            <w:vAlign w:val="top"/>
          </w:tcPr>
          <w:p w14:paraId="3D9A0743">
            <w:pPr>
              <w:pStyle w:val="6"/>
              <w:spacing w:before="156" w:line="219" w:lineRule="auto"/>
              <w:ind w:left="1557"/>
              <w:rPr>
                <w:sz w:val="16"/>
                <w:szCs w:val="16"/>
              </w:rPr>
            </w:pPr>
            <w:r>
              <w:rPr>
                <w:b/>
                <w:bCs/>
                <w:spacing w:val="-3"/>
                <w:sz w:val="16"/>
                <w:szCs w:val="16"/>
              </w:rPr>
              <w:t>第三季度</w:t>
            </w:r>
          </w:p>
        </w:tc>
        <w:tc>
          <w:tcPr>
            <w:tcW w:w="3232" w:type="dxa"/>
            <w:gridSpan w:val="3"/>
            <w:vAlign w:val="top"/>
          </w:tcPr>
          <w:p w14:paraId="23010076">
            <w:pPr>
              <w:pStyle w:val="6"/>
              <w:spacing w:before="158" w:line="219" w:lineRule="auto"/>
              <w:ind w:left="1287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第四季度</w:t>
            </w:r>
          </w:p>
        </w:tc>
      </w:tr>
      <w:tr w14:paraId="42A872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1025" w:type="dxa"/>
            <w:vMerge w:val="continue"/>
            <w:tcBorders>
              <w:top w:val="nil"/>
            </w:tcBorders>
            <w:vAlign w:val="top"/>
          </w:tcPr>
          <w:p w14:paraId="5D69D12E">
            <w:pPr>
              <w:rPr>
                <w:rFonts w:ascii="Arial"/>
                <w:sz w:val="21"/>
              </w:rPr>
            </w:pPr>
          </w:p>
        </w:tc>
        <w:tc>
          <w:tcPr>
            <w:tcW w:w="3708" w:type="dxa"/>
            <w:gridSpan w:val="2"/>
            <w:vAlign w:val="top"/>
          </w:tcPr>
          <w:p w14:paraId="07E103D5">
            <w:pPr>
              <w:pStyle w:val="6"/>
              <w:spacing w:before="164"/>
              <w:ind w:left="1722"/>
              <w:rPr>
                <w:sz w:val="16"/>
                <w:szCs w:val="16"/>
              </w:rPr>
            </w:pPr>
            <w:r>
              <w:rPr>
                <w:b/>
                <w:bCs/>
                <w:spacing w:val="-4"/>
                <w:sz w:val="16"/>
                <w:szCs w:val="16"/>
              </w:rPr>
              <w:t>30%</w:t>
            </w:r>
          </w:p>
        </w:tc>
        <w:tc>
          <w:tcPr>
            <w:tcW w:w="3617" w:type="dxa"/>
            <w:gridSpan w:val="3"/>
            <w:vAlign w:val="top"/>
          </w:tcPr>
          <w:p w14:paraId="14BBAF2B">
            <w:pPr>
              <w:pStyle w:val="6"/>
              <w:spacing w:before="165"/>
              <w:ind w:left="1682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60%</w:t>
            </w:r>
          </w:p>
        </w:tc>
        <w:tc>
          <w:tcPr>
            <w:tcW w:w="3758" w:type="dxa"/>
            <w:gridSpan w:val="4"/>
            <w:vAlign w:val="top"/>
          </w:tcPr>
          <w:p w14:paraId="425C40A6">
            <w:pPr>
              <w:pStyle w:val="6"/>
              <w:spacing w:before="165"/>
              <w:ind w:left="1754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80%</w:t>
            </w:r>
          </w:p>
        </w:tc>
        <w:tc>
          <w:tcPr>
            <w:tcW w:w="3232" w:type="dxa"/>
            <w:gridSpan w:val="3"/>
            <w:vAlign w:val="top"/>
          </w:tcPr>
          <w:p w14:paraId="5777A248">
            <w:pPr>
              <w:pStyle w:val="6"/>
              <w:spacing w:before="165"/>
              <w:ind w:left="1447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100%</w:t>
            </w:r>
          </w:p>
        </w:tc>
      </w:tr>
      <w:tr w14:paraId="103CE0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025" w:type="dxa"/>
            <w:vAlign w:val="top"/>
          </w:tcPr>
          <w:p w14:paraId="4A54AC29">
            <w:pPr>
              <w:pStyle w:val="6"/>
              <w:spacing w:before="148" w:line="220" w:lineRule="auto"/>
              <w:ind w:left="187"/>
              <w:rPr>
                <w:sz w:val="16"/>
                <w:szCs w:val="16"/>
              </w:rPr>
            </w:pPr>
            <w:r>
              <w:rPr>
                <w:b/>
                <w:bCs/>
                <w:spacing w:val="-4"/>
                <w:sz w:val="16"/>
                <w:szCs w:val="16"/>
              </w:rPr>
              <w:t>绩效目标</w:t>
            </w:r>
          </w:p>
        </w:tc>
        <w:tc>
          <w:tcPr>
            <w:tcW w:w="14315" w:type="dxa"/>
            <w:gridSpan w:val="12"/>
            <w:vAlign w:val="top"/>
          </w:tcPr>
          <w:p w14:paraId="53FBF9ED">
            <w:pPr>
              <w:pStyle w:val="6"/>
              <w:spacing w:before="9" w:line="219" w:lineRule="auto"/>
              <w:ind w:left="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保障我县基础设施建设项目顺利开展，加强管理，提高城市承载能力和宜居度。加强村镇建设，改善农村人居环境：提升机关及行业息化水平，保障各类业务</w:t>
            </w:r>
            <w:r>
              <w:rPr>
                <w:spacing w:val="-1"/>
                <w:sz w:val="16"/>
                <w:szCs w:val="16"/>
              </w:rPr>
              <w:t>系统安全稳定运行</w:t>
            </w:r>
          </w:p>
        </w:tc>
      </w:tr>
      <w:tr w14:paraId="0CCF08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1025" w:type="dxa"/>
            <w:vMerge w:val="restart"/>
            <w:tcBorders>
              <w:bottom w:val="nil"/>
            </w:tcBorders>
            <w:vAlign w:val="top"/>
          </w:tcPr>
          <w:p w14:paraId="75F71DAC">
            <w:pPr>
              <w:spacing w:line="334" w:lineRule="auto"/>
              <w:rPr>
                <w:rFonts w:ascii="Arial"/>
                <w:sz w:val="21"/>
              </w:rPr>
            </w:pPr>
          </w:p>
          <w:p w14:paraId="07AA9F8C">
            <w:pPr>
              <w:pStyle w:val="6"/>
              <w:spacing w:before="52" w:line="219" w:lineRule="auto"/>
              <w:ind w:left="27"/>
              <w:rPr>
                <w:sz w:val="16"/>
                <w:szCs w:val="16"/>
              </w:rPr>
            </w:pPr>
            <w:r>
              <w:rPr>
                <w:b/>
                <w:bCs/>
                <w:spacing w:val="-3"/>
                <w:sz w:val="16"/>
                <w:szCs w:val="16"/>
              </w:rPr>
              <w:t>绩效指标分类</w:t>
            </w:r>
          </w:p>
        </w:tc>
        <w:tc>
          <w:tcPr>
            <w:tcW w:w="1849" w:type="dxa"/>
            <w:vMerge w:val="restart"/>
            <w:tcBorders>
              <w:bottom w:val="nil"/>
            </w:tcBorders>
            <w:vAlign w:val="top"/>
          </w:tcPr>
          <w:p w14:paraId="0B2118FE">
            <w:pPr>
              <w:spacing w:line="334" w:lineRule="auto"/>
              <w:rPr>
                <w:rFonts w:ascii="Arial"/>
                <w:sz w:val="21"/>
              </w:rPr>
            </w:pPr>
          </w:p>
          <w:p w14:paraId="79EC5A91">
            <w:pPr>
              <w:pStyle w:val="6"/>
              <w:spacing w:before="52" w:line="220" w:lineRule="auto"/>
              <w:ind w:left="592"/>
              <w:rPr>
                <w:sz w:val="16"/>
                <w:szCs w:val="16"/>
              </w:rPr>
            </w:pPr>
            <w:r>
              <w:rPr>
                <w:b/>
                <w:bCs/>
                <w:spacing w:val="-4"/>
                <w:sz w:val="16"/>
                <w:szCs w:val="16"/>
              </w:rPr>
              <w:t>绩效指标</w:t>
            </w:r>
          </w:p>
        </w:tc>
        <w:tc>
          <w:tcPr>
            <w:tcW w:w="1859" w:type="dxa"/>
            <w:vMerge w:val="restart"/>
            <w:tcBorders>
              <w:bottom w:val="nil"/>
            </w:tcBorders>
            <w:vAlign w:val="top"/>
          </w:tcPr>
          <w:p w14:paraId="30B04B37">
            <w:pPr>
              <w:spacing w:line="334" w:lineRule="auto"/>
              <w:rPr>
                <w:rFonts w:ascii="Arial"/>
                <w:sz w:val="21"/>
              </w:rPr>
            </w:pPr>
          </w:p>
          <w:p w14:paraId="460457BE">
            <w:pPr>
              <w:pStyle w:val="6"/>
              <w:spacing w:before="52" w:line="220" w:lineRule="auto"/>
              <w:ind w:left="443"/>
              <w:rPr>
                <w:sz w:val="16"/>
                <w:szCs w:val="16"/>
              </w:rPr>
            </w:pPr>
            <w:r>
              <w:rPr>
                <w:b/>
                <w:bCs/>
                <w:spacing w:val="-3"/>
                <w:sz w:val="16"/>
                <w:szCs w:val="16"/>
              </w:rPr>
              <w:t>绩效指标描述</w:t>
            </w:r>
          </w:p>
        </w:tc>
        <w:tc>
          <w:tcPr>
            <w:tcW w:w="4826" w:type="dxa"/>
            <w:gridSpan w:val="4"/>
            <w:vAlign w:val="top"/>
          </w:tcPr>
          <w:p w14:paraId="2FF9ACB5">
            <w:pPr>
              <w:pStyle w:val="6"/>
              <w:spacing w:before="146" w:line="218" w:lineRule="auto"/>
              <w:ind w:left="1814"/>
              <w:rPr>
                <w:sz w:val="16"/>
                <w:szCs w:val="16"/>
              </w:rPr>
            </w:pPr>
            <w:r>
              <w:rPr>
                <w:b/>
                <w:bCs/>
                <w:spacing w:val="-3"/>
                <w:sz w:val="16"/>
                <w:szCs w:val="16"/>
              </w:rPr>
              <w:t>绩效指标评价标准</w:t>
            </w:r>
          </w:p>
        </w:tc>
        <w:tc>
          <w:tcPr>
            <w:tcW w:w="860" w:type="dxa"/>
            <w:vMerge w:val="restart"/>
            <w:tcBorders>
              <w:bottom w:val="nil"/>
            </w:tcBorders>
            <w:vAlign w:val="top"/>
          </w:tcPr>
          <w:p w14:paraId="71A3C703">
            <w:pPr>
              <w:spacing w:line="245" w:lineRule="auto"/>
              <w:rPr>
                <w:rFonts w:ascii="Arial"/>
                <w:sz w:val="21"/>
              </w:rPr>
            </w:pPr>
          </w:p>
          <w:p w14:paraId="2D654056">
            <w:pPr>
              <w:pStyle w:val="6"/>
              <w:spacing w:before="52" w:line="218" w:lineRule="auto"/>
              <w:ind w:left="26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评价标准确</w:t>
            </w:r>
          </w:p>
          <w:p w14:paraId="0E7A5532">
            <w:pPr>
              <w:pStyle w:val="6"/>
              <w:spacing w:before="11" w:line="219" w:lineRule="auto"/>
              <w:ind w:left="186"/>
              <w:rPr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定依据</w:t>
            </w:r>
          </w:p>
        </w:tc>
        <w:tc>
          <w:tcPr>
            <w:tcW w:w="840" w:type="dxa"/>
            <w:vMerge w:val="restart"/>
            <w:tcBorders>
              <w:bottom w:val="nil"/>
            </w:tcBorders>
            <w:vAlign w:val="top"/>
          </w:tcPr>
          <w:p w14:paraId="2063579A">
            <w:pPr>
              <w:spacing w:line="258" w:lineRule="auto"/>
              <w:rPr>
                <w:rFonts w:ascii="Arial"/>
                <w:sz w:val="21"/>
              </w:rPr>
            </w:pPr>
          </w:p>
          <w:p w14:paraId="547ADC75">
            <w:pPr>
              <w:pStyle w:val="6"/>
              <w:spacing w:before="52" w:line="207" w:lineRule="auto"/>
              <w:ind w:left="16" w:right="24" w:firstLine="80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单项指标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pacing w:val="-3"/>
                <w:sz w:val="16"/>
                <w:szCs w:val="16"/>
              </w:rPr>
              <w:t>实际完成值</w:t>
            </w:r>
          </w:p>
        </w:tc>
        <w:tc>
          <w:tcPr>
            <w:tcW w:w="849" w:type="dxa"/>
            <w:vMerge w:val="restart"/>
            <w:tcBorders>
              <w:bottom w:val="nil"/>
            </w:tcBorders>
            <w:vAlign w:val="top"/>
          </w:tcPr>
          <w:p w14:paraId="06BE1839">
            <w:pPr>
              <w:spacing w:line="257" w:lineRule="auto"/>
              <w:rPr>
                <w:rFonts w:ascii="Arial"/>
                <w:sz w:val="21"/>
              </w:rPr>
            </w:pPr>
          </w:p>
          <w:p w14:paraId="7727062E">
            <w:pPr>
              <w:pStyle w:val="6"/>
              <w:spacing w:before="52" w:line="207" w:lineRule="auto"/>
              <w:ind w:left="96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单项指标</w:t>
            </w:r>
          </w:p>
          <w:p w14:paraId="1041F853">
            <w:pPr>
              <w:pStyle w:val="6"/>
              <w:spacing w:line="219" w:lineRule="auto"/>
              <w:ind w:left="96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完成等级</w:t>
            </w:r>
          </w:p>
        </w:tc>
        <w:tc>
          <w:tcPr>
            <w:tcW w:w="3232" w:type="dxa"/>
            <w:gridSpan w:val="3"/>
            <w:vAlign w:val="top"/>
          </w:tcPr>
          <w:p w14:paraId="1F560208">
            <w:pPr>
              <w:pStyle w:val="6"/>
              <w:spacing w:before="150" w:line="219" w:lineRule="auto"/>
              <w:ind w:left="1287"/>
              <w:rPr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自评得分</w:t>
            </w:r>
          </w:p>
        </w:tc>
      </w:tr>
      <w:tr w14:paraId="04A171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1025" w:type="dxa"/>
            <w:vMerge w:val="continue"/>
            <w:tcBorders>
              <w:top w:val="nil"/>
            </w:tcBorders>
            <w:vAlign w:val="top"/>
          </w:tcPr>
          <w:p w14:paraId="01A15C68">
            <w:pPr>
              <w:rPr>
                <w:rFonts w:ascii="Arial"/>
                <w:sz w:val="21"/>
              </w:rPr>
            </w:pPr>
          </w:p>
        </w:tc>
        <w:tc>
          <w:tcPr>
            <w:tcW w:w="1849" w:type="dxa"/>
            <w:vMerge w:val="continue"/>
            <w:tcBorders>
              <w:top w:val="nil"/>
            </w:tcBorders>
            <w:vAlign w:val="top"/>
          </w:tcPr>
          <w:p w14:paraId="2648BD20">
            <w:pPr>
              <w:rPr>
                <w:rFonts w:ascii="Arial"/>
                <w:sz w:val="21"/>
              </w:rPr>
            </w:pPr>
          </w:p>
        </w:tc>
        <w:tc>
          <w:tcPr>
            <w:tcW w:w="1859" w:type="dxa"/>
            <w:vMerge w:val="continue"/>
            <w:tcBorders>
              <w:top w:val="nil"/>
            </w:tcBorders>
            <w:vAlign w:val="top"/>
          </w:tcPr>
          <w:p w14:paraId="4DAA14F4">
            <w:pPr>
              <w:rPr>
                <w:rFonts w:ascii="Arial"/>
                <w:sz w:val="21"/>
              </w:rPr>
            </w:pPr>
          </w:p>
        </w:tc>
        <w:tc>
          <w:tcPr>
            <w:tcW w:w="1209" w:type="dxa"/>
            <w:vAlign w:val="top"/>
          </w:tcPr>
          <w:p w14:paraId="60C9330E">
            <w:pPr>
              <w:pStyle w:val="6"/>
              <w:spacing w:before="149" w:line="219" w:lineRule="auto"/>
              <w:ind w:left="514"/>
              <w:rPr>
                <w:sz w:val="16"/>
                <w:szCs w:val="16"/>
              </w:rPr>
            </w:pPr>
            <w:r>
              <w:rPr>
                <w:b/>
                <w:bCs/>
                <w:spacing w:val="-2"/>
                <w:sz w:val="16"/>
                <w:szCs w:val="16"/>
              </w:rPr>
              <w:t>优</w:t>
            </w:r>
          </w:p>
        </w:tc>
        <w:tc>
          <w:tcPr>
            <w:tcW w:w="1199" w:type="dxa"/>
            <w:vAlign w:val="top"/>
          </w:tcPr>
          <w:p w14:paraId="6C187FD9">
            <w:pPr>
              <w:pStyle w:val="6"/>
              <w:spacing w:before="154" w:line="222" w:lineRule="auto"/>
              <w:ind w:left="5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良</w:t>
            </w:r>
          </w:p>
        </w:tc>
        <w:tc>
          <w:tcPr>
            <w:tcW w:w="1209" w:type="dxa"/>
            <w:vAlign w:val="top"/>
          </w:tcPr>
          <w:p w14:paraId="1ABAB888">
            <w:pPr>
              <w:pStyle w:val="6"/>
              <w:spacing w:before="152" w:line="220" w:lineRule="auto"/>
              <w:ind w:left="5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中</w:t>
            </w:r>
          </w:p>
        </w:tc>
        <w:tc>
          <w:tcPr>
            <w:tcW w:w="1209" w:type="dxa"/>
            <w:vAlign w:val="top"/>
          </w:tcPr>
          <w:p w14:paraId="142CF273">
            <w:pPr>
              <w:pStyle w:val="6"/>
              <w:spacing w:before="157" w:line="227" w:lineRule="auto"/>
              <w:ind w:left="51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差</w:t>
            </w:r>
          </w:p>
        </w:tc>
        <w:tc>
          <w:tcPr>
            <w:tcW w:w="860" w:type="dxa"/>
            <w:vMerge w:val="continue"/>
            <w:tcBorders>
              <w:top w:val="nil"/>
            </w:tcBorders>
            <w:vAlign w:val="top"/>
          </w:tcPr>
          <w:p w14:paraId="6EA6958F"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continue"/>
            <w:tcBorders>
              <w:top w:val="nil"/>
            </w:tcBorders>
            <w:vAlign w:val="top"/>
          </w:tcPr>
          <w:p w14:paraId="121A7338">
            <w:pPr>
              <w:rPr>
                <w:rFonts w:ascii="Arial"/>
                <w:sz w:val="21"/>
              </w:rPr>
            </w:pPr>
          </w:p>
        </w:tc>
        <w:tc>
          <w:tcPr>
            <w:tcW w:w="849" w:type="dxa"/>
            <w:vMerge w:val="continue"/>
            <w:tcBorders>
              <w:top w:val="nil"/>
            </w:tcBorders>
            <w:vAlign w:val="top"/>
          </w:tcPr>
          <w:p w14:paraId="22721440">
            <w:pPr>
              <w:rPr>
                <w:rFonts w:ascii="Arial"/>
                <w:sz w:val="21"/>
              </w:rPr>
            </w:pPr>
          </w:p>
        </w:tc>
        <w:tc>
          <w:tcPr>
            <w:tcW w:w="1079" w:type="dxa"/>
            <w:vAlign w:val="top"/>
          </w:tcPr>
          <w:p w14:paraId="1EB21E3E">
            <w:pPr>
              <w:pStyle w:val="6"/>
              <w:spacing w:before="90" w:line="195" w:lineRule="auto"/>
              <w:ind w:left="219"/>
              <w:rPr>
                <w:sz w:val="16"/>
                <w:szCs w:val="16"/>
              </w:rPr>
            </w:pPr>
            <w:r>
              <w:rPr>
                <w:b/>
                <w:bCs/>
                <w:spacing w:val="-4"/>
                <w:sz w:val="16"/>
                <w:szCs w:val="16"/>
              </w:rPr>
              <w:t>单项指标</w:t>
            </w:r>
          </w:p>
          <w:p w14:paraId="5B834246">
            <w:pPr>
              <w:pStyle w:val="6"/>
              <w:spacing w:line="219" w:lineRule="auto"/>
              <w:ind w:left="379"/>
              <w:rPr>
                <w:sz w:val="16"/>
                <w:szCs w:val="16"/>
              </w:rPr>
            </w:pPr>
            <w:r>
              <w:rPr>
                <w:b/>
                <w:bCs/>
                <w:spacing w:val="-4"/>
                <w:sz w:val="16"/>
                <w:szCs w:val="16"/>
              </w:rPr>
              <w:t>得分</w:t>
            </w:r>
          </w:p>
        </w:tc>
        <w:tc>
          <w:tcPr>
            <w:tcW w:w="1079" w:type="dxa"/>
            <w:vAlign w:val="top"/>
          </w:tcPr>
          <w:p w14:paraId="56431D2E">
            <w:pPr>
              <w:pStyle w:val="6"/>
              <w:spacing w:before="151" w:line="219" w:lineRule="auto"/>
              <w:ind w:left="98"/>
              <w:rPr>
                <w:sz w:val="16"/>
                <w:szCs w:val="16"/>
              </w:rPr>
            </w:pPr>
            <w:r>
              <w:rPr>
                <w:spacing w:val="4"/>
                <w:sz w:val="16"/>
                <w:szCs w:val="16"/>
              </w:rPr>
              <w:t>权重占比(%)</w:t>
            </w:r>
          </w:p>
        </w:tc>
        <w:tc>
          <w:tcPr>
            <w:tcW w:w="1074" w:type="dxa"/>
            <w:vAlign w:val="top"/>
          </w:tcPr>
          <w:p w14:paraId="73F28F79">
            <w:pPr>
              <w:pStyle w:val="6"/>
              <w:spacing w:before="81" w:line="207" w:lineRule="auto"/>
              <w:ind w:left="209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单项指标</w:t>
            </w:r>
          </w:p>
          <w:p w14:paraId="12F5BAD2">
            <w:pPr>
              <w:pStyle w:val="6"/>
              <w:spacing w:line="216" w:lineRule="auto"/>
              <w:ind w:left="209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折算得分</w:t>
            </w:r>
          </w:p>
        </w:tc>
      </w:tr>
      <w:tr w14:paraId="7BF4ED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W w:w="1025" w:type="dxa"/>
            <w:vMerge w:val="restart"/>
            <w:tcBorders>
              <w:bottom w:val="nil"/>
            </w:tcBorders>
            <w:vAlign w:val="top"/>
          </w:tcPr>
          <w:p w14:paraId="53A23F5D">
            <w:pPr>
              <w:spacing w:line="292" w:lineRule="auto"/>
              <w:rPr>
                <w:rFonts w:ascii="Arial"/>
                <w:sz w:val="21"/>
              </w:rPr>
            </w:pPr>
          </w:p>
          <w:p w14:paraId="5D6BF4F3">
            <w:pPr>
              <w:spacing w:line="292" w:lineRule="auto"/>
              <w:rPr>
                <w:rFonts w:ascii="Arial"/>
                <w:sz w:val="21"/>
              </w:rPr>
            </w:pPr>
          </w:p>
          <w:p w14:paraId="0AA4C0AC">
            <w:pPr>
              <w:pStyle w:val="6"/>
              <w:spacing w:before="52" w:line="219" w:lineRule="auto"/>
              <w:ind w:left="187"/>
              <w:rPr>
                <w:sz w:val="16"/>
                <w:szCs w:val="16"/>
              </w:rPr>
            </w:pPr>
            <w:r>
              <w:rPr>
                <w:b/>
                <w:bCs/>
                <w:spacing w:val="-3"/>
                <w:sz w:val="16"/>
                <w:szCs w:val="16"/>
              </w:rPr>
              <w:t>产出指标</w:t>
            </w:r>
          </w:p>
        </w:tc>
        <w:tc>
          <w:tcPr>
            <w:tcW w:w="1849" w:type="dxa"/>
            <w:vAlign w:val="top"/>
          </w:tcPr>
          <w:p w14:paraId="3B80DF16">
            <w:pPr>
              <w:pStyle w:val="6"/>
              <w:spacing w:before="162" w:line="219" w:lineRule="auto"/>
              <w:ind w:left="390"/>
              <w:rPr>
                <w:sz w:val="16"/>
                <w:szCs w:val="16"/>
              </w:rPr>
            </w:pPr>
            <w:r>
              <w:rPr>
                <w:spacing w:val="4"/>
                <w:sz w:val="16"/>
                <w:szCs w:val="16"/>
              </w:rPr>
              <w:t>工程完工率(%)</w:t>
            </w:r>
          </w:p>
        </w:tc>
        <w:tc>
          <w:tcPr>
            <w:tcW w:w="1859" w:type="dxa"/>
            <w:vAlign w:val="top"/>
          </w:tcPr>
          <w:p w14:paraId="36B6125F">
            <w:pPr>
              <w:pStyle w:val="6"/>
              <w:spacing w:before="62" w:line="229" w:lineRule="auto"/>
              <w:ind w:left="681" w:right="55" w:hanging="640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完成的工程量占总工程量</w:t>
            </w:r>
            <w:r>
              <w:rPr>
                <w:spacing w:val="2"/>
                <w:sz w:val="16"/>
                <w:szCs w:val="16"/>
              </w:rPr>
              <w:t xml:space="preserve"> 的比率</w:t>
            </w:r>
          </w:p>
        </w:tc>
        <w:tc>
          <w:tcPr>
            <w:tcW w:w="1209" w:type="dxa"/>
            <w:vAlign w:val="top"/>
          </w:tcPr>
          <w:p w14:paraId="31302FD7">
            <w:pPr>
              <w:pStyle w:val="6"/>
              <w:spacing w:before="178"/>
              <w:ind w:left="432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100%</w:t>
            </w:r>
          </w:p>
        </w:tc>
        <w:tc>
          <w:tcPr>
            <w:tcW w:w="1199" w:type="dxa"/>
            <w:vAlign w:val="top"/>
          </w:tcPr>
          <w:p w14:paraId="4B98341B">
            <w:pPr>
              <w:pStyle w:val="6"/>
              <w:spacing w:before="178" w:line="237" w:lineRule="auto"/>
              <w:ind w:left="393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≥80%</w:t>
            </w:r>
          </w:p>
        </w:tc>
        <w:tc>
          <w:tcPr>
            <w:tcW w:w="1209" w:type="dxa"/>
            <w:vAlign w:val="top"/>
          </w:tcPr>
          <w:p w14:paraId="143CECD8">
            <w:pPr>
              <w:pStyle w:val="6"/>
              <w:spacing w:before="178" w:line="237" w:lineRule="auto"/>
              <w:ind w:left="394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≥60%</w:t>
            </w:r>
          </w:p>
        </w:tc>
        <w:tc>
          <w:tcPr>
            <w:tcW w:w="1209" w:type="dxa"/>
            <w:vAlign w:val="top"/>
          </w:tcPr>
          <w:p w14:paraId="66A1FE45">
            <w:pPr>
              <w:pStyle w:val="6"/>
              <w:spacing w:before="178"/>
              <w:ind w:left="435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&lt;60%</w:t>
            </w:r>
          </w:p>
        </w:tc>
        <w:tc>
          <w:tcPr>
            <w:tcW w:w="860" w:type="dxa"/>
            <w:vAlign w:val="top"/>
          </w:tcPr>
          <w:p w14:paraId="350762DC">
            <w:pPr>
              <w:pStyle w:val="6"/>
              <w:spacing w:before="71" w:line="219" w:lineRule="auto"/>
              <w:ind w:left="26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依据工作方</w:t>
            </w:r>
          </w:p>
          <w:p w14:paraId="37A66430">
            <w:pPr>
              <w:pStyle w:val="6"/>
              <w:spacing w:before="11" w:line="215" w:lineRule="auto"/>
              <w:ind w:left="3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案</w:t>
            </w:r>
          </w:p>
        </w:tc>
        <w:tc>
          <w:tcPr>
            <w:tcW w:w="840" w:type="dxa"/>
            <w:vAlign w:val="top"/>
          </w:tcPr>
          <w:p w14:paraId="1A2B4028">
            <w:pPr>
              <w:pStyle w:val="6"/>
              <w:spacing w:before="178"/>
              <w:ind w:left="256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100%</w:t>
            </w:r>
          </w:p>
        </w:tc>
        <w:tc>
          <w:tcPr>
            <w:tcW w:w="849" w:type="dxa"/>
            <w:vAlign w:val="top"/>
          </w:tcPr>
          <w:p w14:paraId="049DDABA">
            <w:pPr>
              <w:pStyle w:val="6"/>
              <w:spacing w:before="162" w:line="219" w:lineRule="auto"/>
              <w:ind w:left="33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优</w:t>
            </w:r>
          </w:p>
        </w:tc>
        <w:tc>
          <w:tcPr>
            <w:tcW w:w="1079" w:type="dxa"/>
            <w:vAlign w:val="top"/>
          </w:tcPr>
          <w:p w14:paraId="65A98FD5">
            <w:pPr>
              <w:pStyle w:val="6"/>
              <w:spacing w:before="178"/>
              <w:ind w:left="417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100</w:t>
            </w:r>
          </w:p>
        </w:tc>
        <w:tc>
          <w:tcPr>
            <w:tcW w:w="1079" w:type="dxa"/>
            <w:vAlign w:val="top"/>
          </w:tcPr>
          <w:p w14:paraId="1188CF5C">
            <w:pPr>
              <w:pStyle w:val="6"/>
              <w:spacing w:before="178"/>
              <w:ind w:left="418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20%</w:t>
            </w:r>
          </w:p>
        </w:tc>
        <w:tc>
          <w:tcPr>
            <w:tcW w:w="1074" w:type="dxa"/>
            <w:vAlign w:val="top"/>
          </w:tcPr>
          <w:p w14:paraId="60275AB8">
            <w:pPr>
              <w:pStyle w:val="6"/>
              <w:spacing w:before="178"/>
              <w:ind w:left="449"/>
              <w:rPr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20</w:t>
            </w:r>
          </w:p>
        </w:tc>
      </w:tr>
      <w:tr w14:paraId="3C29B5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1025" w:type="dxa"/>
            <w:vMerge w:val="continue"/>
            <w:tcBorders>
              <w:top w:val="nil"/>
              <w:bottom w:val="nil"/>
            </w:tcBorders>
            <w:vAlign w:val="top"/>
          </w:tcPr>
          <w:p w14:paraId="1595ACAF">
            <w:pPr>
              <w:rPr>
                <w:rFonts w:ascii="Arial"/>
                <w:sz w:val="21"/>
              </w:rPr>
            </w:pPr>
          </w:p>
        </w:tc>
        <w:tc>
          <w:tcPr>
            <w:tcW w:w="1849" w:type="dxa"/>
            <w:vAlign w:val="top"/>
          </w:tcPr>
          <w:p w14:paraId="63A7DD2E">
            <w:pPr>
              <w:pStyle w:val="6"/>
              <w:spacing w:before="161" w:line="219" w:lineRule="auto"/>
              <w:ind w:left="352"/>
              <w:rPr>
                <w:sz w:val="16"/>
                <w:szCs w:val="16"/>
              </w:rPr>
            </w:pPr>
            <w:r>
              <w:rPr>
                <w:b/>
                <w:bCs/>
                <w:spacing w:val="-3"/>
                <w:sz w:val="16"/>
                <w:szCs w:val="16"/>
              </w:rPr>
              <w:t>污水处理及时率</w:t>
            </w:r>
          </w:p>
        </w:tc>
        <w:tc>
          <w:tcPr>
            <w:tcW w:w="1859" w:type="dxa"/>
            <w:vAlign w:val="top"/>
          </w:tcPr>
          <w:p w14:paraId="6B3908A7">
            <w:pPr>
              <w:pStyle w:val="6"/>
              <w:spacing w:before="73" w:line="228" w:lineRule="auto"/>
              <w:ind w:left="440" w:right="55" w:hanging="399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污水处理及时量占污水产</w:t>
            </w:r>
            <w:r>
              <w:rPr>
                <w:spacing w:val="2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生总量的比率</w:t>
            </w:r>
          </w:p>
        </w:tc>
        <w:tc>
          <w:tcPr>
            <w:tcW w:w="1209" w:type="dxa"/>
            <w:vAlign w:val="top"/>
          </w:tcPr>
          <w:p w14:paraId="19666AAF">
            <w:pPr>
              <w:pStyle w:val="6"/>
              <w:spacing w:before="179"/>
              <w:ind w:left="432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100%</w:t>
            </w:r>
          </w:p>
        </w:tc>
        <w:tc>
          <w:tcPr>
            <w:tcW w:w="1199" w:type="dxa"/>
            <w:vAlign w:val="top"/>
          </w:tcPr>
          <w:p w14:paraId="72C8F611">
            <w:pPr>
              <w:pStyle w:val="6"/>
              <w:spacing w:before="179" w:line="237" w:lineRule="auto"/>
              <w:ind w:left="393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≥80%</w:t>
            </w:r>
          </w:p>
        </w:tc>
        <w:tc>
          <w:tcPr>
            <w:tcW w:w="1209" w:type="dxa"/>
            <w:vAlign w:val="top"/>
          </w:tcPr>
          <w:p w14:paraId="270DD3EF">
            <w:pPr>
              <w:pStyle w:val="6"/>
              <w:spacing w:before="179" w:line="237" w:lineRule="auto"/>
              <w:ind w:left="394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≥60%</w:t>
            </w:r>
          </w:p>
        </w:tc>
        <w:tc>
          <w:tcPr>
            <w:tcW w:w="1209" w:type="dxa"/>
            <w:vAlign w:val="top"/>
          </w:tcPr>
          <w:p w14:paraId="7D068767">
            <w:pPr>
              <w:pStyle w:val="6"/>
              <w:spacing w:before="179"/>
              <w:ind w:left="435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&lt;60%</w:t>
            </w:r>
          </w:p>
        </w:tc>
        <w:tc>
          <w:tcPr>
            <w:tcW w:w="860" w:type="dxa"/>
            <w:vAlign w:val="top"/>
          </w:tcPr>
          <w:p w14:paraId="7FCEF310">
            <w:pPr>
              <w:pStyle w:val="6"/>
              <w:spacing w:before="92" w:line="217" w:lineRule="auto"/>
              <w:ind w:left="356" w:right="31" w:hanging="330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依据工作方</w:t>
            </w:r>
            <w:r>
              <w:rPr>
                <w:spacing w:val="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案</w:t>
            </w:r>
          </w:p>
        </w:tc>
        <w:tc>
          <w:tcPr>
            <w:tcW w:w="840" w:type="dxa"/>
            <w:vAlign w:val="top"/>
          </w:tcPr>
          <w:p w14:paraId="68A5E862">
            <w:pPr>
              <w:pStyle w:val="6"/>
              <w:spacing w:before="179"/>
              <w:ind w:left="256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100%</w:t>
            </w:r>
          </w:p>
        </w:tc>
        <w:tc>
          <w:tcPr>
            <w:tcW w:w="849" w:type="dxa"/>
            <w:vAlign w:val="top"/>
          </w:tcPr>
          <w:p w14:paraId="63F94D8C">
            <w:pPr>
              <w:pStyle w:val="6"/>
              <w:spacing w:before="163" w:line="219" w:lineRule="auto"/>
              <w:ind w:left="33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优</w:t>
            </w:r>
          </w:p>
        </w:tc>
        <w:tc>
          <w:tcPr>
            <w:tcW w:w="1079" w:type="dxa"/>
            <w:vAlign w:val="top"/>
          </w:tcPr>
          <w:p w14:paraId="51C3379A">
            <w:pPr>
              <w:pStyle w:val="6"/>
              <w:spacing w:before="179"/>
              <w:ind w:left="417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100</w:t>
            </w:r>
          </w:p>
        </w:tc>
        <w:tc>
          <w:tcPr>
            <w:tcW w:w="1079" w:type="dxa"/>
            <w:vAlign w:val="top"/>
          </w:tcPr>
          <w:p w14:paraId="240A892B">
            <w:pPr>
              <w:pStyle w:val="6"/>
              <w:spacing w:before="179"/>
              <w:ind w:left="418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20%</w:t>
            </w:r>
          </w:p>
        </w:tc>
        <w:tc>
          <w:tcPr>
            <w:tcW w:w="1074" w:type="dxa"/>
            <w:vAlign w:val="top"/>
          </w:tcPr>
          <w:p w14:paraId="6EBEE719">
            <w:pPr>
              <w:pStyle w:val="6"/>
              <w:spacing w:before="179"/>
              <w:ind w:left="449"/>
              <w:rPr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20</w:t>
            </w:r>
          </w:p>
        </w:tc>
      </w:tr>
      <w:tr w14:paraId="0E5573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025" w:type="dxa"/>
            <w:vMerge w:val="continue"/>
            <w:tcBorders>
              <w:top w:val="nil"/>
            </w:tcBorders>
            <w:vAlign w:val="top"/>
          </w:tcPr>
          <w:p w14:paraId="7C07CCBE">
            <w:pPr>
              <w:rPr>
                <w:rFonts w:ascii="Arial"/>
                <w:sz w:val="21"/>
              </w:rPr>
            </w:pPr>
          </w:p>
        </w:tc>
        <w:tc>
          <w:tcPr>
            <w:tcW w:w="1849" w:type="dxa"/>
            <w:vAlign w:val="top"/>
          </w:tcPr>
          <w:p w14:paraId="3A815945">
            <w:pPr>
              <w:pStyle w:val="6"/>
              <w:spacing w:before="152" w:line="219" w:lineRule="auto"/>
              <w:ind w:left="512"/>
              <w:rPr>
                <w:sz w:val="16"/>
                <w:szCs w:val="16"/>
              </w:rPr>
            </w:pPr>
            <w:r>
              <w:rPr>
                <w:b/>
                <w:bCs/>
                <w:spacing w:val="-3"/>
                <w:sz w:val="16"/>
                <w:szCs w:val="16"/>
              </w:rPr>
              <w:t>验收合格率</w:t>
            </w:r>
          </w:p>
        </w:tc>
        <w:tc>
          <w:tcPr>
            <w:tcW w:w="1859" w:type="dxa"/>
            <w:vAlign w:val="top"/>
          </w:tcPr>
          <w:p w14:paraId="553164C8">
            <w:pPr>
              <w:pStyle w:val="6"/>
              <w:spacing w:before="154" w:line="219" w:lineRule="auto"/>
              <w:ind w:left="41"/>
              <w:rPr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改造后房屋验收合格比例</w:t>
            </w:r>
          </w:p>
        </w:tc>
        <w:tc>
          <w:tcPr>
            <w:tcW w:w="1209" w:type="dxa"/>
            <w:vAlign w:val="top"/>
          </w:tcPr>
          <w:p w14:paraId="208D2AB6">
            <w:pPr>
              <w:pStyle w:val="6"/>
              <w:spacing w:before="170"/>
              <w:ind w:left="432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100%</w:t>
            </w:r>
          </w:p>
        </w:tc>
        <w:tc>
          <w:tcPr>
            <w:tcW w:w="1199" w:type="dxa"/>
            <w:vAlign w:val="top"/>
          </w:tcPr>
          <w:p w14:paraId="6C95A83F">
            <w:pPr>
              <w:pStyle w:val="6"/>
              <w:spacing w:before="170" w:line="237" w:lineRule="auto"/>
              <w:ind w:left="393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≥90%</w:t>
            </w:r>
          </w:p>
        </w:tc>
        <w:tc>
          <w:tcPr>
            <w:tcW w:w="1209" w:type="dxa"/>
            <w:vAlign w:val="top"/>
          </w:tcPr>
          <w:p w14:paraId="067C366A">
            <w:pPr>
              <w:pStyle w:val="6"/>
              <w:spacing w:before="170" w:line="237" w:lineRule="auto"/>
              <w:ind w:left="394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≥85%</w:t>
            </w:r>
          </w:p>
        </w:tc>
        <w:tc>
          <w:tcPr>
            <w:tcW w:w="1209" w:type="dxa"/>
            <w:vAlign w:val="top"/>
          </w:tcPr>
          <w:p w14:paraId="7526795F">
            <w:pPr>
              <w:pStyle w:val="6"/>
              <w:spacing w:before="170"/>
              <w:ind w:left="435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&lt;80%</w:t>
            </w:r>
          </w:p>
        </w:tc>
        <w:tc>
          <w:tcPr>
            <w:tcW w:w="860" w:type="dxa"/>
            <w:vAlign w:val="top"/>
          </w:tcPr>
          <w:p w14:paraId="7938DC71">
            <w:pPr>
              <w:pStyle w:val="6"/>
              <w:spacing w:before="63" w:line="219" w:lineRule="auto"/>
              <w:ind w:left="26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依据工作方</w:t>
            </w:r>
          </w:p>
          <w:p w14:paraId="6FA4018E">
            <w:pPr>
              <w:pStyle w:val="6"/>
              <w:spacing w:before="12" w:line="213" w:lineRule="auto"/>
              <w:ind w:left="3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案</w:t>
            </w:r>
          </w:p>
        </w:tc>
        <w:tc>
          <w:tcPr>
            <w:tcW w:w="840" w:type="dxa"/>
            <w:vAlign w:val="top"/>
          </w:tcPr>
          <w:p w14:paraId="0C6F9592">
            <w:pPr>
              <w:pStyle w:val="6"/>
              <w:spacing w:before="170"/>
              <w:ind w:left="256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100%</w:t>
            </w:r>
          </w:p>
        </w:tc>
        <w:tc>
          <w:tcPr>
            <w:tcW w:w="849" w:type="dxa"/>
            <w:vAlign w:val="top"/>
          </w:tcPr>
          <w:p w14:paraId="760EB045">
            <w:pPr>
              <w:pStyle w:val="6"/>
              <w:spacing w:before="154" w:line="219" w:lineRule="auto"/>
              <w:ind w:left="33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优</w:t>
            </w:r>
          </w:p>
        </w:tc>
        <w:tc>
          <w:tcPr>
            <w:tcW w:w="1079" w:type="dxa"/>
            <w:vAlign w:val="top"/>
          </w:tcPr>
          <w:p w14:paraId="06A07EE2">
            <w:pPr>
              <w:pStyle w:val="6"/>
              <w:spacing w:before="170"/>
              <w:ind w:left="457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90</w:t>
            </w:r>
          </w:p>
        </w:tc>
        <w:tc>
          <w:tcPr>
            <w:tcW w:w="1079" w:type="dxa"/>
            <w:vAlign w:val="top"/>
          </w:tcPr>
          <w:p w14:paraId="14F600FF">
            <w:pPr>
              <w:pStyle w:val="6"/>
              <w:spacing w:before="170"/>
              <w:ind w:left="418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10%</w:t>
            </w:r>
          </w:p>
        </w:tc>
        <w:tc>
          <w:tcPr>
            <w:tcW w:w="1074" w:type="dxa"/>
            <w:vAlign w:val="top"/>
          </w:tcPr>
          <w:p w14:paraId="7FCEC617">
            <w:pPr>
              <w:pStyle w:val="6"/>
              <w:spacing w:before="170"/>
              <w:ind w:left="48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</w:tr>
      <w:tr w14:paraId="2D6E3E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025" w:type="dxa"/>
            <w:vMerge w:val="restart"/>
            <w:tcBorders>
              <w:bottom w:val="nil"/>
            </w:tcBorders>
            <w:vAlign w:val="top"/>
          </w:tcPr>
          <w:p w14:paraId="4C0C488F">
            <w:pPr>
              <w:spacing w:line="338" w:lineRule="auto"/>
              <w:rPr>
                <w:rFonts w:ascii="Arial"/>
                <w:sz w:val="21"/>
              </w:rPr>
            </w:pPr>
          </w:p>
          <w:p w14:paraId="4F0970DE">
            <w:pPr>
              <w:pStyle w:val="6"/>
              <w:spacing w:before="52" w:line="220" w:lineRule="auto"/>
              <w:ind w:left="187"/>
              <w:rPr>
                <w:sz w:val="16"/>
                <w:szCs w:val="16"/>
              </w:rPr>
            </w:pPr>
            <w:r>
              <w:rPr>
                <w:b/>
                <w:bCs/>
                <w:spacing w:val="-4"/>
                <w:sz w:val="16"/>
                <w:szCs w:val="16"/>
              </w:rPr>
              <w:t>效果指标</w:t>
            </w:r>
          </w:p>
        </w:tc>
        <w:tc>
          <w:tcPr>
            <w:tcW w:w="1849" w:type="dxa"/>
            <w:vAlign w:val="top"/>
          </w:tcPr>
          <w:p w14:paraId="042088EE">
            <w:pPr>
              <w:pStyle w:val="6"/>
              <w:spacing w:before="154" w:line="219" w:lineRule="auto"/>
              <w:ind w:left="510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信息披露率</w:t>
            </w:r>
          </w:p>
        </w:tc>
        <w:tc>
          <w:tcPr>
            <w:tcW w:w="1859" w:type="dxa"/>
            <w:vAlign w:val="top"/>
          </w:tcPr>
          <w:p w14:paraId="71B4EAC9">
            <w:pPr>
              <w:pStyle w:val="6"/>
              <w:spacing w:before="153" w:line="219" w:lineRule="auto"/>
              <w:ind w:left="41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信息牌、展板信息披露率</w:t>
            </w:r>
          </w:p>
        </w:tc>
        <w:tc>
          <w:tcPr>
            <w:tcW w:w="1209" w:type="dxa"/>
            <w:vAlign w:val="top"/>
          </w:tcPr>
          <w:p w14:paraId="0B11EB21">
            <w:pPr>
              <w:pStyle w:val="6"/>
              <w:spacing w:before="170"/>
              <w:ind w:left="432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100%</w:t>
            </w:r>
          </w:p>
        </w:tc>
        <w:tc>
          <w:tcPr>
            <w:tcW w:w="1199" w:type="dxa"/>
            <w:vAlign w:val="top"/>
          </w:tcPr>
          <w:p w14:paraId="56740B65">
            <w:pPr>
              <w:pStyle w:val="6"/>
              <w:spacing w:before="170" w:line="237" w:lineRule="auto"/>
              <w:ind w:left="393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≥90%</w:t>
            </w:r>
          </w:p>
        </w:tc>
        <w:tc>
          <w:tcPr>
            <w:tcW w:w="1209" w:type="dxa"/>
            <w:vAlign w:val="top"/>
          </w:tcPr>
          <w:p w14:paraId="560B6B37">
            <w:pPr>
              <w:pStyle w:val="6"/>
              <w:spacing w:before="170" w:line="237" w:lineRule="auto"/>
              <w:ind w:left="394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≥85%</w:t>
            </w:r>
          </w:p>
        </w:tc>
        <w:tc>
          <w:tcPr>
            <w:tcW w:w="1209" w:type="dxa"/>
            <w:vAlign w:val="top"/>
          </w:tcPr>
          <w:p w14:paraId="7B26CB1C">
            <w:pPr>
              <w:pStyle w:val="6"/>
              <w:spacing w:before="170"/>
              <w:ind w:left="435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&lt;80%</w:t>
            </w:r>
          </w:p>
        </w:tc>
        <w:tc>
          <w:tcPr>
            <w:tcW w:w="860" w:type="dxa"/>
            <w:vAlign w:val="top"/>
          </w:tcPr>
          <w:p w14:paraId="3D228E8B">
            <w:pPr>
              <w:pStyle w:val="6"/>
              <w:spacing w:before="73" w:line="219" w:lineRule="auto"/>
              <w:ind w:left="26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依据工作方</w:t>
            </w:r>
          </w:p>
          <w:p w14:paraId="4E22E48E">
            <w:pPr>
              <w:pStyle w:val="6"/>
              <w:spacing w:before="1" w:line="214" w:lineRule="auto"/>
              <w:ind w:left="3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案</w:t>
            </w:r>
          </w:p>
        </w:tc>
        <w:tc>
          <w:tcPr>
            <w:tcW w:w="840" w:type="dxa"/>
            <w:vAlign w:val="top"/>
          </w:tcPr>
          <w:p w14:paraId="0BB4EEE3">
            <w:pPr>
              <w:pStyle w:val="6"/>
              <w:spacing w:before="170"/>
              <w:ind w:left="296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95%</w:t>
            </w:r>
          </w:p>
        </w:tc>
        <w:tc>
          <w:tcPr>
            <w:tcW w:w="849" w:type="dxa"/>
            <w:vAlign w:val="top"/>
          </w:tcPr>
          <w:p w14:paraId="6E55DCF1">
            <w:pPr>
              <w:pStyle w:val="6"/>
              <w:spacing w:before="157" w:line="222" w:lineRule="auto"/>
              <w:ind w:left="33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良</w:t>
            </w:r>
          </w:p>
        </w:tc>
        <w:tc>
          <w:tcPr>
            <w:tcW w:w="1079" w:type="dxa"/>
            <w:vAlign w:val="top"/>
          </w:tcPr>
          <w:p w14:paraId="7802D6EF">
            <w:pPr>
              <w:pStyle w:val="6"/>
              <w:spacing w:before="170"/>
              <w:ind w:left="457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90</w:t>
            </w:r>
          </w:p>
        </w:tc>
        <w:tc>
          <w:tcPr>
            <w:tcW w:w="1079" w:type="dxa"/>
            <w:vAlign w:val="top"/>
          </w:tcPr>
          <w:p w14:paraId="3DC6C391">
            <w:pPr>
              <w:pStyle w:val="6"/>
              <w:spacing w:before="170"/>
              <w:ind w:left="418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15%</w:t>
            </w:r>
          </w:p>
        </w:tc>
        <w:tc>
          <w:tcPr>
            <w:tcW w:w="1074" w:type="dxa"/>
            <w:vAlign w:val="top"/>
          </w:tcPr>
          <w:p w14:paraId="605D8718">
            <w:pPr>
              <w:pStyle w:val="6"/>
              <w:spacing w:before="170" w:line="239" w:lineRule="auto"/>
              <w:ind w:left="369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13.5</w:t>
            </w:r>
          </w:p>
        </w:tc>
      </w:tr>
      <w:tr w14:paraId="5CCF32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W w:w="1025" w:type="dxa"/>
            <w:vMerge w:val="continue"/>
            <w:tcBorders>
              <w:top w:val="nil"/>
            </w:tcBorders>
            <w:vAlign w:val="top"/>
          </w:tcPr>
          <w:p w14:paraId="2C385AE1">
            <w:pPr>
              <w:rPr>
                <w:rFonts w:ascii="Arial"/>
                <w:sz w:val="21"/>
              </w:rPr>
            </w:pPr>
          </w:p>
        </w:tc>
        <w:tc>
          <w:tcPr>
            <w:tcW w:w="1849" w:type="dxa"/>
            <w:vAlign w:val="top"/>
          </w:tcPr>
          <w:p w14:paraId="13433083">
            <w:pPr>
              <w:pStyle w:val="6"/>
              <w:spacing w:before="162" w:line="219" w:lineRule="auto"/>
              <w:ind w:left="392"/>
              <w:rPr>
                <w:sz w:val="16"/>
                <w:szCs w:val="16"/>
              </w:rPr>
            </w:pPr>
            <w:r>
              <w:rPr>
                <w:b/>
                <w:bCs/>
                <w:spacing w:val="2"/>
                <w:sz w:val="16"/>
                <w:szCs w:val="16"/>
              </w:rPr>
              <w:t>综合利用率(%)</w:t>
            </w:r>
          </w:p>
        </w:tc>
        <w:tc>
          <w:tcPr>
            <w:tcW w:w="1859" w:type="dxa"/>
            <w:vAlign w:val="top"/>
          </w:tcPr>
          <w:p w14:paraId="2213BF9D">
            <w:pPr>
              <w:pStyle w:val="6"/>
              <w:spacing w:before="74" w:line="222" w:lineRule="auto"/>
              <w:ind w:left="669" w:hanging="628"/>
              <w:rPr>
                <w:sz w:val="16"/>
                <w:szCs w:val="16"/>
              </w:rPr>
            </w:pPr>
            <w:r>
              <w:rPr>
                <w:spacing w:val="4"/>
                <w:sz w:val="16"/>
                <w:szCs w:val="16"/>
              </w:rPr>
              <w:t>基础设施建成后的利用、</w:t>
            </w:r>
            <w:r>
              <w:rPr>
                <w:spacing w:val="2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使用率</w:t>
            </w:r>
          </w:p>
        </w:tc>
        <w:tc>
          <w:tcPr>
            <w:tcW w:w="1209" w:type="dxa"/>
            <w:vAlign w:val="top"/>
          </w:tcPr>
          <w:p w14:paraId="3ECDDACF">
            <w:pPr>
              <w:pStyle w:val="6"/>
              <w:spacing w:before="180" w:line="237" w:lineRule="auto"/>
              <w:ind w:left="392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≥95%</w:t>
            </w:r>
          </w:p>
        </w:tc>
        <w:tc>
          <w:tcPr>
            <w:tcW w:w="1199" w:type="dxa"/>
            <w:vAlign w:val="top"/>
          </w:tcPr>
          <w:p w14:paraId="639F509B">
            <w:pPr>
              <w:pStyle w:val="6"/>
              <w:spacing w:before="180" w:line="237" w:lineRule="auto"/>
              <w:ind w:left="393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≥90%</w:t>
            </w:r>
          </w:p>
        </w:tc>
        <w:tc>
          <w:tcPr>
            <w:tcW w:w="1209" w:type="dxa"/>
            <w:vAlign w:val="top"/>
          </w:tcPr>
          <w:p w14:paraId="6A9F7B7A">
            <w:pPr>
              <w:pStyle w:val="6"/>
              <w:spacing w:before="180" w:line="237" w:lineRule="auto"/>
              <w:ind w:left="394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≥85%</w:t>
            </w:r>
          </w:p>
        </w:tc>
        <w:tc>
          <w:tcPr>
            <w:tcW w:w="1209" w:type="dxa"/>
            <w:vAlign w:val="top"/>
          </w:tcPr>
          <w:p w14:paraId="6E88E678">
            <w:pPr>
              <w:pStyle w:val="6"/>
              <w:spacing w:before="180"/>
              <w:ind w:left="435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&lt;80%</w:t>
            </w:r>
          </w:p>
        </w:tc>
        <w:tc>
          <w:tcPr>
            <w:tcW w:w="860" w:type="dxa"/>
            <w:vAlign w:val="top"/>
          </w:tcPr>
          <w:p w14:paraId="5FC87494">
            <w:pPr>
              <w:pStyle w:val="6"/>
              <w:spacing w:before="73" w:line="219" w:lineRule="auto"/>
              <w:ind w:left="26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依据工作方</w:t>
            </w:r>
          </w:p>
          <w:p w14:paraId="2DF5A817">
            <w:pPr>
              <w:pStyle w:val="6"/>
              <w:spacing w:before="11" w:line="212" w:lineRule="auto"/>
              <w:ind w:left="3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案</w:t>
            </w:r>
          </w:p>
        </w:tc>
        <w:tc>
          <w:tcPr>
            <w:tcW w:w="840" w:type="dxa"/>
            <w:vAlign w:val="top"/>
          </w:tcPr>
          <w:p w14:paraId="5A8BECA1">
            <w:pPr>
              <w:pStyle w:val="6"/>
              <w:spacing w:before="180"/>
              <w:ind w:left="296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90%</w:t>
            </w:r>
          </w:p>
        </w:tc>
        <w:tc>
          <w:tcPr>
            <w:tcW w:w="849" w:type="dxa"/>
            <w:vAlign w:val="top"/>
          </w:tcPr>
          <w:p w14:paraId="6FC6E9F9">
            <w:pPr>
              <w:pStyle w:val="6"/>
              <w:spacing w:before="167" w:line="222" w:lineRule="auto"/>
              <w:ind w:left="33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良</w:t>
            </w:r>
          </w:p>
        </w:tc>
        <w:tc>
          <w:tcPr>
            <w:tcW w:w="1079" w:type="dxa"/>
            <w:vAlign w:val="top"/>
          </w:tcPr>
          <w:p w14:paraId="1138D778">
            <w:pPr>
              <w:pStyle w:val="6"/>
              <w:spacing w:before="180"/>
              <w:ind w:left="457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90</w:t>
            </w:r>
          </w:p>
        </w:tc>
        <w:tc>
          <w:tcPr>
            <w:tcW w:w="1079" w:type="dxa"/>
            <w:vAlign w:val="top"/>
          </w:tcPr>
          <w:p w14:paraId="6F14E53C">
            <w:pPr>
              <w:pStyle w:val="6"/>
              <w:spacing w:before="180"/>
              <w:ind w:left="418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15%</w:t>
            </w:r>
          </w:p>
        </w:tc>
        <w:tc>
          <w:tcPr>
            <w:tcW w:w="1074" w:type="dxa"/>
            <w:vAlign w:val="top"/>
          </w:tcPr>
          <w:p w14:paraId="0D651928">
            <w:pPr>
              <w:pStyle w:val="6"/>
              <w:spacing w:before="180" w:line="239" w:lineRule="auto"/>
              <w:ind w:left="369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13.5</w:t>
            </w:r>
          </w:p>
        </w:tc>
      </w:tr>
      <w:tr w14:paraId="227DAD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025" w:type="dxa"/>
            <w:vAlign w:val="top"/>
          </w:tcPr>
          <w:p w14:paraId="7D94ED22">
            <w:pPr>
              <w:pStyle w:val="6"/>
              <w:spacing w:before="153" w:line="219" w:lineRule="auto"/>
              <w:ind w:left="107"/>
              <w:rPr>
                <w:sz w:val="16"/>
                <w:szCs w:val="16"/>
              </w:rPr>
            </w:pPr>
            <w:r>
              <w:rPr>
                <w:b/>
                <w:bCs/>
                <w:spacing w:val="-3"/>
                <w:sz w:val="16"/>
                <w:szCs w:val="16"/>
              </w:rPr>
              <w:t>满意度指标</w:t>
            </w:r>
          </w:p>
        </w:tc>
        <w:tc>
          <w:tcPr>
            <w:tcW w:w="1849" w:type="dxa"/>
            <w:vAlign w:val="top"/>
          </w:tcPr>
          <w:p w14:paraId="6DEA8DD3">
            <w:pPr>
              <w:pStyle w:val="6"/>
              <w:spacing w:before="155" w:line="219" w:lineRule="auto"/>
              <w:ind w:left="510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群众满意度</w:t>
            </w:r>
          </w:p>
        </w:tc>
        <w:tc>
          <w:tcPr>
            <w:tcW w:w="1859" w:type="dxa"/>
            <w:vAlign w:val="top"/>
          </w:tcPr>
          <w:p w14:paraId="5E6EAF36">
            <w:pPr>
              <w:pStyle w:val="6"/>
              <w:spacing w:before="65" w:line="222" w:lineRule="auto"/>
              <w:ind w:left="840" w:right="54" w:hanging="799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群众满意数量占总数的比</w:t>
            </w:r>
            <w:r>
              <w:rPr>
                <w:spacing w:val="3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率</w:t>
            </w:r>
          </w:p>
        </w:tc>
        <w:tc>
          <w:tcPr>
            <w:tcW w:w="1209" w:type="dxa"/>
            <w:vAlign w:val="top"/>
          </w:tcPr>
          <w:p w14:paraId="376FF562">
            <w:pPr>
              <w:pStyle w:val="6"/>
              <w:spacing w:before="171" w:line="237" w:lineRule="auto"/>
              <w:ind w:left="392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≥95%</w:t>
            </w:r>
          </w:p>
        </w:tc>
        <w:tc>
          <w:tcPr>
            <w:tcW w:w="1199" w:type="dxa"/>
            <w:vAlign w:val="top"/>
          </w:tcPr>
          <w:p w14:paraId="5AD3357A">
            <w:pPr>
              <w:pStyle w:val="6"/>
              <w:spacing w:before="171" w:line="237" w:lineRule="auto"/>
              <w:ind w:left="393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≥90%</w:t>
            </w:r>
          </w:p>
        </w:tc>
        <w:tc>
          <w:tcPr>
            <w:tcW w:w="1209" w:type="dxa"/>
            <w:vAlign w:val="top"/>
          </w:tcPr>
          <w:p w14:paraId="1918479B">
            <w:pPr>
              <w:pStyle w:val="6"/>
              <w:spacing w:before="171" w:line="237" w:lineRule="auto"/>
              <w:ind w:left="394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≥80%</w:t>
            </w:r>
          </w:p>
        </w:tc>
        <w:tc>
          <w:tcPr>
            <w:tcW w:w="1209" w:type="dxa"/>
            <w:vAlign w:val="top"/>
          </w:tcPr>
          <w:p w14:paraId="0CC582D1">
            <w:pPr>
              <w:pStyle w:val="6"/>
              <w:spacing w:before="171"/>
              <w:ind w:left="435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&lt;80%</w:t>
            </w:r>
          </w:p>
        </w:tc>
        <w:tc>
          <w:tcPr>
            <w:tcW w:w="860" w:type="dxa"/>
            <w:vAlign w:val="top"/>
          </w:tcPr>
          <w:p w14:paraId="64683D58">
            <w:pPr>
              <w:pStyle w:val="6"/>
              <w:spacing w:before="64" w:line="219" w:lineRule="auto"/>
              <w:ind w:left="26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依据工作方</w:t>
            </w:r>
          </w:p>
          <w:p w14:paraId="2D236BD5">
            <w:pPr>
              <w:pStyle w:val="6"/>
              <w:spacing w:before="11" w:line="212" w:lineRule="auto"/>
              <w:ind w:left="3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案</w:t>
            </w:r>
          </w:p>
        </w:tc>
        <w:tc>
          <w:tcPr>
            <w:tcW w:w="840" w:type="dxa"/>
            <w:vAlign w:val="top"/>
          </w:tcPr>
          <w:p w14:paraId="327F923F">
            <w:pPr>
              <w:pStyle w:val="6"/>
              <w:spacing w:before="171"/>
              <w:ind w:left="296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95%</w:t>
            </w:r>
          </w:p>
        </w:tc>
        <w:tc>
          <w:tcPr>
            <w:tcW w:w="849" w:type="dxa"/>
            <w:vAlign w:val="top"/>
          </w:tcPr>
          <w:p w14:paraId="43EB3FB2">
            <w:pPr>
              <w:pStyle w:val="6"/>
              <w:spacing w:before="155" w:line="219" w:lineRule="auto"/>
              <w:ind w:left="33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优</w:t>
            </w:r>
          </w:p>
        </w:tc>
        <w:tc>
          <w:tcPr>
            <w:tcW w:w="1079" w:type="dxa"/>
            <w:vAlign w:val="top"/>
          </w:tcPr>
          <w:p w14:paraId="7F4B35AE">
            <w:pPr>
              <w:pStyle w:val="6"/>
              <w:spacing w:before="171"/>
              <w:ind w:left="457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95</w:t>
            </w:r>
          </w:p>
        </w:tc>
        <w:tc>
          <w:tcPr>
            <w:tcW w:w="1079" w:type="dxa"/>
            <w:vAlign w:val="top"/>
          </w:tcPr>
          <w:p w14:paraId="5A041A13">
            <w:pPr>
              <w:pStyle w:val="6"/>
              <w:spacing w:before="171"/>
              <w:ind w:left="418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10%</w:t>
            </w:r>
          </w:p>
        </w:tc>
        <w:tc>
          <w:tcPr>
            <w:tcW w:w="1074" w:type="dxa"/>
            <w:vAlign w:val="top"/>
          </w:tcPr>
          <w:p w14:paraId="044CA2E2">
            <w:pPr>
              <w:pStyle w:val="6"/>
              <w:spacing w:before="171" w:line="239" w:lineRule="auto"/>
              <w:ind w:left="408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9.5</w:t>
            </w:r>
          </w:p>
        </w:tc>
      </w:tr>
      <w:tr w14:paraId="13BEF9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W w:w="1025" w:type="dxa"/>
            <w:vAlign w:val="top"/>
          </w:tcPr>
          <w:p w14:paraId="6D73E3A4">
            <w:pPr>
              <w:pStyle w:val="6"/>
              <w:spacing w:before="163" w:line="219" w:lineRule="auto"/>
              <w:ind w:left="107"/>
              <w:rPr>
                <w:sz w:val="16"/>
                <w:szCs w:val="16"/>
              </w:rPr>
            </w:pPr>
            <w:r>
              <w:rPr>
                <w:b/>
                <w:bCs/>
                <w:spacing w:val="-3"/>
                <w:sz w:val="16"/>
                <w:szCs w:val="16"/>
              </w:rPr>
              <w:t>预算执行率</w:t>
            </w:r>
          </w:p>
        </w:tc>
        <w:tc>
          <w:tcPr>
            <w:tcW w:w="1849" w:type="dxa"/>
            <w:vAlign w:val="top"/>
          </w:tcPr>
          <w:p w14:paraId="2275A831">
            <w:pPr>
              <w:pStyle w:val="6"/>
              <w:spacing w:before="181"/>
              <w:ind w:left="750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100%</w:t>
            </w:r>
          </w:p>
        </w:tc>
        <w:tc>
          <w:tcPr>
            <w:tcW w:w="1859" w:type="dxa"/>
            <w:vAlign w:val="top"/>
          </w:tcPr>
          <w:p w14:paraId="6E03507F">
            <w:pPr>
              <w:rPr>
                <w:rFonts w:ascii="Arial"/>
                <w:sz w:val="21"/>
              </w:rPr>
            </w:pPr>
          </w:p>
        </w:tc>
        <w:tc>
          <w:tcPr>
            <w:tcW w:w="1209" w:type="dxa"/>
            <w:vAlign w:val="top"/>
          </w:tcPr>
          <w:p w14:paraId="606613C7">
            <w:pPr>
              <w:rPr>
                <w:rFonts w:ascii="Arial"/>
                <w:sz w:val="21"/>
              </w:rPr>
            </w:pPr>
          </w:p>
        </w:tc>
        <w:tc>
          <w:tcPr>
            <w:tcW w:w="1199" w:type="dxa"/>
            <w:vAlign w:val="top"/>
          </w:tcPr>
          <w:p w14:paraId="0D34086C">
            <w:pPr>
              <w:rPr>
                <w:rFonts w:ascii="Arial"/>
                <w:sz w:val="21"/>
              </w:rPr>
            </w:pPr>
          </w:p>
        </w:tc>
        <w:tc>
          <w:tcPr>
            <w:tcW w:w="1209" w:type="dxa"/>
            <w:vAlign w:val="top"/>
          </w:tcPr>
          <w:p w14:paraId="40EBBB21">
            <w:pPr>
              <w:rPr>
                <w:rFonts w:ascii="Arial"/>
                <w:sz w:val="21"/>
              </w:rPr>
            </w:pPr>
          </w:p>
        </w:tc>
        <w:tc>
          <w:tcPr>
            <w:tcW w:w="1209" w:type="dxa"/>
            <w:vAlign w:val="top"/>
          </w:tcPr>
          <w:p w14:paraId="3EA7C437">
            <w:pPr>
              <w:rPr>
                <w:rFonts w:ascii="Arial"/>
                <w:sz w:val="21"/>
              </w:rPr>
            </w:pPr>
          </w:p>
        </w:tc>
        <w:tc>
          <w:tcPr>
            <w:tcW w:w="860" w:type="dxa"/>
            <w:vAlign w:val="top"/>
          </w:tcPr>
          <w:p w14:paraId="52B91DC5"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Align w:val="top"/>
          </w:tcPr>
          <w:p w14:paraId="562CBCD0">
            <w:pPr>
              <w:rPr>
                <w:rFonts w:ascii="Arial"/>
                <w:sz w:val="21"/>
              </w:rPr>
            </w:pPr>
          </w:p>
        </w:tc>
        <w:tc>
          <w:tcPr>
            <w:tcW w:w="849" w:type="dxa"/>
            <w:vAlign w:val="top"/>
          </w:tcPr>
          <w:p w14:paraId="645B721D">
            <w:pPr>
              <w:rPr>
                <w:rFonts w:ascii="Arial"/>
                <w:sz w:val="21"/>
              </w:rPr>
            </w:pPr>
          </w:p>
        </w:tc>
        <w:tc>
          <w:tcPr>
            <w:tcW w:w="1079" w:type="dxa"/>
            <w:vAlign w:val="top"/>
          </w:tcPr>
          <w:p w14:paraId="448B4D1B">
            <w:pPr>
              <w:pStyle w:val="6"/>
              <w:spacing w:before="181" w:line="239" w:lineRule="auto"/>
              <w:ind w:left="336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97.18</w:t>
            </w:r>
          </w:p>
        </w:tc>
        <w:tc>
          <w:tcPr>
            <w:tcW w:w="1079" w:type="dxa"/>
            <w:vAlign w:val="top"/>
          </w:tcPr>
          <w:p w14:paraId="0E09219B">
            <w:pPr>
              <w:pStyle w:val="6"/>
              <w:spacing w:before="181"/>
              <w:ind w:left="418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10%</w:t>
            </w:r>
          </w:p>
        </w:tc>
        <w:tc>
          <w:tcPr>
            <w:tcW w:w="1074" w:type="dxa"/>
            <w:vAlign w:val="top"/>
          </w:tcPr>
          <w:p w14:paraId="297DCFE7">
            <w:pPr>
              <w:pStyle w:val="6"/>
              <w:spacing w:before="181" w:line="239" w:lineRule="auto"/>
              <w:ind w:left="408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9.7</w:t>
            </w:r>
          </w:p>
        </w:tc>
      </w:tr>
      <w:tr w14:paraId="77C8A1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1025" w:type="dxa"/>
            <w:vAlign w:val="top"/>
          </w:tcPr>
          <w:p w14:paraId="51FAD231">
            <w:pPr>
              <w:pStyle w:val="6"/>
              <w:spacing w:before="184" w:line="219" w:lineRule="auto"/>
              <w:ind w:left="187"/>
              <w:rPr>
                <w:sz w:val="16"/>
                <w:szCs w:val="16"/>
              </w:rPr>
            </w:pPr>
            <w:r>
              <w:rPr>
                <w:b/>
                <w:bCs/>
                <w:spacing w:val="-2"/>
                <w:sz w:val="16"/>
                <w:szCs w:val="16"/>
              </w:rPr>
              <w:t>自评得分</w:t>
            </w:r>
          </w:p>
        </w:tc>
        <w:tc>
          <w:tcPr>
            <w:tcW w:w="1849" w:type="dxa"/>
            <w:vAlign w:val="top"/>
          </w:tcPr>
          <w:p w14:paraId="4F15B2DE">
            <w:pPr>
              <w:rPr>
                <w:rFonts w:ascii="Arial"/>
                <w:sz w:val="21"/>
              </w:rPr>
            </w:pPr>
          </w:p>
        </w:tc>
        <w:tc>
          <w:tcPr>
            <w:tcW w:w="1859" w:type="dxa"/>
            <w:vAlign w:val="top"/>
          </w:tcPr>
          <w:p w14:paraId="2A2C86DD">
            <w:pPr>
              <w:rPr>
                <w:rFonts w:ascii="Arial"/>
                <w:sz w:val="21"/>
              </w:rPr>
            </w:pPr>
          </w:p>
        </w:tc>
        <w:tc>
          <w:tcPr>
            <w:tcW w:w="1209" w:type="dxa"/>
            <w:vAlign w:val="top"/>
          </w:tcPr>
          <w:p w14:paraId="18C02E8B">
            <w:pPr>
              <w:rPr>
                <w:rFonts w:ascii="Arial"/>
                <w:sz w:val="21"/>
              </w:rPr>
            </w:pPr>
          </w:p>
        </w:tc>
        <w:tc>
          <w:tcPr>
            <w:tcW w:w="1199" w:type="dxa"/>
            <w:vAlign w:val="top"/>
          </w:tcPr>
          <w:p w14:paraId="22544F8A">
            <w:pPr>
              <w:rPr>
                <w:rFonts w:ascii="Arial"/>
                <w:sz w:val="21"/>
              </w:rPr>
            </w:pPr>
          </w:p>
        </w:tc>
        <w:tc>
          <w:tcPr>
            <w:tcW w:w="1209" w:type="dxa"/>
            <w:vAlign w:val="top"/>
          </w:tcPr>
          <w:p w14:paraId="541942F4">
            <w:pPr>
              <w:rPr>
                <w:rFonts w:ascii="Arial"/>
                <w:sz w:val="21"/>
              </w:rPr>
            </w:pPr>
          </w:p>
        </w:tc>
        <w:tc>
          <w:tcPr>
            <w:tcW w:w="1209" w:type="dxa"/>
            <w:vAlign w:val="top"/>
          </w:tcPr>
          <w:p w14:paraId="704EF1EF">
            <w:pPr>
              <w:rPr>
                <w:rFonts w:ascii="Arial"/>
                <w:sz w:val="21"/>
              </w:rPr>
            </w:pPr>
          </w:p>
        </w:tc>
        <w:tc>
          <w:tcPr>
            <w:tcW w:w="860" w:type="dxa"/>
            <w:vAlign w:val="top"/>
          </w:tcPr>
          <w:p w14:paraId="541039A7"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Align w:val="top"/>
          </w:tcPr>
          <w:p w14:paraId="52ED81B9">
            <w:pPr>
              <w:rPr>
                <w:rFonts w:ascii="Arial"/>
                <w:sz w:val="21"/>
              </w:rPr>
            </w:pPr>
          </w:p>
        </w:tc>
        <w:tc>
          <w:tcPr>
            <w:tcW w:w="849" w:type="dxa"/>
            <w:vAlign w:val="top"/>
          </w:tcPr>
          <w:p w14:paraId="3AFEFBA9">
            <w:pPr>
              <w:rPr>
                <w:rFonts w:ascii="Arial"/>
                <w:sz w:val="21"/>
              </w:rPr>
            </w:pPr>
          </w:p>
        </w:tc>
        <w:tc>
          <w:tcPr>
            <w:tcW w:w="1079" w:type="dxa"/>
            <w:vAlign w:val="top"/>
          </w:tcPr>
          <w:p w14:paraId="581EA6D9">
            <w:pPr>
              <w:rPr>
                <w:rFonts w:ascii="Arial"/>
                <w:sz w:val="21"/>
              </w:rPr>
            </w:pPr>
          </w:p>
        </w:tc>
        <w:tc>
          <w:tcPr>
            <w:tcW w:w="1079" w:type="dxa"/>
            <w:vAlign w:val="top"/>
          </w:tcPr>
          <w:p w14:paraId="0ABCAD59">
            <w:pPr>
              <w:pStyle w:val="6"/>
              <w:spacing w:before="212"/>
              <w:ind w:left="378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100%</w:t>
            </w:r>
          </w:p>
        </w:tc>
        <w:tc>
          <w:tcPr>
            <w:tcW w:w="1074" w:type="dxa"/>
            <w:vAlign w:val="top"/>
          </w:tcPr>
          <w:p w14:paraId="0D8703BF">
            <w:pPr>
              <w:pStyle w:val="6"/>
              <w:spacing w:before="182" w:line="239" w:lineRule="auto"/>
              <w:ind w:left="369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95.2</w:t>
            </w:r>
          </w:p>
        </w:tc>
      </w:tr>
    </w:tbl>
    <w:p w14:paraId="0CF8EC94">
      <w:pPr>
        <w:spacing w:before="208" w:line="169" w:lineRule="auto"/>
        <w:ind w:left="217"/>
        <w:rPr>
          <w:rFonts w:ascii="宋体" w:hAnsi="宋体" w:eastAsia="宋体" w:cs="宋体"/>
          <w:sz w:val="15"/>
          <w:szCs w:val="15"/>
        </w:rPr>
      </w:pPr>
      <w:r>
        <w:rPr>
          <w:rFonts w:ascii="宋体" w:hAnsi="宋体" w:eastAsia="宋体" w:cs="宋体"/>
          <w:b/>
          <w:bCs/>
          <w:spacing w:val="-2"/>
          <w:sz w:val="15"/>
          <w:szCs w:val="15"/>
        </w:rPr>
        <w:t>填报人：</w:t>
      </w:r>
      <w:r>
        <w:rPr>
          <w:rFonts w:ascii="宋体" w:hAnsi="宋体" w:eastAsia="宋体" w:cs="宋体"/>
          <w:spacing w:val="29"/>
          <w:w w:val="101"/>
          <w:sz w:val="15"/>
          <w:szCs w:val="15"/>
        </w:rPr>
        <w:t xml:space="preserve">  </w:t>
      </w:r>
      <w:r>
        <w:rPr>
          <w:rFonts w:ascii="宋体" w:hAnsi="宋体" w:eastAsia="宋体" w:cs="宋体"/>
          <w:spacing w:val="-2"/>
          <w:sz w:val="15"/>
          <w:szCs w:val="15"/>
        </w:rPr>
        <w:t>王小风</w:t>
      </w:r>
    </w:p>
    <w:p w14:paraId="2892A04B">
      <w:pPr>
        <w:spacing w:line="202" w:lineRule="auto"/>
        <w:ind w:left="11327"/>
        <w:rPr>
          <w:rFonts w:ascii="Times New Roman" w:hAnsi="Times New Roman" w:eastAsia="Times New Roman" w:cs="Times New Roman"/>
          <w:sz w:val="15"/>
          <w:szCs w:val="15"/>
        </w:rPr>
      </w:pPr>
      <w:r>
        <w:rPr>
          <w:rFonts w:ascii="宋体" w:hAnsi="宋体" w:eastAsia="宋体" w:cs="宋体"/>
          <w:b/>
          <w:bCs/>
          <w:spacing w:val="-2"/>
          <w:sz w:val="15"/>
          <w:szCs w:val="15"/>
        </w:rPr>
        <w:t>联系电话：</w:t>
      </w:r>
      <w:r>
        <w:rPr>
          <w:rFonts w:ascii="宋体" w:hAnsi="宋体" w:eastAsia="宋体" w:cs="宋体"/>
          <w:spacing w:val="-25"/>
          <w:sz w:val="15"/>
          <w:szCs w:val="15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5"/>
          <w:szCs w:val="15"/>
        </w:rPr>
        <w:t>4262321</w:t>
      </w:r>
    </w:p>
    <w:p w14:paraId="19335D9F">
      <w:pPr>
        <w:spacing w:before="161" w:line="219" w:lineRule="auto"/>
        <w:ind w:left="25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6"/>
          <w:sz w:val="17"/>
          <w:szCs w:val="17"/>
        </w:rPr>
        <w:t>说明：1.预算项目自评得分由各单项指标的折算得分</w:t>
      </w:r>
      <w:r>
        <w:rPr>
          <w:rFonts w:ascii="宋体" w:hAnsi="宋体" w:eastAsia="宋体" w:cs="宋体"/>
          <w:spacing w:val="5"/>
          <w:sz w:val="17"/>
          <w:szCs w:val="17"/>
        </w:rPr>
        <w:t>合计而成，满分为100分。</w:t>
      </w:r>
    </w:p>
    <w:p w14:paraId="3CC6D49C">
      <w:pPr>
        <w:spacing w:before="57" w:line="212" w:lineRule="auto"/>
        <w:ind w:left="515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10"/>
          <w:sz w:val="17"/>
          <w:szCs w:val="17"/>
        </w:rPr>
        <w:t>3.单际指成值分即填某项指标实际完成情况</w:t>
      </w:r>
      <w:r>
        <w:rPr>
          <w:rFonts w:ascii="黑体" w:hAnsi="黑体" w:eastAsia="黑体" w:cs="黑体"/>
          <w:spacing w:val="10"/>
          <w:sz w:val="17"/>
          <w:szCs w:val="17"/>
        </w:rPr>
        <w:t>，如培训次数、参训率等</w:t>
      </w:r>
      <w:r>
        <w:rPr>
          <w:rFonts w:ascii="LiSu" w:hAnsi="LiSu" w:eastAsia="LiSu" w:cs="LiSu"/>
          <w:spacing w:val="9"/>
          <w:sz w:val="17"/>
          <w:szCs w:val="17"/>
        </w:rPr>
        <w:t>：完成等级，即对应评价标准，根据实际完成值选择填写优、良、中</w:t>
      </w:r>
      <w:r>
        <w:rPr>
          <w:rFonts w:ascii="宋体" w:hAnsi="宋体" w:eastAsia="宋体" w:cs="宋体"/>
          <w:spacing w:val="9"/>
          <w:sz w:val="17"/>
          <w:szCs w:val="17"/>
        </w:rPr>
        <w:t>、差四个等级。</w:t>
      </w:r>
    </w:p>
    <w:p w14:paraId="4543D606">
      <w:pPr>
        <w:spacing w:before="46" w:line="219" w:lineRule="auto"/>
        <w:ind w:left="515"/>
        <w:rPr>
          <w:rFonts w:ascii="宋体" w:hAnsi="宋体" w:eastAsia="宋体" w:cs="宋体"/>
          <w:sz w:val="15"/>
          <w:szCs w:val="15"/>
        </w:rPr>
      </w:pPr>
      <w:r>
        <w:rPr>
          <w:rFonts w:ascii="宋体" w:hAnsi="宋体" w:eastAsia="宋体" w:cs="宋体"/>
          <w:spacing w:val="14"/>
          <w:sz w:val="15"/>
          <w:szCs w:val="15"/>
        </w:rPr>
        <w:t>3.</w:t>
      </w:r>
      <w:r>
        <w:rPr>
          <w:rFonts w:ascii="宋体" w:hAnsi="宋体" w:eastAsia="宋体" w:cs="宋体"/>
          <w:spacing w:val="-26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4"/>
          <w:sz w:val="15"/>
          <w:szCs w:val="15"/>
        </w:rPr>
        <w:t>单重指标得分单项指标在感等级0分中所顶指标相成，得分中预算执行指中养对应的分值区度</w:t>
      </w:r>
      <w:r>
        <w:rPr>
          <w:rFonts w:ascii="宋体" w:hAnsi="宋体" w:eastAsia="宋体" w:cs="宋体"/>
          <w:spacing w:val="-34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4"/>
          <w:sz w:val="15"/>
          <w:szCs w:val="15"/>
        </w:rPr>
        <w:t>一</w:t>
      </w:r>
      <w:r>
        <w:rPr>
          <w:rFonts w:ascii="宋体" w:hAnsi="宋体" w:eastAsia="宋体" w:cs="宋体"/>
          <w:spacing w:val="-37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般为90分     0</w:t>
      </w:r>
      <w:r>
        <w:rPr>
          <w:rFonts w:ascii="宋体" w:hAnsi="宋体" w:eastAsia="宋体" w:cs="宋体"/>
          <w:spacing w:val="-31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9</w:t>
      </w:r>
      <w:r>
        <w:rPr>
          <w:rFonts w:ascii="宋体" w:hAnsi="宋体" w:eastAsia="宋体" w:cs="宋体"/>
          <w:spacing w:val="-30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0</w:t>
      </w:r>
      <w:r>
        <w:rPr>
          <w:rFonts w:ascii="宋体" w:hAnsi="宋体" w:eastAsia="宋体" w:cs="宋体"/>
          <w:spacing w:val="-30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分</w:t>
      </w:r>
      <w:r>
        <w:rPr>
          <w:rFonts w:ascii="宋体" w:hAnsi="宋体" w:eastAsia="宋体" w:cs="宋体"/>
          <w:spacing w:val="-30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6</w:t>
      </w:r>
      <w:r>
        <w:rPr>
          <w:rFonts w:ascii="宋体" w:hAnsi="宋体" w:eastAsia="宋体" w:cs="宋体"/>
          <w:spacing w:val="-31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0</w:t>
      </w:r>
      <w:r>
        <w:rPr>
          <w:rFonts w:ascii="宋体" w:hAnsi="宋体" w:eastAsia="宋体" w:cs="宋体"/>
          <w:spacing w:val="-31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8</w:t>
      </w:r>
      <w:r>
        <w:rPr>
          <w:rFonts w:ascii="宋体" w:hAnsi="宋体" w:eastAsia="宋体" w:cs="宋体"/>
          <w:spacing w:val="-30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0</w:t>
      </w:r>
      <w:r>
        <w:rPr>
          <w:rFonts w:ascii="宋体" w:hAnsi="宋体" w:eastAsia="宋体" w:cs="宋体"/>
          <w:spacing w:val="-30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分</w:t>
      </w:r>
      <w:r>
        <w:rPr>
          <w:rFonts w:ascii="宋体" w:hAnsi="宋体" w:eastAsia="宋体" w:cs="宋体"/>
          <w:spacing w:val="-21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、</w:t>
      </w:r>
      <w:r>
        <w:rPr>
          <w:rFonts w:ascii="宋体" w:hAnsi="宋体" w:eastAsia="宋体" w:cs="宋体"/>
          <w:spacing w:val="-30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6</w:t>
      </w:r>
      <w:r>
        <w:rPr>
          <w:rFonts w:ascii="宋体" w:hAnsi="宋体" w:eastAsia="宋体" w:cs="宋体"/>
          <w:spacing w:val="-31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0</w:t>
      </w:r>
      <w:r>
        <w:rPr>
          <w:rFonts w:ascii="宋体" w:hAnsi="宋体" w:eastAsia="宋体" w:cs="宋体"/>
          <w:spacing w:val="-30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分</w:t>
      </w:r>
      <w:r>
        <w:rPr>
          <w:rFonts w:ascii="宋体" w:hAnsi="宋体" w:eastAsia="宋体" w:cs="宋体"/>
          <w:spacing w:val="-14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以</w:t>
      </w:r>
      <w:r>
        <w:rPr>
          <w:rFonts w:ascii="宋体" w:hAnsi="宋体" w:eastAsia="宋体" w:cs="宋体"/>
          <w:spacing w:val="-27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下</w:t>
      </w:r>
      <w:r>
        <w:rPr>
          <w:rFonts w:ascii="宋体" w:hAnsi="宋体" w:eastAsia="宋体" w:cs="宋体"/>
          <w:spacing w:val="-19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，</w:t>
      </w:r>
      <w:r>
        <w:rPr>
          <w:rFonts w:ascii="宋体" w:hAnsi="宋体" w:eastAsia="宋体" w:cs="宋体"/>
          <w:spacing w:val="-31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预</w:t>
      </w:r>
      <w:r>
        <w:rPr>
          <w:rFonts w:ascii="宋体" w:hAnsi="宋体" w:eastAsia="宋体" w:cs="宋体"/>
          <w:spacing w:val="-30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算</w:t>
      </w:r>
      <w:r>
        <w:rPr>
          <w:rFonts w:ascii="宋体" w:hAnsi="宋体" w:eastAsia="宋体" w:cs="宋体"/>
          <w:spacing w:val="-32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执</w:t>
      </w:r>
      <w:r>
        <w:rPr>
          <w:rFonts w:ascii="宋体" w:hAnsi="宋体" w:eastAsia="宋体" w:cs="宋体"/>
          <w:spacing w:val="-29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行</w:t>
      </w:r>
      <w:r>
        <w:rPr>
          <w:rFonts w:ascii="宋体" w:hAnsi="宋体" w:eastAsia="宋体" w:cs="宋体"/>
          <w:spacing w:val="-30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率</w:t>
      </w:r>
      <w:r>
        <w:rPr>
          <w:rFonts w:ascii="宋体" w:hAnsi="宋体" w:eastAsia="宋体" w:cs="宋体"/>
          <w:spacing w:val="-30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指</w:t>
      </w:r>
      <w:r>
        <w:rPr>
          <w:rFonts w:ascii="宋体" w:hAnsi="宋体" w:eastAsia="宋体" w:cs="宋体"/>
          <w:spacing w:val="-31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标</w:t>
      </w:r>
      <w:r>
        <w:rPr>
          <w:rFonts w:ascii="宋体" w:hAnsi="宋体" w:eastAsia="宋体" w:cs="宋体"/>
          <w:spacing w:val="-31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得</w:t>
      </w:r>
      <w:r>
        <w:rPr>
          <w:rFonts w:ascii="宋体" w:hAnsi="宋体" w:eastAsia="宋体" w:cs="宋体"/>
          <w:spacing w:val="-30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分</w:t>
      </w:r>
      <w:r>
        <w:rPr>
          <w:rFonts w:ascii="宋体" w:hAnsi="宋体" w:eastAsia="宋体" w:cs="宋体"/>
          <w:spacing w:val="-30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为</w:t>
      </w:r>
      <w:r>
        <w:rPr>
          <w:rFonts w:ascii="宋体" w:hAnsi="宋体" w:eastAsia="宋体" w:cs="宋体"/>
          <w:spacing w:val="-28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实</w:t>
      </w:r>
      <w:r>
        <w:rPr>
          <w:rFonts w:ascii="宋体" w:hAnsi="宋体" w:eastAsia="宋体" w:cs="宋体"/>
          <w:spacing w:val="-21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际</w:t>
      </w:r>
      <w:r>
        <w:rPr>
          <w:rFonts w:ascii="宋体" w:hAnsi="宋体" w:eastAsia="宋体" w:cs="宋体"/>
          <w:spacing w:val="-30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完</w:t>
      </w:r>
      <w:r>
        <w:rPr>
          <w:rFonts w:ascii="宋体" w:hAnsi="宋体" w:eastAsia="宋体" w:cs="宋体"/>
          <w:spacing w:val="-31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成</w:t>
      </w:r>
      <w:r>
        <w:rPr>
          <w:rFonts w:ascii="宋体" w:hAnsi="宋体" w:eastAsia="宋体" w:cs="宋体"/>
          <w:spacing w:val="-31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值</w:t>
      </w:r>
      <w:r>
        <w:rPr>
          <w:rFonts w:ascii="宋体" w:hAnsi="宋体" w:eastAsia="宋体" w:cs="宋体"/>
          <w:spacing w:val="-32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*</w:t>
      </w:r>
      <w:r>
        <w:rPr>
          <w:rFonts w:ascii="宋体" w:hAnsi="宋体" w:eastAsia="宋体" w:cs="宋体"/>
          <w:spacing w:val="-21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1</w:t>
      </w:r>
      <w:r>
        <w:rPr>
          <w:rFonts w:ascii="宋体" w:hAnsi="宋体" w:eastAsia="宋体" w:cs="宋体"/>
          <w:spacing w:val="-30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0</w:t>
      </w:r>
      <w:r>
        <w:rPr>
          <w:rFonts w:ascii="宋体" w:hAnsi="宋体" w:eastAsia="宋体" w:cs="宋体"/>
          <w:spacing w:val="-31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0</w:t>
      </w:r>
      <w:r>
        <w:rPr>
          <w:rFonts w:ascii="宋体" w:hAnsi="宋体" w:eastAsia="宋体" w:cs="宋体"/>
          <w:spacing w:val="-27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13"/>
          <w:sz w:val="15"/>
          <w:szCs w:val="15"/>
        </w:rPr>
        <w:t>.</w:t>
      </w:r>
    </w:p>
    <w:p w14:paraId="4506607E">
      <w:pPr>
        <w:spacing w:before="22" w:line="219" w:lineRule="auto"/>
        <w:ind w:left="515"/>
        <w:rPr>
          <w:rFonts w:ascii="宋体" w:hAnsi="宋体" w:eastAsia="宋体" w:cs="宋体"/>
          <w:sz w:val="15"/>
          <w:szCs w:val="15"/>
        </w:rPr>
      </w:pPr>
      <w:r>
        <w:rPr>
          <w:rFonts w:ascii="宋体" w:hAnsi="宋体" w:eastAsia="宋体" w:cs="宋体"/>
          <w:spacing w:val="25"/>
          <w:sz w:val="15"/>
          <w:szCs w:val="15"/>
        </w:rPr>
        <w:t>4.</w:t>
      </w:r>
      <w:r>
        <w:rPr>
          <w:rFonts w:ascii="宋体" w:hAnsi="宋体" w:eastAsia="宋体" w:cs="宋体"/>
          <w:spacing w:val="-40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25"/>
          <w:sz w:val="15"/>
          <w:szCs w:val="15"/>
        </w:rPr>
        <w:t>权重占比，即单项指标在总分100分中所占的比重，其中预算执行率指标权重占比固定为10%。各项指标权重占比之和为10</w:t>
      </w:r>
      <w:r>
        <w:rPr>
          <w:rFonts w:ascii="宋体" w:hAnsi="宋体" w:eastAsia="宋体" w:cs="宋体"/>
          <w:spacing w:val="24"/>
          <w:sz w:val="15"/>
          <w:szCs w:val="15"/>
        </w:rPr>
        <w:t>%。</w:t>
      </w:r>
    </w:p>
    <w:p w14:paraId="6E4BA8F1">
      <w:pPr>
        <w:spacing w:before="22" w:line="219" w:lineRule="auto"/>
        <w:ind w:left="515"/>
        <w:rPr>
          <w:rFonts w:ascii="宋体" w:hAnsi="宋体" w:eastAsia="宋体" w:cs="宋体"/>
          <w:sz w:val="15"/>
          <w:szCs w:val="15"/>
        </w:rPr>
      </w:pPr>
      <w:r>
        <w:rPr>
          <w:rFonts w:ascii="宋体" w:hAnsi="宋体" w:eastAsia="宋体" w:cs="宋体"/>
          <w:spacing w:val="20"/>
          <w:sz w:val="15"/>
          <w:szCs w:val="15"/>
        </w:rPr>
        <w:t>5.</w:t>
      </w:r>
      <w:r>
        <w:rPr>
          <w:rFonts w:ascii="宋体" w:hAnsi="宋体" w:eastAsia="宋体" w:cs="宋体"/>
          <w:spacing w:val="-17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20"/>
          <w:sz w:val="15"/>
          <w:szCs w:val="15"/>
        </w:rPr>
        <w:t>折算得分，即单项指标得分*权重占比。</w:t>
      </w:r>
    </w:p>
    <w:sectPr>
      <w:headerReference r:id="rId67" w:type="default"/>
      <w:footerReference r:id="rId68" w:type="default"/>
      <w:pgSz w:w="16820" w:h="11900"/>
      <w:pgMar w:top="400" w:right="825" w:bottom="400" w:left="644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LiSu">
    <w:altName w:val="宋体"/>
    <w:panose1 w:val="0201050906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44CDEE">
    <w:pPr>
      <w:spacing w:line="175" w:lineRule="auto"/>
      <w:ind w:left="4070"/>
      <w:rPr>
        <w:rFonts w:ascii="Times New Roman" w:hAnsi="Times New Roman" w:eastAsia="Times New Roman" w:cs="Times New Roman"/>
        <w:sz w:val="16"/>
        <w:szCs w:val="16"/>
      </w:rPr>
    </w:pPr>
    <w:r>
      <w:rPr>
        <w:rFonts w:ascii="Times New Roman" w:hAnsi="Times New Roman" w:eastAsia="Times New Roman" w:cs="Times New Roman"/>
        <w:sz w:val="16"/>
        <w:szCs w:val="16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A7EE9A">
    <w:pPr>
      <w:spacing w:line="175" w:lineRule="auto"/>
      <w:ind w:left="4040"/>
      <w:rPr>
        <w:rFonts w:ascii="Times New Roman" w:hAnsi="Times New Roman" w:eastAsia="Times New Roman" w:cs="Times New Roman"/>
        <w:sz w:val="16"/>
        <w:szCs w:val="16"/>
      </w:rPr>
    </w:pPr>
    <w:r>
      <w:rPr>
        <w:rFonts w:ascii="Times New Roman" w:hAnsi="Times New Roman" w:eastAsia="Times New Roman" w:cs="Times New Roman"/>
        <w:sz w:val="16"/>
        <w:szCs w:val="16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64A411">
    <w:pPr>
      <w:spacing w:line="175" w:lineRule="auto"/>
      <w:ind w:left="4054"/>
      <w:rPr>
        <w:rFonts w:ascii="Times New Roman" w:hAnsi="Times New Roman" w:eastAsia="Times New Roman" w:cs="Times New Roman"/>
        <w:sz w:val="16"/>
        <w:szCs w:val="16"/>
      </w:rPr>
    </w:pPr>
    <w:r>
      <w:rPr>
        <w:rFonts w:ascii="Times New Roman" w:hAnsi="Times New Roman" w:eastAsia="Times New Roman" w:cs="Times New Roman"/>
        <w:sz w:val="16"/>
        <w:szCs w:val="16"/>
      </w:rPr>
      <w:t>3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1DD261">
    <w:pPr>
      <w:spacing w:line="174" w:lineRule="auto"/>
      <w:ind w:left="4039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</w:rPr>
      <w:t>4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2ABF72">
    <w:pPr>
      <w:spacing w:line="171" w:lineRule="auto"/>
      <w:ind w:left="4060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</w:rPr>
      <w:t>5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DBA151">
    <w:pPr>
      <w:spacing w:line="174" w:lineRule="auto"/>
      <w:ind w:left="4040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</w:rPr>
      <w:t>6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69C41C">
    <w:pPr>
      <w:spacing w:line="171" w:lineRule="auto"/>
      <w:ind w:left="4030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</w:rPr>
      <w:t>7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34DBD7">
    <w:pPr>
      <w:spacing w:line="175" w:lineRule="auto"/>
      <w:ind w:left="4039"/>
      <w:rPr>
        <w:rFonts w:ascii="Times New Roman" w:hAnsi="Times New Roman" w:eastAsia="Times New Roman" w:cs="Times New Roman"/>
        <w:sz w:val="16"/>
        <w:szCs w:val="16"/>
      </w:rPr>
    </w:pPr>
    <w:r>
      <w:rPr>
        <w:rFonts w:ascii="Times New Roman" w:hAnsi="Times New Roman" w:eastAsia="Times New Roman" w:cs="Times New Roman"/>
        <w:sz w:val="16"/>
        <w:szCs w:val="16"/>
      </w:rPr>
      <w:t>8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2D53AB">
    <w:pPr>
      <w:spacing w:line="175" w:lineRule="auto"/>
      <w:ind w:left="4070"/>
      <w:rPr>
        <w:rFonts w:ascii="Times New Roman" w:hAnsi="Times New Roman" w:eastAsia="Times New Roman" w:cs="Times New Roman"/>
        <w:sz w:val="16"/>
        <w:szCs w:val="16"/>
      </w:rPr>
    </w:pPr>
    <w:r>
      <w:rPr>
        <w:rFonts w:ascii="Times New Roman" w:hAnsi="Times New Roman" w:eastAsia="Times New Roman" w:cs="Times New Roman"/>
        <w:sz w:val="16"/>
        <w:szCs w:val="16"/>
      </w:rPr>
      <w:t>9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B82F87">
    <w:pPr>
      <w:spacing w:line="175" w:lineRule="auto"/>
      <w:ind w:left="3999"/>
      <w:rPr>
        <w:rFonts w:ascii="Times New Roman" w:hAnsi="Times New Roman" w:eastAsia="Times New Roman" w:cs="Times New Roman"/>
        <w:sz w:val="16"/>
        <w:szCs w:val="16"/>
      </w:rPr>
    </w:pPr>
    <w:r>
      <w:rPr>
        <w:rFonts w:ascii="Times New Roman" w:hAnsi="Times New Roman" w:eastAsia="Times New Roman" w:cs="Times New Roman"/>
        <w:spacing w:val="-5"/>
        <w:sz w:val="16"/>
        <w:szCs w:val="16"/>
      </w:rPr>
      <w:t>10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E8905B">
    <w:pPr>
      <w:spacing w:line="174" w:lineRule="auto"/>
      <w:ind w:left="4010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pacing w:val="-5"/>
        <w:sz w:val="15"/>
        <w:szCs w:val="15"/>
      </w:rPr>
      <w:t>11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851BEF">
    <w:pPr>
      <w:spacing w:line="174" w:lineRule="auto"/>
      <w:ind w:left="3990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pacing w:val="-5"/>
        <w:sz w:val="15"/>
        <w:szCs w:val="15"/>
      </w:rPr>
      <w:t>12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913E2B">
    <w:pPr>
      <w:spacing w:line="175" w:lineRule="auto"/>
      <w:ind w:left="3990"/>
      <w:rPr>
        <w:rFonts w:ascii="Times New Roman" w:hAnsi="Times New Roman" w:eastAsia="Times New Roman" w:cs="Times New Roman"/>
        <w:sz w:val="16"/>
        <w:szCs w:val="16"/>
      </w:rPr>
    </w:pPr>
    <w:r>
      <w:rPr>
        <w:rFonts w:ascii="Times New Roman" w:hAnsi="Times New Roman" w:eastAsia="Times New Roman" w:cs="Times New Roman"/>
        <w:spacing w:val="-5"/>
        <w:sz w:val="16"/>
        <w:szCs w:val="16"/>
      </w:rPr>
      <w:t>13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3C448B">
    <w:pPr>
      <w:spacing w:line="173" w:lineRule="auto"/>
      <w:ind w:left="4009"/>
      <w:rPr>
        <w:rFonts w:ascii="Times New Roman" w:hAnsi="Times New Roman" w:eastAsia="Times New Roman" w:cs="Times New Roman"/>
        <w:sz w:val="14"/>
        <w:szCs w:val="14"/>
      </w:rPr>
    </w:pPr>
    <w:r>
      <w:rPr>
        <w:rFonts w:ascii="Times New Roman" w:hAnsi="Times New Roman" w:eastAsia="Times New Roman" w:cs="Times New Roman"/>
        <w:spacing w:val="-5"/>
        <w:sz w:val="14"/>
        <w:szCs w:val="14"/>
      </w:rPr>
      <w:t>14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355E61">
    <w:pPr>
      <w:spacing w:line="173" w:lineRule="auto"/>
      <w:ind w:left="3999"/>
      <w:rPr>
        <w:rFonts w:ascii="Times New Roman" w:hAnsi="Times New Roman" w:eastAsia="Times New Roman" w:cs="Times New Roman"/>
        <w:sz w:val="14"/>
        <w:szCs w:val="14"/>
      </w:rPr>
    </w:pPr>
    <w:r>
      <w:rPr>
        <w:rFonts w:ascii="Times New Roman" w:hAnsi="Times New Roman" w:eastAsia="Times New Roman" w:cs="Times New Roman"/>
        <w:spacing w:val="-5"/>
        <w:sz w:val="14"/>
        <w:szCs w:val="14"/>
      </w:rPr>
      <w:t>15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875578">
    <w:pPr>
      <w:spacing w:line="174" w:lineRule="auto"/>
      <w:ind w:left="4010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pacing w:val="-5"/>
        <w:sz w:val="15"/>
        <w:szCs w:val="15"/>
      </w:rPr>
      <w:t>16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34E5BE">
    <w:pPr>
      <w:spacing w:line="174" w:lineRule="auto"/>
      <w:ind w:left="3909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pacing w:val="-5"/>
        <w:sz w:val="15"/>
        <w:szCs w:val="15"/>
      </w:rPr>
      <w:t>17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BC2B4A">
    <w:pPr>
      <w:spacing w:line="175" w:lineRule="auto"/>
      <w:ind w:left="3980"/>
      <w:rPr>
        <w:rFonts w:ascii="Times New Roman" w:hAnsi="Times New Roman" w:eastAsia="Times New Roman" w:cs="Times New Roman"/>
        <w:sz w:val="16"/>
        <w:szCs w:val="16"/>
      </w:rPr>
    </w:pPr>
    <w:r>
      <w:rPr>
        <w:rFonts w:ascii="Times New Roman" w:hAnsi="Times New Roman" w:eastAsia="Times New Roman" w:cs="Times New Roman"/>
        <w:spacing w:val="-5"/>
        <w:sz w:val="16"/>
        <w:szCs w:val="16"/>
      </w:rPr>
      <w:t>18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B8CED2">
    <w:pPr>
      <w:spacing w:line="174" w:lineRule="auto"/>
      <w:ind w:left="4000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pacing w:val="-5"/>
        <w:sz w:val="15"/>
        <w:szCs w:val="15"/>
      </w:rPr>
      <w:t>19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D7A0C0">
    <w:pPr>
      <w:spacing w:line="175" w:lineRule="auto"/>
      <w:ind w:left="3985"/>
      <w:rPr>
        <w:rFonts w:ascii="Times New Roman" w:hAnsi="Times New Roman" w:eastAsia="Times New Roman" w:cs="Times New Roman"/>
        <w:sz w:val="16"/>
        <w:szCs w:val="16"/>
      </w:rPr>
    </w:pPr>
    <w:r>
      <w:rPr>
        <w:rFonts w:ascii="Times New Roman" w:hAnsi="Times New Roman" w:eastAsia="Times New Roman" w:cs="Times New Roman"/>
        <w:spacing w:val="-1"/>
        <w:sz w:val="16"/>
        <w:szCs w:val="16"/>
      </w:rPr>
      <w:t>20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10902F">
    <w:pPr>
      <w:spacing w:line="175" w:lineRule="auto"/>
      <w:ind w:left="3980"/>
      <w:rPr>
        <w:rFonts w:ascii="Times New Roman" w:hAnsi="Times New Roman" w:eastAsia="Times New Roman" w:cs="Times New Roman"/>
        <w:sz w:val="16"/>
        <w:szCs w:val="16"/>
      </w:rPr>
    </w:pPr>
    <w:r>
      <w:rPr>
        <w:rFonts w:ascii="Times New Roman" w:hAnsi="Times New Roman" w:eastAsia="Times New Roman" w:cs="Times New Roman"/>
        <w:spacing w:val="-1"/>
        <w:sz w:val="16"/>
        <w:szCs w:val="16"/>
      </w:rPr>
      <w:t>21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BE217A">
    <w:pPr>
      <w:spacing w:line="175" w:lineRule="auto"/>
      <w:ind w:left="3980"/>
      <w:rPr>
        <w:rFonts w:ascii="Times New Roman" w:hAnsi="Times New Roman" w:eastAsia="Times New Roman" w:cs="Times New Roman"/>
        <w:sz w:val="16"/>
        <w:szCs w:val="16"/>
      </w:rPr>
    </w:pPr>
    <w:r>
      <w:rPr>
        <w:rFonts w:ascii="Times New Roman" w:hAnsi="Times New Roman" w:eastAsia="Times New Roman" w:cs="Times New Roman"/>
        <w:spacing w:val="-1"/>
        <w:sz w:val="16"/>
        <w:szCs w:val="16"/>
      </w:rPr>
      <w:t>22</w: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94B7A4">
    <w:pPr>
      <w:spacing w:line="174" w:lineRule="auto"/>
      <w:ind w:left="3980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pacing w:val="-1"/>
        <w:sz w:val="15"/>
        <w:szCs w:val="15"/>
      </w:rPr>
      <w:t>23</w: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EAD12E">
    <w:pPr>
      <w:spacing w:line="174" w:lineRule="auto"/>
      <w:ind w:left="4020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pacing w:val="-1"/>
        <w:sz w:val="15"/>
        <w:szCs w:val="15"/>
      </w:rPr>
      <w:t>24</w: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3FB190">
    <w:pPr>
      <w:spacing w:line="175" w:lineRule="auto"/>
      <w:ind w:left="4000"/>
      <w:rPr>
        <w:rFonts w:ascii="Times New Roman" w:hAnsi="Times New Roman" w:eastAsia="Times New Roman" w:cs="Times New Roman"/>
        <w:sz w:val="16"/>
        <w:szCs w:val="16"/>
      </w:rPr>
    </w:pPr>
    <w:r>
      <w:rPr>
        <w:rFonts w:ascii="Times New Roman" w:hAnsi="Times New Roman" w:eastAsia="Times New Roman" w:cs="Times New Roman"/>
        <w:spacing w:val="-1"/>
        <w:sz w:val="16"/>
        <w:szCs w:val="16"/>
      </w:rPr>
      <w:t>25</w: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8BFE9A">
    <w:pPr>
      <w:spacing w:line="174" w:lineRule="auto"/>
      <w:ind w:left="3999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pacing w:val="-1"/>
        <w:sz w:val="15"/>
        <w:szCs w:val="15"/>
      </w:rPr>
      <w:t>26</w: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0DCFBF">
    <w:pPr>
      <w:spacing w:line="175" w:lineRule="auto"/>
      <w:ind w:left="3990"/>
      <w:rPr>
        <w:rFonts w:ascii="Times New Roman" w:hAnsi="Times New Roman" w:eastAsia="Times New Roman" w:cs="Times New Roman"/>
        <w:sz w:val="16"/>
        <w:szCs w:val="16"/>
      </w:rPr>
    </w:pPr>
    <w:r>
      <w:rPr>
        <w:rFonts w:ascii="Times New Roman" w:hAnsi="Times New Roman" w:eastAsia="Times New Roman" w:cs="Times New Roman"/>
        <w:spacing w:val="-1"/>
        <w:sz w:val="16"/>
        <w:szCs w:val="16"/>
      </w:rPr>
      <w:t>27</w:t>
    </w: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88C360">
    <w:pPr>
      <w:spacing w:line="174" w:lineRule="auto"/>
      <w:ind w:left="3949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pacing w:val="-1"/>
        <w:sz w:val="15"/>
        <w:szCs w:val="15"/>
      </w:rPr>
      <w:t>28</w:t>
    </w: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403BC4">
    <w:pPr>
      <w:spacing w:line="175" w:lineRule="auto"/>
      <w:ind w:left="3990"/>
      <w:rPr>
        <w:rFonts w:ascii="Times New Roman" w:hAnsi="Times New Roman" w:eastAsia="Times New Roman" w:cs="Times New Roman"/>
        <w:sz w:val="16"/>
        <w:szCs w:val="16"/>
      </w:rPr>
    </w:pPr>
    <w:r>
      <w:rPr>
        <w:rFonts w:ascii="Times New Roman" w:hAnsi="Times New Roman" w:eastAsia="Times New Roman" w:cs="Times New Roman"/>
        <w:spacing w:val="-1"/>
        <w:sz w:val="16"/>
        <w:szCs w:val="16"/>
      </w:rPr>
      <w:t>29</w:t>
    </w: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7BDFA9">
    <w:pPr>
      <w:spacing w:line="175" w:lineRule="auto"/>
      <w:ind w:left="3820"/>
      <w:rPr>
        <w:rFonts w:ascii="Times New Roman" w:hAnsi="Times New Roman" w:eastAsia="Times New Roman" w:cs="Times New Roman"/>
        <w:sz w:val="16"/>
        <w:szCs w:val="16"/>
      </w:rPr>
    </w:pPr>
    <w:r>
      <w:rPr>
        <w:rFonts w:ascii="Times New Roman" w:hAnsi="Times New Roman" w:eastAsia="Times New Roman" w:cs="Times New Roman"/>
        <w:b/>
        <w:bCs/>
        <w:spacing w:val="-1"/>
        <w:sz w:val="16"/>
        <w:szCs w:val="16"/>
      </w:rPr>
      <w:t>30</w:t>
    </w: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C7DECB">
    <w:pPr>
      <w:pStyle w:val="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6E6B50">
    <w:pPr>
      <w:pStyle w:val="2"/>
      <w:spacing w:line="105" w:lineRule="auto"/>
      <w:rPr>
        <w:sz w:val="2"/>
      </w:rPr>
    </w:pPr>
    <w:r>
      <w:drawing>
        <wp:anchor distT="0" distB="0" distL="0" distR="0" simplePos="0" relativeHeight="251659264" behindDoc="0" locked="0" layoutInCell="0" allowOverlap="1">
          <wp:simplePos x="0" y="0"/>
          <wp:positionH relativeFrom="page">
            <wp:posOffset>927100</wp:posOffset>
          </wp:positionH>
          <wp:positionV relativeFrom="page">
            <wp:posOffset>748665</wp:posOffset>
          </wp:positionV>
          <wp:extent cx="5645150" cy="12700"/>
          <wp:effectExtent l="0" t="0" r="0" b="0"/>
          <wp:wrapNone/>
          <wp:docPr id="2" name="I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45159" cy="1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68C6DF">
    <w:pPr>
      <w:pStyle w:val="2"/>
      <w:spacing w:line="103" w:lineRule="auto"/>
      <w:rPr>
        <w:sz w:val="2"/>
      </w:rPr>
    </w:pPr>
    <w:r>
      <w:drawing>
        <wp:anchor distT="0" distB="0" distL="0" distR="0" simplePos="0" relativeHeight="251660288" behindDoc="0" locked="0" layoutInCell="0" allowOverlap="1">
          <wp:simplePos x="0" y="0"/>
          <wp:positionH relativeFrom="page">
            <wp:posOffset>1098550</wp:posOffset>
          </wp:positionH>
          <wp:positionV relativeFrom="page">
            <wp:posOffset>666750</wp:posOffset>
          </wp:positionV>
          <wp:extent cx="5302250" cy="12700"/>
          <wp:effectExtent l="0" t="0" r="0" b="0"/>
          <wp:wrapNone/>
          <wp:docPr id="6" name="IM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 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2244" cy="126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0DB605">
    <w:pPr>
      <w:pStyle w:val="2"/>
      <w:spacing w:line="103" w:lineRule="auto"/>
      <w:rPr>
        <w:sz w:val="2"/>
      </w:rPr>
    </w:pPr>
    <w:r>
      <w:drawing>
        <wp:anchor distT="0" distB="0" distL="0" distR="0" simplePos="0" relativeHeight="251661312" behindDoc="0" locked="0" layoutInCell="0" allowOverlap="1">
          <wp:simplePos x="0" y="0"/>
          <wp:positionH relativeFrom="page">
            <wp:posOffset>1098550</wp:posOffset>
          </wp:positionH>
          <wp:positionV relativeFrom="page">
            <wp:posOffset>666750</wp:posOffset>
          </wp:positionV>
          <wp:extent cx="5289550" cy="12700"/>
          <wp:effectExtent l="0" t="0" r="0" b="0"/>
          <wp:wrapNone/>
          <wp:docPr id="8" name="IM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89550" cy="126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76BCD9">
    <w:pPr>
      <w:pStyle w:val="2"/>
      <w:spacing w:line="105" w:lineRule="auto"/>
      <w:rPr>
        <w:sz w:val="2"/>
      </w:rPr>
    </w:pPr>
    <w:r>
      <w:drawing>
        <wp:anchor distT="0" distB="0" distL="0" distR="0" simplePos="0" relativeHeight="251662336" behindDoc="0" locked="0" layoutInCell="0" allowOverlap="1">
          <wp:simplePos x="0" y="0"/>
          <wp:positionH relativeFrom="page">
            <wp:posOffset>1117600</wp:posOffset>
          </wp:positionH>
          <wp:positionV relativeFrom="page">
            <wp:posOffset>672465</wp:posOffset>
          </wp:positionV>
          <wp:extent cx="5302250" cy="12700"/>
          <wp:effectExtent l="0" t="0" r="0" b="0"/>
          <wp:wrapNone/>
          <wp:docPr id="10" name="IM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 1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2245" cy="1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7644A5">
    <w:pPr>
      <w:pStyle w:val="2"/>
      <w:spacing w:line="105" w:lineRule="auto"/>
      <w:rPr>
        <w:sz w:val="2"/>
      </w:rPr>
    </w:pPr>
    <w:r>
      <w:drawing>
        <wp:anchor distT="0" distB="0" distL="0" distR="0" simplePos="0" relativeHeight="251663360" behindDoc="0" locked="0" layoutInCell="0" allowOverlap="1">
          <wp:simplePos x="0" y="0"/>
          <wp:positionH relativeFrom="page">
            <wp:posOffset>1117600</wp:posOffset>
          </wp:positionH>
          <wp:positionV relativeFrom="page">
            <wp:posOffset>659765</wp:posOffset>
          </wp:positionV>
          <wp:extent cx="5295900" cy="12700"/>
          <wp:effectExtent l="0" t="0" r="0" b="0"/>
          <wp:wrapNone/>
          <wp:docPr id="12" name="IM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 1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95897" cy="1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9DF7D9">
    <w:pPr>
      <w:pStyle w:val="2"/>
      <w:spacing w:line="105" w:lineRule="auto"/>
      <w:rPr>
        <w:sz w:val="2"/>
      </w:rPr>
    </w:pPr>
    <w:r>
      <w:drawing>
        <wp:anchor distT="0" distB="0" distL="0" distR="0" simplePos="0" relativeHeight="251664384" behindDoc="0" locked="0" layoutInCell="0" allowOverlap="1">
          <wp:simplePos x="0" y="0"/>
          <wp:positionH relativeFrom="page">
            <wp:posOffset>1111250</wp:posOffset>
          </wp:positionH>
          <wp:positionV relativeFrom="page">
            <wp:posOffset>672465</wp:posOffset>
          </wp:positionV>
          <wp:extent cx="5308600" cy="12700"/>
          <wp:effectExtent l="0" t="0" r="0" b="0"/>
          <wp:wrapNone/>
          <wp:docPr id="14" name="IM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 1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8592" cy="1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F01249">
    <w:pPr>
      <w:pStyle w:val="2"/>
      <w:spacing w:line="105" w:lineRule="auto"/>
      <w:rPr>
        <w:sz w:val="2"/>
      </w:rPr>
    </w:pPr>
    <w:r>
      <w:drawing>
        <wp:anchor distT="0" distB="0" distL="0" distR="0" simplePos="0" relativeHeight="251665408" behindDoc="0" locked="0" layoutInCell="0" allowOverlap="1">
          <wp:simplePos x="0" y="0"/>
          <wp:positionH relativeFrom="page">
            <wp:posOffset>1117600</wp:posOffset>
          </wp:positionH>
          <wp:positionV relativeFrom="page">
            <wp:posOffset>672465</wp:posOffset>
          </wp:positionV>
          <wp:extent cx="5295900" cy="12700"/>
          <wp:effectExtent l="0" t="0" r="0" b="0"/>
          <wp:wrapNone/>
          <wp:docPr id="16" name="IM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 1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95897" cy="1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D0A5BF">
    <w:pPr>
      <w:pStyle w:val="2"/>
      <w:spacing w:line="105" w:lineRule="auto"/>
      <w:rPr>
        <w:sz w:val="2"/>
      </w:rPr>
    </w:pPr>
    <w:r>
      <w:drawing>
        <wp:anchor distT="0" distB="0" distL="0" distR="0" simplePos="0" relativeHeight="251666432" behindDoc="0" locked="0" layoutInCell="0" allowOverlap="1">
          <wp:simplePos x="0" y="0"/>
          <wp:positionH relativeFrom="page">
            <wp:posOffset>1085850</wp:posOffset>
          </wp:positionH>
          <wp:positionV relativeFrom="page">
            <wp:posOffset>672465</wp:posOffset>
          </wp:positionV>
          <wp:extent cx="5289550" cy="12700"/>
          <wp:effectExtent l="0" t="0" r="0" b="0"/>
          <wp:wrapNone/>
          <wp:docPr id="18" name="IM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 1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89550" cy="1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8C9EC8">
    <w:pPr>
      <w:pStyle w:val="2"/>
      <w:spacing w:line="103" w:lineRule="auto"/>
      <w:rPr>
        <w:sz w:val="2"/>
      </w:rPr>
    </w:pPr>
    <w:r>
      <w:drawing>
        <wp:anchor distT="0" distB="0" distL="0" distR="0" simplePos="0" relativeHeight="251667456" behindDoc="0" locked="0" layoutInCell="0" allowOverlap="1">
          <wp:simplePos x="0" y="0"/>
          <wp:positionH relativeFrom="page">
            <wp:posOffset>1092200</wp:posOffset>
          </wp:positionH>
          <wp:positionV relativeFrom="page">
            <wp:posOffset>666750</wp:posOffset>
          </wp:positionV>
          <wp:extent cx="5302250" cy="12700"/>
          <wp:effectExtent l="0" t="0" r="0" b="0"/>
          <wp:wrapNone/>
          <wp:docPr id="22" name="IM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 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2245" cy="126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926CDE">
    <w:pPr>
      <w:pStyle w:val="2"/>
      <w:spacing w:line="104" w:lineRule="auto"/>
      <w:rPr>
        <w:sz w:val="2"/>
      </w:rPr>
    </w:pPr>
    <w:r>
      <w:drawing>
        <wp:anchor distT="0" distB="0" distL="0" distR="0" simplePos="0" relativeHeight="251668480" behindDoc="0" locked="0" layoutInCell="0" allowOverlap="1">
          <wp:simplePos x="0" y="0"/>
          <wp:positionH relativeFrom="page">
            <wp:posOffset>1123315</wp:posOffset>
          </wp:positionH>
          <wp:positionV relativeFrom="page">
            <wp:posOffset>704850</wp:posOffset>
          </wp:positionV>
          <wp:extent cx="5302250" cy="12700"/>
          <wp:effectExtent l="0" t="0" r="0" b="0"/>
          <wp:wrapNone/>
          <wp:docPr id="24" name="IM 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 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2266" cy="126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529E45">
    <w:pPr>
      <w:pStyle w:val="2"/>
      <w:spacing w:line="104" w:lineRule="auto"/>
      <w:rPr>
        <w:sz w:val="2"/>
      </w:rPr>
    </w:pPr>
    <w:r>
      <w:drawing>
        <wp:anchor distT="0" distB="0" distL="0" distR="0" simplePos="0" relativeHeight="251669504" behindDoc="0" locked="0" layoutInCell="0" allowOverlap="1">
          <wp:simplePos x="0" y="0"/>
          <wp:positionH relativeFrom="page">
            <wp:posOffset>1117600</wp:posOffset>
          </wp:positionH>
          <wp:positionV relativeFrom="page">
            <wp:posOffset>654050</wp:posOffset>
          </wp:positionV>
          <wp:extent cx="5308600" cy="12700"/>
          <wp:effectExtent l="0" t="0" r="0" b="0"/>
          <wp:wrapNone/>
          <wp:docPr id="26" name="IM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 2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8592" cy="12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2EB6D3">
    <w:pPr>
      <w:pStyle w:val="2"/>
      <w:spacing w:line="104" w:lineRule="auto"/>
      <w:rPr>
        <w:sz w:val="2"/>
      </w:rPr>
    </w:pPr>
    <w:r>
      <w:drawing>
        <wp:anchor distT="0" distB="0" distL="0" distR="0" simplePos="0" relativeHeight="251670528" behindDoc="0" locked="0" layoutInCell="0" allowOverlap="1">
          <wp:simplePos x="0" y="0"/>
          <wp:positionH relativeFrom="page">
            <wp:posOffset>1104900</wp:posOffset>
          </wp:positionH>
          <wp:positionV relativeFrom="page">
            <wp:posOffset>654050</wp:posOffset>
          </wp:positionV>
          <wp:extent cx="5308600" cy="12700"/>
          <wp:effectExtent l="0" t="0" r="0" b="0"/>
          <wp:wrapNone/>
          <wp:docPr id="28" name="IM 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 2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8592" cy="12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549A12">
    <w:pPr>
      <w:pStyle w:val="2"/>
      <w:spacing w:line="104" w:lineRule="auto"/>
      <w:rPr>
        <w:sz w:val="2"/>
      </w:rPr>
    </w:pPr>
    <w:r>
      <w:drawing>
        <wp:anchor distT="0" distB="0" distL="0" distR="0" simplePos="0" relativeHeight="251671552" behindDoc="0" locked="0" layoutInCell="0" allowOverlap="1">
          <wp:simplePos x="0" y="0"/>
          <wp:positionH relativeFrom="page">
            <wp:posOffset>1123950</wp:posOffset>
          </wp:positionH>
          <wp:positionV relativeFrom="page">
            <wp:posOffset>654050</wp:posOffset>
          </wp:positionV>
          <wp:extent cx="5289550" cy="12700"/>
          <wp:effectExtent l="0" t="0" r="0" b="0"/>
          <wp:wrapNone/>
          <wp:docPr id="30" name="IM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 3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89550" cy="12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32248B">
    <w:pPr>
      <w:pStyle w:val="2"/>
      <w:spacing w:line="105" w:lineRule="auto"/>
      <w:rPr>
        <w:sz w:val="2"/>
      </w:rPr>
    </w:pPr>
    <w:r>
      <w:drawing>
        <wp:anchor distT="0" distB="0" distL="0" distR="0" simplePos="0" relativeHeight="251672576" behindDoc="0" locked="0" layoutInCell="0" allowOverlap="1">
          <wp:simplePos x="0" y="0"/>
          <wp:positionH relativeFrom="page">
            <wp:posOffset>1098550</wp:posOffset>
          </wp:positionH>
          <wp:positionV relativeFrom="page">
            <wp:posOffset>659765</wp:posOffset>
          </wp:positionV>
          <wp:extent cx="5302250" cy="12700"/>
          <wp:effectExtent l="0" t="0" r="0" b="0"/>
          <wp:wrapNone/>
          <wp:docPr id="32" name="IM 3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 3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2244" cy="1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AE8FD4">
    <w:pPr>
      <w:pStyle w:val="2"/>
      <w:spacing w:line="105" w:lineRule="auto"/>
      <w:rPr>
        <w:sz w:val="2"/>
      </w:rPr>
    </w:pPr>
    <w:r>
      <w:drawing>
        <wp:anchor distT="0" distB="0" distL="0" distR="0" simplePos="0" relativeHeight="251673600" behindDoc="0" locked="0" layoutInCell="0" allowOverlap="1">
          <wp:simplePos x="0" y="0"/>
          <wp:positionH relativeFrom="page">
            <wp:posOffset>1117600</wp:posOffset>
          </wp:positionH>
          <wp:positionV relativeFrom="page">
            <wp:posOffset>647065</wp:posOffset>
          </wp:positionV>
          <wp:extent cx="5295900" cy="12700"/>
          <wp:effectExtent l="0" t="0" r="0" b="0"/>
          <wp:wrapNone/>
          <wp:docPr id="34" name="IM 3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 3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95897" cy="1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5CD4D6">
    <w:pPr>
      <w:pStyle w:val="2"/>
      <w:spacing w:line="106" w:lineRule="auto"/>
      <w:rPr>
        <w:sz w:val="2"/>
      </w:rPr>
    </w:pPr>
    <w:r>
      <w:drawing>
        <wp:anchor distT="0" distB="0" distL="0" distR="0" simplePos="0" relativeHeight="251674624" behindDoc="0" locked="0" layoutInCell="0" allowOverlap="1">
          <wp:simplePos x="0" y="0"/>
          <wp:positionH relativeFrom="page">
            <wp:posOffset>1136015</wp:posOffset>
          </wp:positionH>
          <wp:positionV relativeFrom="page">
            <wp:posOffset>704215</wp:posOffset>
          </wp:positionV>
          <wp:extent cx="5289550" cy="12700"/>
          <wp:effectExtent l="0" t="0" r="0" b="0"/>
          <wp:wrapNone/>
          <wp:docPr id="36" name="IM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 3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89603" cy="127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4EB451">
    <w:pPr>
      <w:pStyle w:val="2"/>
      <w:spacing w:line="104" w:lineRule="auto"/>
      <w:rPr>
        <w:sz w:val="2"/>
      </w:rPr>
    </w:pPr>
    <w:r>
      <w:drawing>
        <wp:anchor distT="0" distB="0" distL="0" distR="0" simplePos="0" relativeHeight="251675648" behindDoc="0" locked="0" layoutInCell="0" allowOverlap="1">
          <wp:simplePos x="0" y="0"/>
          <wp:positionH relativeFrom="page">
            <wp:posOffset>1148715</wp:posOffset>
          </wp:positionH>
          <wp:positionV relativeFrom="page">
            <wp:posOffset>704850</wp:posOffset>
          </wp:positionV>
          <wp:extent cx="5302250" cy="12700"/>
          <wp:effectExtent l="0" t="0" r="0" b="0"/>
          <wp:wrapNone/>
          <wp:docPr id="38" name="IM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 3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2305" cy="12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EA4B29">
    <w:pPr>
      <w:pStyle w:val="2"/>
      <w:spacing w:line="105" w:lineRule="auto"/>
      <w:rPr>
        <w:sz w:val="2"/>
      </w:rPr>
    </w:pPr>
    <w:r>
      <w:drawing>
        <wp:anchor distT="0" distB="0" distL="0" distR="0" simplePos="0" relativeHeight="251676672" behindDoc="0" locked="0" layoutInCell="0" allowOverlap="1">
          <wp:simplePos x="0" y="0"/>
          <wp:positionH relativeFrom="page">
            <wp:posOffset>1155700</wp:posOffset>
          </wp:positionH>
          <wp:positionV relativeFrom="page">
            <wp:posOffset>704850</wp:posOffset>
          </wp:positionV>
          <wp:extent cx="5308600" cy="12700"/>
          <wp:effectExtent l="0" t="0" r="0" b="0"/>
          <wp:wrapNone/>
          <wp:docPr id="40" name="IM 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 4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8611" cy="12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8F2202">
    <w:pPr>
      <w:pStyle w:val="2"/>
      <w:spacing w:line="104" w:lineRule="auto"/>
      <w:rPr>
        <w:sz w:val="2"/>
      </w:rPr>
    </w:pPr>
    <w:r>
      <w:drawing>
        <wp:anchor distT="0" distB="0" distL="0" distR="0" simplePos="0" relativeHeight="251677696" behindDoc="0" locked="0" layoutInCell="0" allowOverlap="1">
          <wp:simplePos x="0" y="0"/>
          <wp:positionH relativeFrom="page">
            <wp:posOffset>1117600</wp:posOffset>
          </wp:positionH>
          <wp:positionV relativeFrom="page">
            <wp:posOffset>654050</wp:posOffset>
          </wp:positionV>
          <wp:extent cx="5302250" cy="12700"/>
          <wp:effectExtent l="0" t="0" r="0" b="0"/>
          <wp:wrapNone/>
          <wp:docPr id="42" name="IM 4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 4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2245" cy="12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B1A382">
    <w:pPr>
      <w:pStyle w:val="2"/>
      <w:spacing w:line="105" w:lineRule="auto"/>
      <w:rPr>
        <w:sz w:val="2"/>
      </w:rPr>
    </w:pPr>
    <w:r>
      <w:drawing>
        <wp:anchor distT="0" distB="0" distL="0" distR="0" simplePos="0" relativeHeight="251678720" behindDoc="0" locked="0" layoutInCell="0" allowOverlap="1">
          <wp:simplePos x="0" y="0"/>
          <wp:positionH relativeFrom="page">
            <wp:posOffset>1098550</wp:posOffset>
          </wp:positionH>
          <wp:positionV relativeFrom="page">
            <wp:posOffset>628650</wp:posOffset>
          </wp:positionV>
          <wp:extent cx="5289550" cy="12700"/>
          <wp:effectExtent l="0" t="0" r="0" b="0"/>
          <wp:wrapNone/>
          <wp:docPr id="44" name="IM 4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 4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89550" cy="1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333AC5">
    <w:pPr>
      <w:pStyle w:val="2"/>
      <w:spacing w:line="105" w:lineRule="auto"/>
      <w:rPr>
        <w:sz w:val="2"/>
      </w:rPr>
    </w:pPr>
    <w:r>
      <w:drawing>
        <wp:anchor distT="0" distB="0" distL="0" distR="0" simplePos="0" relativeHeight="251679744" behindDoc="0" locked="0" layoutInCell="0" allowOverlap="1">
          <wp:simplePos x="0" y="0"/>
          <wp:positionH relativeFrom="page">
            <wp:posOffset>1098550</wp:posOffset>
          </wp:positionH>
          <wp:positionV relativeFrom="page">
            <wp:posOffset>672465</wp:posOffset>
          </wp:positionV>
          <wp:extent cx="5295900" cy="12700"/>
          <wp:effectExtent l="0" t="0" r="0" b="0"/>
          <wp:wrapNone/>
          <wp:docPr id="46" name="IM 4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 4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95897" cy="1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B6988F">
    <w:pPr>
      <w:pStyle w:val="2"/>
      <w:spacing w:line="105" w:lineRule="auto"/>
      <w:rPr>
        <w:sz w:val="2"/>
      </w:rPr>
    </w:pPr>
    <w:r>
      <w:drawing>
        <wp:anchor distT="0" distB="0" distL="0" distR="0" simplePos="0" relativeHeight="251680768" behindDoc="0" locked="0" layoutInCell="0" allowOverlap="1">
          <wp:simplePos x="0" y="0"/>
          <wp:positionH relativeFrom="page">
            <wp:posOffset>1123950</wp:posOffset>
          </wp:positionH>
          <wp:positionV relativeFrom="page">
            <wp:posOffset>628650</wp:posOffset>
          </wp:positionV>
          <wp:extent cx="5308600" cy="12700"/>
          <wp:effectExtent l="0" t="0" r="0" b="0"/>
          <wp:wrapNone/>
          <wp:docPr id="48" name="IM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 4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8592" cy="1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3D0D03">
    <w:pPr>
      <w:pStyle w:val="2"/>
      <w:spacing w:line="105" w:lineRule="auto"/>
      <w:rPr>
        <w:sz w:val="2"/>
      </w:rPr>
    </w:pPr>
    <w:r>
      <w:drawing>
        <wp:anchor distT="0" distB="0" distL="0" distR="0" simplePos="0" relativeHeight="251681792" behindDoc="0" locked="0" layoutInCell="0" allowOverlap="1">
          <wp:simplePos x="0" y="0"/>
          <wp:positionH relativeFrom="page">
            <wp:posOffset>1142365</wp:posOffset>
          </wp:positionH>
          <wp:positionV relativeFrom="page">
            <wp:posOffset>641350</wp:posOffset>
          </wp:positionV>
          <wp:extent cx="5295900" cy="12700"/>
          <wp:effectExtent l="0" t="0" r="0" b="0"/>
          <wp:wrapNone/>
          <wp:docPr id="50" name="IM 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 5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95897" cy="1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E151B7">
    <w:pPr>
      <w:pStyle w:val="2"/>
      <w:spacing w:line="105" w:lineRule="auto"/>
      <w:rPr>
        <w:sz w:val="2"/>
      </w:rPr>
    </w:pPr>
    <w:r>
      <w:drawing>
        <wp:anchor distT="0" distB="0" distL="0" distR="0" simplePos="0" relativeHeight="251682816" behindDoc="0" locked="0" layoutInCell="0" allowOverlap="1">
          <wp:simplePos x="0" y="0"/>
          <wp:positionH relativeFrom="page">
            <wp:posOffset>1117600</wp:posOffset>
          </wp:positionH>
          <wp:positionV relativeFrom="page">
            <wp:posOffset>628650</wp:posOffset>
          </wp:positionV>
          <wp:extent cx="5308600" cy="12700"/>
          <wp:effectExtent l="0" t="0" r="0" b="0"/>
          <wp:wrapNone/>
          <wp:docPr id="52" name="IM 5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 5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8592" cy="1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EC0BF7">
    <w:pPr>
      <w:pStyle w:val="2"/>
      <w:spacing w:line="105" w:lineRule="auto"/>
      <w:rPr>
        <w:sz w:val="2"/>
      </w:rPr>
    </w:pPr>
    <w:r>
      <w:drawing>
        <wp:anchor distT="0" distB="0" distL="0" distR="0" simplePos="0" relativeHeight="251683840" behindDoc="0" locked="0" layoutInCell="0" allowOverlap="1">
          <wp:simplePos x="0" y="0"/>
          <wp:positionH relativeFrom="page">
            <wp:posOffset>1111250</wp:posOffset>
          </wp:positionH>
          <wp:positionV relativeFrom="page">
            <wp:posOffset>698500</wp:posOffset>
          </wp:positionV>
          <wp:extent cx="5289550" cy="12700"/>
          <wp:effectExtent l="0" t="0" r="0" b="0"/>
          <wp:wrapNone/>
          <wp:docPr id="54" name="IM 5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 5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89550" cy="1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6DFF55">
    <w:pPr>
      <w:pStyle w:val="2"/>
      <w:spacing w:line="104" w:lineRule="auto"/>
      <w:rPr>
        <w:sz w:val="2"/>
      </w:rPr>
    </w:pPr>
    <w:r>
      <w:drawing>
        <wp:anchor distT="0" distB="0" distL="0" distR="0" simplePos="0" relativeHeight="251684864" behindDoc="0" locked="0" layoutInCell="0" allowOverlap="1">
          <wp:simplePos x="0" y="0"/>
          <wp:positionH relativeFrom="page">
            <wp:posOffset>1123950</wp:posOffset>
          </wp:positionH>
          <wp:positionV relativeFrom="page">
            <wp:posOffset>641350</wp:posOffset>
          </wp:positionV>
          <wp:extent cx="5295900" cy="12700"/>
          <wp:effectExtent l="0" t="0" r="0" b="0"/>
          <wp:wrapNone/>
          <wp:docPr id="56" name="IM 5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 5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95882" cy="126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C8B9FA">
    <w:pPr>
      <w:pStyle w:val="2"/>
      <w:spacing w:line="105" w:lineRule="auto"/>
      <w:rPr>
        <w:sz w:val="2"/>
      </w:rPr>
    </w:pPr>
    <w:r>
      <w:drawing>
        <wp:anchor distT="0" distB="0" distL="0" distR="0" simplePos="0" relativeHeight="251685888" behindDoc="0" locked="0" layoutInCell="0" allowOverlap="1">
          <wp:simplePos x="0" y="0"/>
          <wp:positionH relativeFrom="page">
            <wp:posOffset>1104900</wp:posOffset>
          </wp:positionH>
          <wp:positionV relativeFrom="page">
            <wp:posOffset>691515</wp:posOffset>
          </wp:positionV>
          <wp:extent cx="5283200" cy="12700"/>
          <wp:effectExtent l="0" t="0" r="0" b="0"/>
          <wp:wrapNone/>
          <wp:docPr id="58" name="IM 5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IM 5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83202" cy="1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E76EC1">
    <w:pPr>
      <w:pStyle w:val="2"/>
      <w:spacing w:line="104" w:lineRule="auto"/>
      <w:rPr>
        <w:sz w:val="2"/>
      </w:rPr>
    </w:pPr>
    <w:r>
      <w:drawing>
        <wp:anchor distT="0" distB="0" distL="0" distR="0" simplePos="0" relativeHeight="251686912" behindDoc="0" locked="0" layoutInCell="0" allowOverlap="1">
          <wp:simplePos x="0" y="0"/>
          <wp:positionH relativeFrom="page">
            <wp:posOffset>1136650</wp:posOffset>
          </wp:positionH>
          <wp:positionV relativeFrom="page">
            <wp:posOffset>654050</wp:posOffset>
          </wp:positionV>
          <wp:extent cx="5289550" cy="12700"/>
          <wp:effectExtent l="0" t="0" r="0" b="0"/>
          <wp:wrapNone/>
          <wp:docPr id="60" name="IM 6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IM 6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89501" cy="126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FD861E">
    <w:pPr>
      <w:pStyle w:val="2"/>
      <w:spacing w:line="105" w:lineRule="auto"/>
      <w:rPr>
        <w:sz w:val="2"/>
      </w:rPr>
    </w:pPr>
    <w:r>
      <w:drawing>
        <wp:anchor distT="0" distB="0" distL="0" distR="0" simplePos="0" relativeHeight="251687936" behindDoc="0" locked="0" layoutInCell="0" allowOverlap="1">
          <wp:simplePos x="0" y="0"/>
          <wp:positionH relativeFrom="page">
            <wp:posOffset>1123950</wp:posOffset>
          </wp:positionH>
          <wp:positionV relativeFrom="page">
            <wp:posOffset>628650</wp:posOffset>
          </wp:positionV>
          <wp:extent cx="5302250" cy="12700"/>
          <wp:effectExtent l="0" t="0" r="0" b="0"/>
          <wp:wrapNone/>
          <wp:docPr id="62" name="IM 6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 6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2244" cy="1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DA6A2A">
    <w:pPr>
      <w:pStyle w:val="2"/>
      <w:spacing w:line="105" w:lineRule="auto"/>
      <w:rPr>
        <w:sz w:val="2"/>
      </w:rPr>
    </w:pPr>
    <w:r>
      <w:drawing>
        <wp:anchor distT="0" distB="0" distL="0" distR="0" simplePos="0" relativeHeight="251688960" behindDoc="0" locked="0" layoutInCell="0" allowOverlap="1">
          <wp:simplePos x="0" y="0"/>
          <wp:positionH relativeFrom="page">
            <wp:posOffset>1136015</wp:posOffset>
          </wp:positionH>
          <wp:positionV relativeFrom="page">
            <wp:posOffset>641350</wp:posOffset>
          </wp:positionV>
          <wp:extent cx="5302250" cy="12700"/>
          <wp:effectExtent l="0" t="0" r="0" b="0"/>
          <wp:wrapNone/>
          <wp:docPr id="64" name="IM 6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 6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2244" cy="1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6A05FB">
    <w:pPr>
      <w:pStyle w:val="2"/>
      <w:spacing w:line="105" w:lineRule="auto"/>
      <w:rPr>
        <w:sz w:val="2"/>
      </w:rPr>
    </w:pPr>
    <w:r>
      <w:drawing>
        <wp:anchor distT="0" distB="0" distL="0" distR="0" simplePos="0" relativeHeight="251689984" behindDoc="0" locked="0" layoutInCell="0" allowOverlap="1">
          <wp:simplePos x="0" y="0"/>
          <wp:positionH relativeFrom="page">
            <wp:posOffset>1142365</wp:posOffset>
          </wp:positionH>
          <wp:positionV relativeFrom="page">
            <wp:posOffset>634365</wp:posOffset>
          </wp:positionV>
          <wp:extent cx="5289550" cy="12700"/>
          <wp:effectExtent l="0" t="0" r="0" b="0"/>
          <wp:wrapNone/>
          <wp:docPr id="66" name="IM 6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IM 6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89550" cy="1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08A930">
    <w:pPr>
      <w:pStyle w:val="2"/>
      <w:spacing w:line="105" w:lineRule="auto"/>
      <w:rPr>
        <w:sz w:val="2"/>
      </w:rPr>
    </w:pPr>
    <w:r>
      <w:drawing>
        <wp:anchor distT="0" distB="0" distL="0" distR="0" simplePos="0" relativeHeight="251691008" behindDoc="0" locked="0" layoutInCell="0" allowOverlap="1">
          <wp:simplePos x="0" y="0"/>
          <wp:positionH relativeFrom="page">
            <wp:posOffset>1117600</wp:posOffset>
          </wp:positionH>
          <wp:positionV relativeFrom="page">
            <wp:posOffset>621665</wp:posOffset>
          </wp:positionV>
          <wp:extent cx="5302250" cy="12700"/>
          <wp:effectExtent l="0" t="0" r="0" b="0"/>
          <wp:wrapNone/>
          <wp:docPr id="68" name="IM 6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" name="IM 6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2245" cy="1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0BCAD0"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7BBB73A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1.xml"/><Relationship Id="rId73" Type="http://schemas.openxmlformats.org/officeDocument/2006/relationships/fontTable" Target="fontTable.xml"/><Relationship Id="rId72" Type="http://schemas.openxmlformats.org/officeDocument/2006/relationships/image" Target="media/image18.png"/><Relationship Id="rId71" Type="http://schemas.openxmlformats.org/officeDocument/2006/relationships/image" Target="media/image17.jpeg"/><Relationship Id="rId70" Type="http://schemas.openxmlformats.org/officeDocument/2006/relationships/image" Target="media/image16.png"/><Relationship Id="rId7" Type="http://schemas.openxmlformats.org/officeDocument/2006/relationships/header" Target="header3.xml"/><Relationship Id="rId69" Type="http://schemas.openxmlformats.org/officeDocument/2006/relationships/theme" Target="theme/theme1.xml"/><Relationship Id="rId68" Type="http://schemas.openxmlformats.org/officeDocument/2006/relationships/footer" Target="footer31.xml"/><Relationship Id="rId67" Type="http://schemas.openxmlformats.org/officeDocument/2006/relationships/header" Target="header33.xml"/><Relationship Id="rId66" Type="http://schemas.openxmlformats.org/officeDocument/2006/relationships/footer" Target="footer30.xml"/><Relationship Id="rId65" Type="http://schemas.openxmlformats.org/officeDocument/2006/relationships/header" Target="header32.xml"/><Relationship Id="rId64" Type="http://schemas.openxmlformats.org/officeDocument/2006/relationships/footer" Target="footer29.xml"/><Relationship Id="rId63" Type="http://schemas.openxmlformats.org/officeDocument/2006/relationships/header" Target="header31.xml"/><Relationship Id="rId62" Type="http://schemas.openxmlformats.org/officeDocument/2006/relationships/footer" Target="footer28.xml"/><Relationship Id="rId61" Type="http://schemas.openxmlformats.org/officeDocument/2006/relationships/header" Target="header30.xml"/><Relationship Id="rId60" Type="http://schemas.openxmlformats.org/officeDocument/2006/relationships/footer" Target="footer27.xml"/><Relationship Id="rId6" Type="http://schemas.openxmlformats.org/officeDocument/2006/relationships/header" Target="header2.xml"/><Relationship Id="rId59" Type="http://schemas.openxmlformats.org/officeDocument/2006/relationships/header" Target="header29.xml"/><Relationship Id="rId58" Type="http://schemas.openxmlformats.org/officeDocument/2006/relationships/footer" Target="footer26.xml"/><Relationship Id="rId57" Type="http://schemas.openxmlformats.org/officeDocument/2006/relationships/header" Target="header28.xml"/><Relationship Id="rId56" Type="http://schemas.openxmlformats.org/officeDocument/2006/relationships/footer" Target="footer25.xml"/><Relationship Id="rId55" Type="http://schemas.openxmlformats.org/officeDocument/2006/relationships/header" Target="header27.xml"/><Relationship Id="rId54" Type="http://schemas.openxmlformats.org/officeDocument/2006/relationships/footer" Target="footer24.xml"/><Relationship Id="rId53" Type="http://schemas.openxmlformats.org/officeDocument/2006/relationships/header" Target="header26.xml"/><Relationship Id="rId52" Type="http://schemas.openxmlformats.org/officeDocument/2006/relationships/footer" Target="footer23.xml"/><Relationship Id="rId51" Type="http://schemas.openxmlformats.org/officeDocument/2006/relationships/header" Target="header25.xml"/><Relationship Id="rId50" Type="http://schemas.openxmlformats.org/officeDocument/2006/relationships/footer" Target="footer22.xml"/><Relationship Id="rId5" Type="http://schemas.openxmlformats.org/officeDocument/2006/relationships/header" Target="header1.xml"/><Relationship Id="rId49" Type="http://schemas.openxmlformats.org/officeDocument/2006/relationships/header" Target="header24.xml"/><Relationship Id="rId48" Type="http://schemas.openxmlformats.org/officeDocument/2006/relationships/footer" Target="footer21.xml"/><Relationship Id="rId47" Type="http://schemas.openxmlformats.org/officeDocument/2006/relationships/header" Target="header23.xml"/><Relationship Id="rId46" Type="http://schemas.openxmlformats.org/officeDocument/2006/relationships/footer" Target="footer20.xml"/><Relationship Id="rId45" Type="http://schemas.openxmlformats.org/officeDocument/2006/relationships/header" Target="header22.xml"/><Relationship Id="rId44" Type="http://schemas.openxmlformats.org/officeDocument/2006/relationships/footer" Target="footer19.xml"/><Relationship Id="rId43" Type="http://schemas.openxmlformats.org/officeDocument/2006/relationships/header" Target="header21.xml"/><Relationship Id="rId42" Type="http://schemas.openxmlformats.org/officeDocument/2006/relationships/footer" Target="footer18.xml"/><Relationship Id="rId41" Type="http://schemas.openxmlformats.org/officeDocument/2006/relationships/header" Target="header20.xml"/><Relationship Id="rId40" Type="http://schemas.openxmlformats.org/officeDocument/2006/relationships/footer" Target="footer17.xml"/><Relationship Id="rId4" Type="http://schemas.openxmlformats.org/officeDocument/2006/relationships/endnotes" Target="endnotes.xml"/><Relationship Id="rId39" Type="http://schemas.openxmlformats.org/officeDocument/2006/relationships/header" Target="header19.xml"/><Relationship Id="rId38" Type="http://schemas.openxmlformats.org/officeDocument/2006/relationships/footer" Target="footer16.xml"/><Relationship Id="rId37" Type="http://schemas.openxmlformats.org/officeDocument/2006/relationships/header" Target="header18.xml"/><Relationship Id="rId36" Type="http://schemas.openxmlformats.org/officeDocument/2006/relationships/footer" Target="footer15.xml"/><Relationship Id="rId35" Type="http://schemas.openxmlformats.org/officeDocument/2006/relationships/header" Target="header17.xml"/><Relationship Id="rId34" Type="http://schemas.openxmlformats.org/officeDocument/2006/relationships/footer" Target="footer14.xml"/><Relationship Id="rId33" Type="http://schemas.openxmlformats.org/officeDocument/2006/relationships/header" Target="header16.xml"/><Relationship Id="rId32" Type="http://schemas.openxmlformats.org/officeDocument/2006/relationships/footer" Target="footer13.xml"/><Relationship Id="rId31" Type="http://schemas.openxmlformats.org/officeDocument/2006/relationships/header" Target="header15.xml"/><Relationship Id="rId30" Type="http://schemas.openxmlformats.org/officeDocument/2006/relationships/footer" Target="footer12.xml"/><Relationship Id="rId3" Type="http://schemas.openxmlformats.org/officeDocument/2006/relationships/footnotes" Target="footnotes.xml"/><Relationship Id="rId29" Type="http://schemas.openxmlformats.org/officeDocument/2006/relationships/header" Target="header14.xml"/><Relationship Id="rId28" Type="http://schemas.openxmlformats.org/officeDocument/2006/relationships/footer" Target="footer11.xml"/><Relationship Id="rId27" Type="http://schemas.openxmlformats.org/officeDocument/2006/relationships/header" Target="header13.xml"/><Relationship Id="rId26" Type="http://schemas.openxmlformats.org/officeDocument/2006/relationships/footer" Target="footer10.xml"/><Relationship Id="rId25" Type="http://schemas.openxmlformats.org/officeDocument/2006/relationships/header" Target="header12.xml"/><Relationship Id="rId24" Type="http://schemas.openxmlformats.org/officeDocument/2006/relationships/footer" Target="footer9.xml"/><Relationship Id="rId23" Type="http://schemas.openxmlformats.org/officeDocument/2006/relationships/header" Target="header11.xml"/><Relationship Id="rId22" Type="http://schemas.openxmlformats.org/officeDocument/2006/relationships/footer" Target="footer8.xml"/><Relationship Id="rId21" Type="http://schemas.openxmlformats.org/officeDocument/2006/relationships/header" Target="header10.xml"/><Relationship Id="rId20" Type="http://schemas.openxmlformats.org/officeDocument/2006/relationships/footer" Target="footer7.xml"/><Relationship Id="rId2" Type="http://schemas.openxmlformats.org/officeDocument/2006/relationships/settings" Target="settings.xml"/><Relationship Id="rId19" Type="http://schemas.openxmlformats.org/officeDocument/2006/relationships/header" Target="header9.xml"/><Relationship Id="rId18" Type="http://schemas.openxmlformats.org/officeDocument/2006/relationships/footer" Target="footer6.xml"/><Relationship Id="rId17" Type="http://schemas.openxmlformats.org/officeDocument/2006/relationships/header" Target="header8.xml"/><Relationship Id="rId16" Type="http://schemas.openxmlformats.org/officeDocument/2006/relationships/footer" Target="footer5.xml"/><Relationship Id="rId15" Type="http://schemas.openxmlformats.org/officeDocument/2006/relationships/header" Target="header7.xml"/><Relationship Id="rId14" Type="http://schemas.openxmlformats.org/officeDocument/2006/relationships/footer" Target="footer4.xml"/><Relationship Id="rId13" Type="http://schemas.openxmlformats.org/officeDocument/2006/relationships/header" Target="header6.xml"/><Relationship Id="rId12" Type="http://schemas.openxmlformats.org/officeDocument/2006/relationships/footer" Target="footer3.xml"/><Relationship Id="rId11" Type="http://schemas.openxmlformats.org/officeDocument/2006/relationships/header" Target="header5.xml"/><Relationship Id="rId10" Type="http://schemas.openxmlformats.org/officeDocument/2006/relationships/footer" Target="footer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6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7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18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19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20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2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2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4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25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26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27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_rels/header28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_rels/header29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0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3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3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33</Pages>
  <Words>12894</Words>
  <Characters>14210</Characters>
  <TotalTime>0</TotalTime>
  <ScaleCrop>false</ScaleCrop>
  <LinksUpToDate>false</LinksUpToDate>
  <CharactersWithSpaces>15157</CharactersWithSpaces>
  <Application>WPS Office_12.1.0.21915_F1E327BC-269C-435d-A152-05C5408002CA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2025-07-29T21:26:00Z</dcterms:created>
  <dc:creator>Administrator</dc:creator>
  <cp:lastModifiedBy>曲阳快宜修傅～服务电话4269866</cp:lastModifiedBy>
  <dcterms:modified xsi:type="dcterms:W3CDTF">2025-07-29T13:27:27Z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2025-07-29T21:26:45Z</vt:filetime>
  </property>
  <property fmtid="{D5CDD505-2E9C-101B-9397-08002B2CF9AE}" pid="4" name="UsrData">
    <vt:lpwstr>6888cc0ea43bea00206f8ec7wl</vt:lpwstr>
  </property>
  <property fmtid="{D5CDD505-2E9C-101B-9397-08002B2CF9AE}" pid="5" name="KSOTemplateDocerSaveRecord">
    <vt:lpwstr>eyJoZGlkIjoiNzM3MjdkMzhkMGJkM2Q2YjMwMzJhZTI5YmQ1M2QyNDgiLCJ1c2VySWQiOiIzMTE0NjMwMjkifQ==</vt:lpwstr>
  </property>
  <property fmtid="{D5CDD505-2E9C-101B-9397-08002B2CF9AE}" pid="6" name="KSOProductBuildVer">
    <vt:lpwstr>2052-12.1.0.21915</vt:lpwstr>
  </property>
  <property fmtid="{D5CDD505-2E9C-101B-9397-08002B2CF9AE}" pid="7" name="ICV">
    <vt:lpwstr>071AD08C7BA74C85B0E105F3DB486B04_12</vt:lpwstr>
  </property>
</Properties>
</file>