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CDD37CB">
      <w:pPr>
        <w:jc w:val="center"/>
        <w:rPr>
          <w:rFonts w:ascii="Times New Roman" w:hAnsi="Times New Roman" w:eastAsia="方正小标宋_GBK" w:cs="Times New Roman"/>
          <w:color w:val="auto"/>
          <w:sz w:val="44"/>
          <w:szCs w:val="44"/>
        </w:rPr>
      </w:pPr>
      <w:bookmarkStart w:id="6" w:name="_GoBack"/>
      <w:bookmarkEnd w:id="6"/>
      <w:r>
        <w:rPr>
          <w:rFonts w:hint="eastAsia" w:ascii="Times New Roman" w:hAnsi="Times New Roman" w:eastAsia="方正小标宋_GBK" w:cs="方正小标宋_GBK"/>
          <w:color w:val="auto"/>
          <w:sz w:val="44"/>
          <w:szCs w:val="44"/>
        </w:rPr>
        <w:t>曲阳县机构编制委员会办公室</w:t>
      </w:r>
      <w:r>
        <w:rPr>
          <w:rFonts w:ascii="Times New Roman" w:hAnsi="Times New Roman" w:eastAsia="方正小标宋_GBK" w:cs="Times New Roman"/>
          <w:color w:val="auto"/>
          <w:sz w:val="44"/>
          <w:szCs w:val="44"/>
        </w:rPr>
        <w:t>2019</w:t>
      </w:r>
      <w:r>
        <w:rPr>
          <w:rFonts w:hint="eastAsia" w:ascii="Times New Roman" w:hAnsi="Times New Roman" w:eastAsia="方正小标宋_GBK" w:cs="方正小标宋_GBK"/>
          <w:color w:val="auto"/>
          <w:sz w:val="44"/>
          <w:szCs w:val="44"/>
        </w:rPr>
        <w:t>年部门预算信息公开</w:t>
      </w:r>
    </w:p>
    <w:p w14:paraId="0E30C149">
      <w:pPr>
        <w:ind w:firstLine="640" w:firstLineChars="200"/>
        <w:rPr>
          <w:rFonts w:ascii="仿宋" w:hAnsi="仿宋" w:eastAsia="仿宋" w:cs="Times New Roman"/>
          <w:color w:val="auto"/>
          <w:sz w:val="32"/>
          <w:szCs w:val="32"/>
        </w:rPr>
      </w:pPr>
      <w:r>
        <w:rPr>
          <w:rFonts w:hint="eastAsia" w:ascii="仿宋" w:hAnsi="仿宋" w:eastAsia="仿宋" w:cs="仿宋"/>
          <w:color w:val="auto"/>
          <w:sz w:val="32"/>
          <w:szCs w:val="32"/>
        </w:rPr>
        <w:t>按照</w:t>
      </w:r>
      <w:r>
        <w:rPr>
          <w:rFonts w:hint="eastAsia" w:ascii="仿宋" w:hAnsi="仿宋" w:eastAsia="仿宋" w:cs="仿宋"/>
          <w:color w:val="auto"/>
          <w:sz w:val="32"/>
          <w:szCs w:val="32"/>
          <w:lang w:eastAsia="zh-CN"/>
        </w:rPr>
        <w:t>《中华人民共和国预算法》</w:t>
      </w:r>
      <w:r>
        <w:rPr>
          <w:rFonts w:hint="eastAsia" w:ascii="仿宋" w:hAnsi="仿宋" w:eastAsia="仿宋" w:cs="仿宋"/>
          <w:color w:val="auto"/>
          <w:sz w:val="32"/>
          <w:szCs w:val="32"/>
        </w:rPr>
        <w:t>、《地方预决算公开操作规程》和《河北省财政厅修订补充</w:t>
      </w:r>
      <w:r>
        <w:rPr>
          <w:rFonts w:ascii="仿宋" w:hAnsi="仿宋" w:eastAsia="仿宋" w:cs="仿宋"/>
          <w:color w:val="auto"/>
          <w:sz w:val="32"/>
          <w:szCs w:val="32"/>
        </w:rPr>
        <w:t>&lt;</w:t>
      </w:r>
      <w:r>
        <w:rPr>
          <w:rFonts w:hint="eastAsia" w:ascii="仿宋" w:hAnsi="仿宋" w:eastAsia="仿宋" w:cs="仿宋"/>
          <w:color w:val="auto"/>
          <w:sz w:val="32"/>
          <w:szCs w:val="32"/>
        </w:rPr>
        <w:t>河北省预决算公开操作规程实施细则</w:t>
      </w:r>
      <w:r>
        <w:rPr>
          <w:rFonts w:ascii="仿宋" w:hAnsi="仿宋" w:eastAsia="仿宋" w:cs="仿宋"/>
          <w:color w:val="auto"/>
          <w:sz w:val="32"/>
          <w:szCs w:val="32"/>
        </w:rPr>
        <w:t>&gt;</w:t>
      </w:r>
      <w:r>
        <w:rPr>
          <w:rFonts w:hint="eastAsia" w:ascii="仿宋" w:hAnsi="仿宋" w:eastAsia="仿宋" w:cs="仿宋"/>
          <w:color w:val="auto"/>
          <w:sz w:val="32"/>
          <w:szCs w:val="32"/>
        </w:rPr>
        <w:t>》（冀财预</w:t>
      </w:r>
      <w:r>
        <w:rPr>
          <w:rFonts w:ascii="仿宋" w:hAnsi="仿宋" w:eastAsia="仿宋" w:cs="仿宋"/>
          <w:color w:val="auto"/>
          <w:sz w:val="32"/>
          <w:szCs w:val="32"/>
        </w:rPr>
        <w:t>[2017]82</w:t>
      </w:r>
      <w:r>
        <w:rPr>
          <w:rFonts w:hint="eastAsia" w:ascii="仿宋" w:hAnsi="仿宋" w:eastAsia="仿宋" w:cs="仿宋"/>
          <w:color w:val="auto"/>
          <w:sz w:val="32"/>
          <w:szCs w:val="32"/>
        </w:rPr>
        <w:t>号）规定，现将曲阳县机构编制委员会办公室</w:t>
      </w:r>
      <w:r>
        <w:rPr>
          <w:rFonts w:ascii="仿宋" w:hAnsi="仿宋" w:eastAsia="仿宋" w:cs="仿宋"/>
          <w:color w:val="auto"/>
          <w:sz w:val="32"/>
          <w:szCs w:val="32"/>
        </w:rPr>
        <w:t>2019</w:t>
      </w:r>
      <w:r>
        <w:rPr>
          <w:rFonts w:hint="eastAsia" w:ascii="仿宋" w:hAnsi="仿宋" w:eastAsia="仿宋" w:cs="仿宋"/>
          <w:color w:val="auto"/>
          <w:sz w:val="32"/>
          <w:szCs w:val="32"/>
        </w:rPr>
        <w:t>年部门预算公开如下：</w:t>
      </w:r>
    </w:p>
    <w:p w14:paraId="609D2985">
      <w:pPr>
        <w:ind w:firstLine="640"/>
        <w:rPr>
          <w:rFonts w:ascii="黑体" w:hAnsi="黑体" w:eastAsia="黑体" w:cs="Times New Roman"/>
          <w:color w:val="auto"/>
          <w:sz w:val="32"/>
          <w:szCs w:val="32"/>
        </w:rPr>
      </w:pPr>
      <w:r>
        <w:rPr>
          <w:rFonts w:hint="eastAsia" w:ascii="黑体" w:hAnsi="黑体" w:eastAsia="黑体" w:cs="黑体"/>
          <w:color w:val="auto"/>
          <w:sz w:val="32"/>
          <w:szCs w:val="32"/>
        </w:rPr>
        <w:t>一、部门职责及机构设置情况</w:t>
      </w:r>
    </w:p>
    <w:p w14:paraId="1EB78CB5">
      <w:pPr>
        <w:spacing w:line="520" w:lineRule="exact"/>
        <w:ind w:firstLine="643" w:firstLineChars="200"/>
        <w:jc w:val="left"/>
        <w:rPr>
          <w:rFonts w:ascii="仿宋" w:hAnsi="仿宋" w:eastAsia="仿宋" w:cs="Times New Roman"/>
          <w:color w:val="auto"/>
          <w:sz w:val="32"/>
          <w:szCs w:val="32"/>
        </w:rPr>
      </w:pPr>
      <w:r>
        <w:rPr>
          <w:rFonts w:hint="eastAsia" w:ascii="仿宋" w:hAnsi="仿宋" w:eastAsia="仿宋" w:cs="仿宋"/>
          <w:b/>
          <w:bCs/>
          <w:color w:val="auto"/>
          <w:sz w:val="32"/>
          <w:szCs w:val="32"/>
        </w:rPr>
        <w:t>部门职责：</w:t>
      </w:r>
      <w:r>
        <w:rPr>
          <w:rFonts w:hint="eastAsia" w:ascii="仿宋" w:hAnsi="仿宋" w:eastAsia="仿宋" w:cs="仿宋"/>
          <w:color w:val="auto"/>
          <w:sz w:val="32"/>
          <w:szCs w:val="32"/>
        </w:rPr>
        <w:t>根据《关于印发曲阳县机构编制委员会办公室主要职责内设机构和人员编制规定的通知》（曲办字</w:t>
      </w:r>
      <w:r>
        <w:rPr>
          <w:rFonts w:ascii="仿宋" w:hAnsi="仿宋" w:eastAsia="仿宋" w:cs="仿宋"/>
          <w:color w:val="auto"/>
          <w:sz w:val="32"/>
          <w:szCs w:val="32"/>
        </w:rPr>
        <w:t>[2002]87</w:t>
      </w:r>
      <w:r>
        <w:rPr>
          <w:rFonts w:hint="eastAsia" w:ascii="仿宋" w:hAnsi="仿宋" w:eastAsia="仿宋" w:cs="仿宋"/>
          <w:color w:val="auto"/>
          <w:sz w:val="32"/>
          <w:szCs w:val="32"/>
        </w:rPr>
        <w:t>号），现将我办部门主要职责概况说明如下：</w:t>
      </w:r>
    </w:p>
    <w:p w14:paraId="5E585D29">
      <w:pPr>
        <w:spacing w:line="520" w:lineRule="exact"/>
        <w:ind w:firstLine="640" w:firstLineChars="200"/>
        <w:jc w:val="left"/>
        <w:rPr>
          <w:rFonts w:ascii="仿宋" w:hAnsi="仿宋" w:eastAsia="仿宋" w:cs="Times New Roman"/>
          <w:color w:val="auto"/>
          <w:sz w:val="32"/>
          <w:szCs w:val="32"/>
        </w:rPr>
      </w:pPr>
      <w:r>
        <w:rPr>
          <w:rFonts w:ascii="仿宋" w:hAnsi="仿宋" w:eastAsia="仿宋" w:cs="仿宋"/>
          <w:color w:val="auto"/>
          <w:sz w:val="32"/>
          <w:szCs w:val="32"/>
        </w:rPr>
        <w:t>1</w:t>
      </w:r>
      <w:r>
        <w:rPr>
          <w:rFonts w:hint="eastAsia" w:ascii="仿宋" w:hAnsi="仿宋" w:eastAsia="仿宋" w:cs="仿宋"/>
          <w:color w:val="auto"/>
          <w:sz w:val="32"/>
          <w:szCs w:val="32"/>
        </w:rPr>
        <w:t>、加强宏观管理和调查研究，拟定全县行政管理体制和机构改革以及机构编制管理的政策；管理和指导各级党政机关、人大、政协、法院、检察院机关、各民主党派、人民团体机关的机构编制工作；管理和指导全县事业单位机构编制工作。</w:t>
      </w:r>
    </w:p>
    <w:p w14:paraId="78B0A6EB">
      <w:pPr>
        <w:spacing w:line="520" w:lineRule="exact"/>
        <w:ind w:firstLine="640" w:firstLineChars="200"/>
        <w:jc w:val="left"/>
        <w:rPr>
          <w:rFonts w:ascii="仿宋" w:hAnsi="仿宋" w:eastAsia="仿宋" w:cs="Times New Roman"/>
          <w:color w:val="auto"/>
          <w:sz w:val="32"/>
          <w:szCs w:val="32"/>
        </w:rPr>
      </w:pPr>
      <w:r>
        <w:rPr>
          <w:rFonts w:ascii="仿宋" w:hAnsi="仿宋" w:eastAsia="仿宋" w:cs="仿宋"/>
          <w:color w:val="auto"/>
          <w:sz w:val="32"/>
          <w:szCs w:val="32"/>
        </w:rPr>
        <w:t>2</w:t>
      </w:r>
      <w:r>
        <w:rPr>
          <w:rFonts w:hint="eastAsia" w:ascii="仿宋" w:hAnsi="仿宋" w:eastAsia="仿宋" w:cs="仿宋"/>
          <w:color w:val="auto"/>
          <w:sz w:val="32"/>
          <w:szCs w:val="32"/>
        </w:rPr>
        <w:t>、研究拟定全县行政管理体制和机构改革总体方案，审核县委，县政府各部门职能、内设机构、人员编制和领导职数以及乡、镇、县直各部门机关人员编制总额；指导协调乡镇，县直各部门行政管理体制和机构改革以及机构编制管理工作；研究推进机关后勤体制改革。</w:t>
      </w:r>
    </w:p>
    <w:p w14:paraId="7A76AB75">
      <w:pPr>
        <w:spacing w:line="520" w:lineRule="exact"/>
        <w:ind w:firstLine="640" w:firstLineChars="200"/>
        <w:jc w:val="left"/>
        <w:rPr>
          <w:rFonts w:ascii="仿宋" w:hAnsi="仿宋" w:eastAsia="仿宋" w:cs="Times New Roman"/>
          <w:color w:val="auto"/>
          <w:sz w:val="32"/>
          <w:szCs w:val="32"/>
        </w:rPr>
      </w:pPr>
      <w:r>
        <w:rPr>
          <w:rFonts w:ascii="仿宋" w:hAnsi="仿宋" w:eastAsia="仿宋" w:cs="仿宋"/>
          <w:color w:val="auto"/>
          <w:sz w:val="32"/>
          <w:szCs w:val="32"/>
        </w:rPr>
        <w:t>3</w:t>
      </w:r>
      <w:r>
        <w:rPr>
          <w:rFonts w:hint="eastAsia" w:ascii="仿宋" w:hAnsi="仿宋" w:eastAsia="仿宋" w:cs="仿宋"/>
          <w:color w:val="auto"/>
          <w:sz w:val="32"/>
          <w:szCs w:val="32"/>
        </w:rPr>
        <w:t>、协调县委各部门，县政府各部门的职能配置及其调整；协调县委各部门之间，县政府各部门之间，县委各部门与县政府各部门之间以及县直各部门与乡、镇，县直各部门之间职责分工。</w:t>
      </w:r>
    </w:p>
    <w:p w14:paraId="16471147">
      <w:pPr>
        <w:spacing w:line="520" w:lineRule="exact"/>
        <w:ind w:firstLine="640" w:firstLineChars="200"/>
        <w:jc w:val="left"/>
        <w:rPr>
          <w:rFonts w:ascii="仿宋" w:hAnsi="仿宋" w:eastAsia="仿宋" w:cs="Times New Roman"/>
          <w:color w:val="auto"/>
          <w:sz w:val="32"/>
          <w:szCs w:val="32"/>
        </w:rPr>
      </w:pPr>
      <w:r>
        <w:rPr>
          <w:rFonts w:ascii="仿宋" w:hAnsi="仿宋" w:eastAsia="仿宋" w:cs="仿宋"/>
          <w:color w:val="auto"/>
          <w:sz w:val="32"/>
          <w:szCs w:val="32"/>
        </w:rPr>
        <w:t>4</w:t>
      </w:r>
      <w:r>
        <w:rPr>
          <w:rFonts w:hint="eastAsia" w:ascii="仿宋" w:hAnsi="仿宋" w:eastAsia="仿宋" w:cs="仿宋"/>
          <w:color w:val="auto"/>
          <w:sz w:val="32"/>
          <w:szCs w:val="32"/>
        </w:rPr>
        <w:t>、审核或审批县委、县政府及各部门的派出机构的机构设置，人员编制和领导职数；审核乡、镇党委，政府副科级以上机构设置，人员编制分类；负责中央、省垂直管理部门或双重管理部门需要承办的机构编制有关事宜。</w:t>
      </w:r>
    </w:p>
    <w:p w14:paraId="16A8B3FB">
      <w:pPr>
        <w:spacing w:line="520" w:lineRule="exact"/>
        <w:ind w:firstLine="640" w:firstLineChars="200"/>
        <w:jc w:val="left"/>
        <w:rPr>
          <w:rFonts w:ascii="仿宋" w:hAnsi="仿宋" w:eastAsia="仿宋" w:cs="Times New Roman"/>
          <w:color w:val="auto"/>
          <w:sz w:val="32"/>
          <w:szCs w:val="32"/>
        </w:rPr>
      </w:pPr>
      <w:r>
        <w:rPr>
          <w:rFonts w:ascii="仿宋" w:hAnsi="仿宋" w:eastAsia="仿宋" w:cs="仿宋"/>
          <w:color w:val="auto"/>
          <w:sz w:val="32"/>
          <w:szCs w:val="32"/>
        </w:rPr>
        <w:t>5</w:t>
      </w:r>
      <w:r>
        <w:rPr>
          <w:rFonts w:hint="eastAsia" w:ascii="仿宋" w:hAnsi="仿宋" w:eastAsia="仿宋" w:cs="仿宋"/>
          <w:color w:val="auto"/>
          <w:sz w:val="32"/>
          <w:szCs w:val="32"/>
        </w:rPr>
        <w:t>、审核县人大、县政协、县法院、县检察院、县级各民主党派，人民团体机关的机构设置，人员编制和领导职数。</w:t>
      </w:r>
    </w:p>
    <w:p w14:paraId="483E8936">
      <w:pPr>
        <w:spacing w:line="520" w:lineRule="exact"/>
        <w:ind w:firstLine="640" w:firstLineChars="200"/>
        <w:jc w:val="left"/>
        <w:rPr>
          <w:rFonts w:ascii="仿宋" w:hAnsi="仿宋" w:eastAsia="仿宋" w:cs="Times New Roman"/>
          <w:color w:val="auto"/>
          <w:sz w:val="32"/>
          <w:szCs w:val="32"/>
        </w:rPr>
      </w:pPr>
      <w:r>
        <w:rPr>
          <w:rFonts w:ascii="仿宋" w:hAnsi="仿宋" w:eastAsia="仿宋" w:cs="仿宋"/>
          <w:color w:val="auto"/>
          <w:sz w:val="32"/>
          <w:szCs w:val="32"/>
        </w:rPr>
        <w:t>6</w:t>
      </w:r>
      <w:r>
        <w:rPr>
          <w:rFonts w:hint="eastAsia" w:ascii="仿宋" w:hAnsi="仿宋" w:eastAsia="仿宋" w:cs="仿宋"/>
          <w:color w:val="auto"/>
          <w:sz w:val="32"/>
          <w:szCs w:val="32"/>
        </w:rPr>
        <w:t>、研究拟定全县事业单位管理体制和机构改革方案；审核县委、县政府直属事业单位的机构编制方案；审核或审批县直各部门所属事业单位的机构设置，职责任务，人员编制和领导职数；指导并协调乡镇以下事业单位管理体制改革和机构编制管理工作；审核乡镇副科级以上事业单位的机构设置和领导职数；审核县委、县政府及县直各部门联系的各种群众团体的机构编制事宜，负责全县事业单位法人登记管理工作。</w:t>
      </w:r>
    </w:p>
    <w:p w14:paraId="57EC8AF7">
      <w:pPr>
        <w:spacing w:line="520" w:lineRule="exact"/>
        <w:ind w:firstLine="640" w:firstLineChars="200"/>
        <w:jc w:val="left"/>
        <w:rPr>
          <w:rFonts w:ascii="仿宋" w:hAnsi="仿宋" w:eastAsia="仿宋" w:cs="Times New Roman"/>
          <w:color w:val="auto"/>
          <w:sz w:val="32"/>
          <w:szCs w:val="32"/>
        </w:rPr>
      </w:pPr>
      <w:r>
        <w:rPr>
          <w:rFonts w:ascii="仿宋" w:hAnsi="仿宋" w:eastAsia="仿宋" w:cs="仿宋"/>
          <w:color w:val="auto"/>
          <w:sz w:val="32"/>
          <w:szCs w:val="32"/>
        </w:rPr>
        <w:t>7</w:t>
      </w:r>
      <w:r>
        <w:rPr>
          <w:rFonts w:hint="eastAsia" w:ascii="仿宋" w:hAnsi="仿宋" w:eastAsia="仿宋" w:cs="仿宋"/>
          <w:color w:val="auto"/>
          <w:sz w:val="32"/>
          <w:szCs w:val="32"/>
        </w:rPr>
        <w:t>、负责机构编制日常管理，监督检查各级行政，事业单位管理体制和机构编制执行情况。</w:t>
      </w:r>
    </w:p>
    <w:p w14:paraId="42FE788B">
      <w:pPr>
        <w:spacing w:line="520" w:lineRule="exact"/>
        <w:ind w:firstLine="640" w:firstLineChars="200"/>
        <w:jc w:val="left"/>
        <w:rPr>
          <w:rFonts w:ascii="仿宋" w:hAnsi="仿宋" w:eastAsia="仿宋" w:cs="Times New Roman"/>
          <w:color w:val="auto"/>
          <w:sz w:val="32"/>
          <w:szCs w:val="32"/>
        </w:rPr>
      </w:pPr>
      <w:r>
        <w:rPr>
          <w:rFonts w:ascii="仿宋" w:hAnsi="仿宋" w:eastAsia="仿宋" w:cs="仿宋"/>
          <w:color w:val="auto"/>
          <w:sz w:val="32"/>
          <w:szCs w:val="32"/>
        </w:rPr>
        <w:t>8</w:t>
      </w:r>
      <w:r>
        <w:rPr>
          <w:rFonts w:hint="eastAsia" w:ascii="仿宋" w:hAnsi="仿宋" w:eastAsia="仿宋" w:cs="仿宋"/>
          <w:color w:val="auto"/>
          <w:sz w:val="32"/>
          <w:szCs w:val="32"/>
        </w:rPr>
        <w:t>、负责全县机构编制统计信息，业务培训和办公自动化工作。</w:t>
      </w:r>
    </w:p>
    <w:p w14:paraId="7D864827">
      <w:pPr>
        <w:spacing w:line="520" w:lineRule="exact"/>
        <w:ind w:firstLine="640" w:firstLineChars="200"/>
        <w:jc w:val="left"/>
        <w:rPr>
          <w:rFonts w:ascii="仿宋" w:hAnsi="仿宋" w:eastAsia="仿宋" w:cs="Times New Roman"/>
          <w:color w:val="auto"/>
          <w:sz w:val="32"/>
          <w:szCs w:val="32"/>
        </w:rPr>
      </w:pPr>
      <w:r>
        <w:rPr>
          <w:rFonts w:ascii="仿宋" w:hAnsi="仿宋" w:eastAsia="仿宋" w:cs="仿宋"/>
          <w:color w:val="auto"/>
          <w:sz w:val="32"/>
          <w:szCs w:val="32"/>
        </w:rPr>
        <w:t>9</w:t>
      </w:r>
      <w:r>
        <w:rPr>
          <w:rFonts w:hint="eastAsia" w:ascii="仿宋" w:hAnsi="仿宋" w:eastAsia="仿宋" w:cs="仿宋"/>
          <w:color w:val="auto"/>
          <w:sz w:val="32"/>
          <w:szCs w:val="32"/>
        </w:rPr>
        <w:t>、完成县委、县政府和县机构编制委员会交办的其他事项。</w:t>
      </w:r>
    </w:p>
    <w:p w14:paraId="423E2E05">
      <w:pPr>
        <w:ind w:firstLine="643" w:firstLineChars="200"/>
        <w:rPr>
          <w:rFonts w:ascii="仿宋" w:hAnsi="仿宋" w:eastAsia="仿宋" w:cs="Times New Roman"/>
          <w:b/>
          <w:bCs/>
          <w:color w:val="auto"/>
          <w:sz w:val="32"/>
          <w:szCs w:val="32"/>
        </w:rPr>
      </w:pPr>
      <w:r>
        <w:rPr>
          <w:rFonts w:hint="eastAsia" w:ascii="仿宋" w:hAnsi="仿宋" w:eastAsia="仿宋" w:cs="仿宋"/>
          <w:b/>
          <w:bCs/>
          <w:color w:val="auto"/>
          <w:sz w:val="32"/>
          <w:szCs w:val="32"/>
        </w:rPr>
        <w:t>机构设置：</w:t>
      </w:r>
    </w:p>
    <w:p w14:paraId="32D83575">
      <w:pPr>
        <w:jc w:val="center"/>
        <w:outlineLvl w:val="0"/>
        <w:rPr>
          <w:rFonts w:ascii="Times New Roman" w:hAnsi="Times New Roman" w:eastAsia="方正小标宋_GBK" w:cs="Times New Roman"/>
          <w:color w:val="auto"/>
          <w:sz w:val="32"/>
          <w:szCs w:val="32"/>
        </w:rPr>
      </w:pPr>
      <w:r>
        <w:rPr>
          <w:rFonts w:hint="eastAsia" w:ascii="Times New Roman" w:hAnsi="Times New Roman" w:eastAsia="方正小标宋_GBK" w:cs="方正小标宋_GBK"/>
          <w:color w:val="auto"/>
          <w:sz w:val="32"/>
          <w:szCs w:val="32"/>
        </w:rPr>
        <w:t>部门机构设置情况</w:t>
      </w:r>
    </w:p>
    <w:tbl>
      <w:tblPr>
        <w:tblStyle w:val="7"/>
        <w:tblW w:w="972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4417"/>
        <w:gridCol w:w="1134"/>
        <w:gridCol w:w="1276"/>
        <w:gridCol w:w="2902"/>
      </w:tblGrid>
      <w:tr w14:paraId="3DC17F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00" w:hRule="atLeast"/>
          <w:tblHeader/>
          <w:jc w:val="center"/>
        </w:trPr>
        <w:tc>
          <w:tcPr>
            <w:tcW w:w="4417" w:type="dxa"/>
            <w:vMerge w:val="restart"/>
            <w:vAlign w:val="center"/>
          </w:tcPr>
          <w:p w14:paraId="0F4DCF44">
            <w:pPr>
              <w:spacing w:line="300" w:lineRule="exact"/>
              <w:jc w:val="center"/>
              <w:rPr>
                <w:rFonts w:ascii="Times New Roman" w:hAnsi="Times New Roman" w:eastAsia="方正书宋_GBK" w:cs="Times New Roman"/>
                <w:b/>
                <w:bCs/>
                <w:color w:val="auto"/>
              </w:rPr>
            </w:pPr>
            <w:r>
              <w:rPr>
                <w:rFonts w:hint="eastAsia" w:ascii="Times New Roman" w:hAnsi="Times New Roman" w:eastAsia="方正书宋_GBK" w:cs="方正书宋_GBK"/>
                <w:b/>
                <w:bCs/>
                <w:color w:val="auto"/>
              </w:rPr>
              <w:t>单位名称</w:t>
            </w:r>
          </w:p>
        </w:tc>
        <w:tc>
          <w:tcPr>
            <w:tcW w:w="1134" w:type="dxa"/>
            <w:vMerge w:val="restart"/>
            <w:vAlign w:val="center"/>
          </w:tcPr>
          <w:p w14:paraId="203F904A">
            <w:pPr>
              <w:spacing w:line="300" w:lineRule="exact"/>
              <w:jc w:val="center"/>
              <w:rPr>
                <w:rFonts w:ascii="Times New Roman" w:hAnsi="Times New Roman" w:eastAsia="方正书宋_GBK" w:cs="Times New Roman"/>
                <w:b/>
                <w:bCs/>
                <w:color w:val="auto"/>
              </w:rPr>
            </w:pPr>
            <w:r>
              <w:rPr>
                <w:rFonts w:hint="eastAsia" w:ascii="Times New Roman" w:hAnsi="Times New Roman" w:eastAsia="方正书宋_GBK" w:cs="方正书宋_GBK"/>
                <w:b/>
                <w:bCs/>
                <w:color w:val="auto"/>
              </w:rPr>
              <w:t>单位性质</w:t>
            </w:r>
          </w:p>
        </w:tc>
        <w:tc>
          <w:tcPr>
            <w:tcW w:w="1276" w:type="dxa"/>
            <w:vMerge w:val="restart"/>
            <w:vAlign w:val="center"/>
          </w:tcPr>
          <w:p w14:paraId="63DE5253">
            <w:pPr>
              <w:spacing w:line="300" w:lineRule="exact"/>
              <w:jc w:val="center"/>
              <w:rPr>
                <w:rFonts w:ascii="Times New Roman" w:hAnsi="Times New Roman" w:eastAsia="方正书宋_GBK" w:cs="Times New Roman"/>
                <w:b/>
                <w:bCs/>
                <w:color w:val="auto"/>
              </w:rPr>
            </w:pPr>
            <w:r>
              <w:rPr>
                <w:rFonts w:hint="eastAsia" w:ascii="Times New Roman" w:hAnsi="Times New Roman" w:eastAsia="方正书宋_GBK" w:cs="方正书宋_GBK"/>
                <w:b/>
                <w:bCs/>
                <w:color w:val="auto"/>
              </w:rPr>
              <w:t>单位规格</w:t>
            </w:r>
          </w:p>
        </w:tc>
        <w:tc>
          <w:tcPr>
            <w:tcW w:w="2902" w:type="dxa"/>
            <w:vMerge w:val="restart"/>
            <w:vAlign w:val="center"/>
          </w:tcPr>
          <w:p w14:paraId="44944C64">
            <w:pPr>
              <w:spacing w:line="300" w:lineRule="exact"/>
              <w:jc w:val="center"/>
              <w:rPr>
                <w:rFonts w:ascii="Times New Roman" w:hAnsi="Times New Roman" w:eastAsia="方正书宋_GBK" w:cs="Times New Roman"/>
                <w:b/>
                <w:bCs/>
                <w:color w:val="auto"/>
              </w:rPr>
            </w:pPr>
            <w:r>
              <w:rPr>
                <w:rFonts w:hint="eastAsia" w:ascii="Times New Roman" w:hAnsi="Times New Roman" w:eastAsia="方正书宋_GBK" w:cs="方正书宋_GBK"/>
                <w:b/>
                <w:bCs/>
                <w:color w:val="auto"/>
              </w:rPr>
              <w:t>经费保障形式</w:t>
            </w:r>
          </w:p>
        </w:tc>
      </w:tr>
      <w:tr w14:paraId="701F60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00" w:hRule="atLeast"/>
          <w:tblHeader/>
          <w:jc w:val="center"/>
        </w:trPr>
        <w:tc>
          <w:tcPr>
            <w:tcW w:w="4417" w:type="dxa"/>
            <w:vMerge w:val="continue"/>
            <w:vAlign w:val="center"/>
          </w:tcPr>
          <w:p w14:paraId="06907668">
            <w:pPr>
              <w:spacing w:line="300" w:lineRule="exact"/>
              <w:jc w:val="left"/>
              <w:outlineLvl w:val="0"/>
              <w:rPr>
                <w:rFonts w:ascii="Times New Roman" w:hAnsi="Times New Roman" w:cs="Times New Roman"/>
                <w:color w:val="auto"/>
              </w:rPr>
            </w:pPr>
          </w:p>
        </w:tc>
        <w:tc>
          <w:tcPr>
            <w:tcW w:w="1134" w:type="dxa"/>
            <w:vMerge w:val="continue"/>
            <w:vAlign w:val="center"/>
          </w:tcPr>
          <w:p w14:paraId="73DFD4F7">
            <w:pPr>
              <w:spacing w:line="300" w:lineRule="exact"/>
              <w:jc w:val="left"/>
              <w:outlineLvl w:val="0"/>
              <w:rPr>
                <w:rFonts w:ascii="Times New Roman" w:hAnsi="Times New Roman" w:cs="Times New Roman"/>
                <w:color w:val="auto"/>
              </w:rPr>
            </w:pPr>
          </w:p>
        </w:tc>
        <w:tc>
          <w:tcPr>
            <w:tcW w:w="1276" w:type="dxa"/>
            <w:vMerge w:val="continue"/>
            <w:vAlign w:val="center"/>
          </w:tcPr>
          <w:p w14:paraId="060AA300">
            <w:pPr>
              <w:spacing w:line="300" w:lineRule="exact"/>
              <w:jc w:val="left"/>
              <w:outlineLvl w:val="0"/>
              <w:rPr>
                <w:rFonts w:ascii="Times New Roman" w:hAnsi="Times New Roman" w:cs="Times New Roman"/>
                <w:color w:val="auto"/>
              </w:rPr>
            </w:pPr>
          </w:p>
        </w:tc>
        <w:tc>
          <w:tcPr>
            <w:tcW w:w="2902" w:type="dxa"/>
            <w:vMerge w:val="continue"/>
            <w:vAlign w:val="center"/>
          </w:tcPr>
          <w:p w14:paraId="64E80E04">
            <w:pPr>
              <w:spacing w:line="300" w:lineRule="exact"/>
              <w:jc w:val="left"/>
              <w:outlineLvl w:val="0"/>
              <w:rPr>
                <w:rFonts w:ascii="Times New Roman" w:hAnsi="Times New Roman" w:cs="Times New Roman"/>
                <w:color w:val="auto"/>
              </w:rPr>
            </w:pPr>
          </w:p>
        </w:tc>
      </w:tr>
      <w:tr w14:paraId="2E1BC5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12" w:hRule="atLeast"/>
          <w:jc w:val="center"/>
        </w:trPr>
        <w:tc>
          <w:tcPr>
            <w:tcW w:w="4417" w:type="dxa"/>
            <w:vAlign w:val="center"/>
          </w:tcPr>
          <w:p w14:paraId="3E39B523">
            <w:pPr>
              <w:spacing w:line="300" w:lineRule="exact"/>
              <w:jc w:val="left"/>
              <w:rPr>
                <w:rFonts w:ascii="Times New Roman" w:hAnsi="Times New Roman" w:eastAsia="方正书宋_GBK" w:cs="Times New Roman"/>
                <w:color w:val="auto"/>
              </w:rPr>
            </w:pPr>
            <w:r>
              <w:rPr>
                <w:rFonts w:hint="eastAsia" w:ascii="方正书宋_GBK" w:eastAsia="方正书宋_GBK" w:cs="方正书宋_GBK"/>
                <w:color w:val="auto"/>
              </w:rPr>
              <w:t>曲阳县机构编制委员会办公室</w:t>
            </w:r>
          </w:p>
        </w:tc>
        <w:tc>
          <w:tcPr>
            <w:tcW w:w="1134" w:type="dxa"/>
            <w:vAlign w:val="center"/>
          </w:tcPr>
          <w:p w14:paraId="1157AE46">
            <w:pPr>
              <w:spacing w:line="300" w:lineRule="exact"/>
              <w:jc w:val="center"/>
              <w:rPr>
                <w:rFonts w:ascii="Times New Roman" w:hAnsi="Times New Roman" w:eastAsia="方正书宋_GBK" w:cs="Times New Roman"/>
                <w:color w:val="auto"/>
              </w:rPr>
            </w:pPr>
            <w:r>
              <w:rPr>
                <w:rFonts w:hint="eastAsia" w:ascii="方正书宋_GBK" w:eastAsia="方正书宋_GBK" w:cs="方正书宋_GBK"/>
                <w:color w:val="auto"/>
              </w:rPr>
              <w:t>行政</w:t>
            </w:r>
          </w:p>
        </w:tc>
        <w:tc>
          <w:tcPr>
            <w:tcW w:w="1276" w:type="dxa"/>
            <w:vAlign w:val="center"/>
          </w:tcPr>
          <w:p w14:paraId="3A2AB65B">
            <w:pPr>
              <w:spacing w:line="300" w:lineRule="exact"/>
              <w:jc w:val="center"/>
              <w:rPr>
                <w:rFonts w:ascii="Times New Roman" w:hAnsi="Times New Roman" w:eastAsia="方正书宋_GBK" w:cs="Times New Roman"/>
                <w:color w:val="auto"/>
              </w:rPr>
            </w:pPr>
            <w:r>
              <w:rPr>
                <w:rFonts w:hint="eastAsia" w:ascii="方正书宋_GBK" w:eastAsia="方正书宋_GBK" w:cs="方正书宋_GBK"/>
                <w:color w:val="auto"/>
              </w:rPr>
              <w:t>正科级</w:t>
            </w:r>
          </w:p>
        </w:tc>
        <w:tc>
          <w:tcPr>
            <w:tcW w:w="2902" w:type="dxa"/>
            <w:vAlign w:val="center"/>
          </w:tcPr>
          <w:p w14:paraId="59AE662A">
            <w:pPr>
              <w:spacing w:line="300" w:lineRule="exact"/>
              <w:jc w:val="center"/>
              <w:rPr>
                <w:rFonts w:ascii="Times New Roman" w:hAnsi="Times New Roman" w:eastAsia="方正书宋_GBK" w:cs="Times New Roman"/>
                <w:color w:val="auto"/>
              </w:rPr>
            </w:pPr>
            <w:r>
              <w:rPr>
                <w:rFonts w:hint="eastAsia" w:ascii="方正书宋_GBK" w:eastAsia="方正书宋_GBK" w:cs="方正书宋_GBK"/>
                <w:color w:val="auto"/>
              </w:rPr>
              <w:t>财政拨款</w:t>
            </w:r>
          </w:p>
        </w:tc>
      </w:tr>
      <w:tr w14:paraId="313026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417" w:type="dxa"/>
            <w:vAlign w:val="center"/>
          </w:tcPr>
          <w:p w14:paraId="48802D61">
            <w:pPr>
              <w:spacing w:line="300" w:lineRule="exact"/>
              <w:jc w:val="left"/>
              <w:rPr>
                <w:rFonts w:ascii="Times New Roman" w:hAnsi="Times New Roman" w:eastAsia="方正书宋_GBK" w:cs="Times New Roman"/>
                <w:color w:val="auto"/>
              </w:rPr>
            </w:pPr>
            <w:r>
              <w:rPr>
                <w:rFonts w:hint="eastAsia" w:ascii="方正书宋_GBK" w:eastAsia="方正书宋_GBK" w:cs="方正书宋_GBK"/>
                <w:color w:val="auto"/>
              </w:rPr>
              <w:t>曲阳县事业单位登记管理局</w:t>
            </w:r>
          </w:p>
        </w:tc>
        <w:tc>
          <w:tcPr>
            <w:tcW w:w="1134" w:type="dxa"/>
            <w:vAlign w:val="center"/>
          </w:tcPr>
          <w:p w14:paraId="1407D8C3">
            <w:pPr>
              <w:spacing w:line="300" w:lineRule="exact"/>
              <w:jc w:val="center"/>
              <w:rPr>
                <w:rFonts w:ascii="Times New Roman" w:hAnsi="Times New Roman" w:eastAsia="方正书宋_GBK" w:cs="Times New Roman"/>
                <w:color w:val="auto"/>
              </w:rPr>
            </w:pPr>
            <w:r>
              <w:rPr>
                <w:rFonts w:hint="eastAsia" w:ascii="方正书宋_GBK" w:eastAsia="方正书宋_GBK" w:cs="方正书宋_GBK"/>
                <w:color w:val="auto"/>
              </w:rPr>
              <w:t>事业</w:t>
            </w:r>
          </w:p>
        </w:tc>
        <w:tc>
          <w:tcPr>
            <w:tcW w:w="1276" w:type="dxa"/>
            <w:vAlign w:val="center"/>
          </w:tcPr>
          <w:p w14:paraId="2A9409C8">
            <w:pPr>
              <w:spacing w:line="300" w:lineRule="exact"/>
              <w:jc w:val="center"/>
              <w:rPr>
                <w:rFonts w:ascii="Times New Roman" w:hAnsi="Times New Roman" w:eastAsia="方正书宋_GBK" w:cs="Times New Roman"/>
                <w:color w:val="auto"/>
              </w:rPr>
            </w:pPr>
            <w:r>
              <w:rPr>
                <w:rFonts w:hint="eastAsia" w:ascii="方正书宋_GBK" w:eastAsia="方正书宋_GBK" w:cs="方正书宋_GBK"/>
                <w:color w:val="auto"/>
              </w:rPr>
              <w:t>副科级</w:t>
            </w:r>
          </w:p>
        </w:tc>
        <w:tc>
          <w:tcPr>
            <w:tcW w:w="2902" w:type="dxa"/>
            <w:vAlign w:val="center"/>
          </w:tcPr>
          <w:p w14:paraId="79EB44AE">
            <w:pPr>
              <w:spacing w:line="300" w:lineRule="exact"/>
              <w:jc w:val="center"/>
              <w:rPr>
                <w:rFonts w:hint="eastAsia" w:ascii="Times New Roman" w:hAnsi="Times New Roman" w:eastAsia="方正书宋_GBK" w:cs="Times New Roman"/>
                <w:color w:val="auto"/>
                <w:lang w:val="en-US" w:eastAsia="zh-CN"/>
              </w:rPr>
            </w:pPr>
            <w:r>
              <w:rPr>
                <w:rFonts w:hint="eastAsia" w:ascii="Times New Roman" w:hAnsi="Times New Roman" w:eastAsia="方正书宋_GBK" w:cs="Times New Roman"/>
                <w:color w:val="auto"/>
                <w:lang w:val="en-US" w:eastAsia="zh-CN"/>
              </w:rPr>
              <w:t>财政性资金基本保证</w:t>
            </w:r>
          </w:p>
        </w:tc>
      </w:tr>
    </w:tbl>
    <w:p w14:paraId="574784C3">
      <w:pPr>
        <w:rPr>
          <w:rFonts w:cs="Times New Roman"/>
          <w:color w:val="auto"/>
        </w:rPr>
      </w:pPr>
    </w:p>
    <w:p w14:paraId="6015DE36">
      <w:pPr>
        <w:ind w:firstLine="640"/>
        <w:rPr>
          <w:rFonts w:ascii="黑体" w:hAnsi="黑体" w:eastAsia="黑体" w:cs="Times New Roman"/>
          <w:color w:val="auto"/>
          <w:sz w:val="32"/>
          <w:szCs w:val="32"/>
        </w:rPr>
      </w:pPr>
      <w:r>
        <w:rPr>
          <w:rFonts w:hint="eastAsia" w:ascii="黑体" w:hAnsi="黑体" w:eastAsia="黑体" w:cs="黑体"/>
          <w:color w:val="auto"/>
          <w:sz w:val="32"/>
          <w:szCs w:val="32"/>
        </w:rPr>
        <w:t>二、部门预算安排的总体情况</w:t>
      </w:r>
    </w:p>
    <w:p w14:paraId="3B3729E5">
      <w:pPr>
        <w:ind w:firstLine="640"/>
        <w:rPr>
          <w:rFonts w:ascii="Times New Roman" w:hAnsi="Times New Roman" w:eastAsia="仿宋" w:cs="Times New Roman"/>
          <w:color w:val="auto"/>
          <w:sz w:val="32"/>
          <w:szCs w:val="32"/>
        </w:rPr>
      </w:pPr>
      <w:r>
        <w:rPr>
          <w:rFonts w:hint="eastAsia" w:ascii="Times New Roman" w:hAnsi="Times New Roman" w:eastAsia="仿宋" w:cs="仿宋"/>
          <w:color w:val="auto"/>
          <w:sz w:val="32"/>
          <w:szCs w:val="32"/>
        </w:rPr>
        <w:t>按照预算管理有关规定，目前我部门预算的编制实行综合预算制度，即全部收入和支出都反映在预算中。曲阳县机构编制委员会办公室及所属事业单位的收支包含在部门预算中。</w:t>
      </w:r>
    </w:p>
    <w:p w14:paraId="7664F8B2">
      <w:pPr>
        <w:ind w:firstLine="640"/>
        <w:rPr>
          <w:rFonts w:ascii="Times New Roman" w:hAnsi="Times New Roman" w:eastAsia="仿宋" w:cs="Times New Roman"/>
          <w:color w:val="auto"/>
          <w:sz w:val="32"/>
          <w:szCs w:val="32"/>
        </w:rPr>
      </w:pPr>
      <w:r>
        <w:rPr>
          <w:rFonts w:ascii="Times New Roman" w:hAnsi="Times New Roman" w:eastAsia="仿宋" w:cs="Times New Roman"/>
          <w:color w:val="auto"/>
          <w:sz w:val="32"/>
          <w:szCs w:val="32"/>
        </w:rPr>
        <w:t>1</w:t>
      </w:r>
      <w:r>
        <w:rPr>
          <w:rFonts w:hint="eastAsia" w:ascii="Times New Roman" w:hAnsi="Times New Roman" w:eastAsia="仿宋" w:cs="仿宋"/>
          <w:color w:val="auto"/>
          <w:sz w:val="32"/>
          <w:szCs w:val="32"/>
        </w:rPr>
        <w:t>、收入说明</w:t>
      </w:r>
    </w:p>
    <w:p w14:paraId="7BF5580A">
      <w:pPr>
        <w:ind w:firstLine="640"/>
        <w:rPr>
          <w:rFonts w:ascii="Times New Roman" w:hAnsi="Times New Roman" w:eastAsia="仿宋" w:cs="Times New Roman"/>
          <w:color w:val="auto"/>
          <w:sz w:val="32"/>
          <w:szCs w:val="32"/>
        </w:rPr>
      </w:pPr>
      <w:r>
        <w:rPr>
          <w:rFonts w:hint="eastAsia" w:ascii="Times New Roman" w:hAnsi="Times New Roman" w:eastAsia="仿宋" w:cs="仿宋"/>
          <w:color w:val="auto"/>
          <w:sz w:val="32"/>
          <w:szCs w:val="32"/>
        </w:rPr>
        <w:t>反应本部门当年全部收入。</w:t>
      </w:r>
      <w:r>
        <w:rPr>
          <w:rFonts w:ascii="Times New Roman" w:hAnsi="Times New Roman" w:eastAsia="仿宋" w:cs="Times New Roman"/>
          <w:color w:val="auto"/>
          <w:sz w:val="32"/>
          <w:szCs w:val="32"/>
        </w:rPr>
        <w:t>2019</w:t>
      </w:r>
      <w:r>
        <w:rPr>
          <w:rFonts w:hint="eastAsia" w:ascii="Times New Roman" w:hAnsi="Times New Roman" w:eastAsia="仿宋" w:cs="仿宋"/>
          <w:color w:val="auto"/>
          <w:sz w:val="32"/>
          <w:szCs w:val="32"/>
        </w:rPr>
        <w:t>年预算收入</w:t>
      </w:r>
      <w:r>
        <w:rPr>
          <w:rFonts w:ascii="Times New Roman" w:hAnsi="Times New Roman" w:eastAsia="仿宋" w:cs="Times New Roman"/>
          <w:color w:val="auto"/>
          <w:sz w:val="32"/>
          <w:szCs w:val="32"/>
        </w:rPr>
        <w:t>73.14</w:t>
      </w:r>
      <w:r>
        <w:rPr>
          <w:rFonts w:hint="eastAsia" w:ascii="Times New Roman" w:hAnsi="Times New Roman" w:eastAsia="仿宋" w:cs="仿宋"/>
          <w:color w:val="auto"/>
          <w:sz w:val="32"/>
          <w:szCs w:val="32"/>
        </w:rPr>
        <w:t>万元，其中：一般公共预算收入</w:t>
      </w:r>
      <w:r>
        <w:rPr>
          <w:rFonts w:ascii="Times New Roman" w:hAnsi="Times New Roman" w:eastAsia="仿宋" w:cs="Times New Roman"/>
          <w:color w:val="auto"/>
          <w:sz w:val="32"/>
          <w:szCs w:val="32"/>
        </w:rPr>
        <w:t>73.14</w:t>
      </w:r>
      <w:r>
        <w:rPr>
          <w:rFonts w:hint="eastAsia" w:ascii="Times New Roman" w:hAnsi="Times New Roman" w:eastAsia="仿宋" w:cs="仿宋"/>
          <w:color w:val="auto"/>
          <w:sz w:val="32"/>
          <w:szCs w:val="32"/>
        </w:rPr>
        <w:t>万元，基金预算收入</w:t>
      </w:r>
      <w:r>
        <w:rPr>
          <w:rFonts w:ascii="Times New Roman" w:hAnsi="Times New Roman" w:eastAsia="仿宋" w:cs="Times New Roman"/>
          <w:color w:val="auto"/>
          <w:sz w:val="32"/>
          <w:szCs w:val="32"/>
        </w:rPr>
        <w:t>0</w:t>
      </w:r>
      <w:r>
        <w:rPr>
          <w:rFonts w:hint="eastAsia" w:ascii="Times New Roman" w:hAnsi="Times New Roman" w:eastAsia="仿宋" w:cs="仿宋"/>
          <w:color w:val="auto"/>
          <w:sz w:val="32"/>
          <w:szCs w:val="32"/>
        </w:rPr>
        <w:t>万元，财政专户核拨收入</w:t>
      </w:r>
      <w:r>
        <w:rPr>
          <w:rFonts w:ascii="Times New Roman" w:hAnsi="Times New Roman" w:eastAsia="仿宋" w:cs="Times New Roman"/>
          <w:color w:val="auto"/>
          <w:sz w:val="32"/>
          <w:szCs w:val="32"/>
        </w:rPr>
        <w:t>0</w:t>
      </w:r>
      <w:r>
        <w:rPr>
          <w:rFonts w:hint="eastAsia" w:ascii="Times New Roman" w:hAnsi="Times New Roman" w:eastAsia="仿宋" w:cs="仿宋"/>
          <w:color w:val="auto"/>
          <w:sz w:val="32"/>
          <w:szCs w:val="32"/>
        </w:rPr>
        <w:t>万元，其他来源收入</w:t>
      </w:r>
      <w:r>
        <w:rPr>
          <w:rFonts w:ascii="Times New Roman" w:hAnsi="Times New Roman" w:eastAsia="仿宋" w:cs="Times New Roman"/>
          <w:color w:val="auto"/>
          <w:sz w:val="32"/>
          <w:szCs w:val="32"/>
        </w:rPr>
        <w:t>0</w:t>
      </w:r>
      <w:r>
        <w:rPr>
          <w:rFonts w:hint="eastAsia" w:ascii="Times New Roman" w:hAnsi="Times New Roman" w:eastAsia="仿宋" w:cs="仿宋"/>
          <w:color w:val="auto"/>
          <w:sz w:val="32"/>
          <w:szCs w:val="32"/>
        </w:rPr>
        <w:t>万元。</w:t>
      </w:r>
    </w:p>
    <w:p w14:paraId="016D3E9D">
      <w:pPr>
        <w:ind w:firstLine="640"/>
        <w:rPr>
          <w:rFonts w:ascii="Times New Roman" w:hAnsi="Times New Roman" w:eastAsia="仿宋" w:cs="Times New Roman"/>
          <w:color w:val="auto"/>
          <w:sz w:val="32"/>
          <w:szCs w:val="32"/>
        </w:rPr>
      </w:pPr>
      <w:r>
        <w:rPr>
          <w:rFonts w:ascii="Times New Roman" w:hAnsi="Times New Roman" w:eastAsia="仿宋" w:cs="Times New Roman"/>
          <w:color w:val="auto"/>
          <w:sz w:val="32"/>
          <w:szCs w:val="32"/>
        </w:rPr>
        <w:t>2</w:t>
      </w:r>
      <w:r>
        <w:rPr>
          <w:rFonts w:hint="eastAsia" w:ascii="Times New Roman" w:hAnsi="Times New Roman" w:eastAsia="仿宋" w:cs="仿宋"/>
          <w:color w:val="auto"/>
          <w:sz w:val="32"/>
          <w:szCs w:val="32"/>
        </w:rPr>
        <w:t>、支出说明</w:t>
      </w:r>
    </w:p>
    <w:p w14:paraId="4BAC73D1">
      <w:pPr>
        <w:ind w:firstLine="640"/>
        <w:rPr>
          <w:rFonts w:ascii="Times New Roman" w:hAnsi="Times New Roman" w:eastAsia="仿宋" w:cs="Times New Roman"/>
          <w:color w:val="auto"/>
          <w:sz w:val="32"/>
          <w:szCs w:val="32"/>
        </w:rPr>
      </w:pPr>
      <w:r>
        <w:rPr>
          <w:rFonts w:hint="eastAsia" w:ascii="Times New Roman" w:hAnsi="Times New Roman" w:eastAsia="仿宋" w:cs="仿宋"/>
          <w:color w:val="auto"/>
          <w:sz w:val="32"/>
          <w:szCs w:val="32"/>
        </w:rPr>
        <w:t>收支预算总表支出栏、基本支出表、项目支出表按经济分类和支出功能分类科目编制，反映曲阳县机构编制委员会办公室年度部门预算中支出预算的总体情况。</w:t>
      </w:r>
      <w:r>
        <w:rPr>
          <w:rFonts w:ascii="Times New Roman" w:hAnsi="Times New Roman" w:eastAsia="仿宋" w:cs="Times New Roman"/>
          <w:color w:val="auto"/>
          <w:sz w:val="32"/>
          <w:szCs w:val="32"/>
        </w:rPr>
        <w:t>2019</w:t>
      </w:r>
      <w:r>
        <w:rPr>
          <w:rFonts w:hint="eastAsia" w:ascii="Times New Roman" w:hAnsi="Times New Roman" w:eastAsia="仿宋" w:cs="仿宋"/>
          <w:color w:val="auto"/>
          <w:sz w:val="32"/>
          <w:szCs w:val="32"/>
        </w:rPr>
        <w:t>年部门支出预算为</w:t>
      </w:r>
      <w:r>
        <w:rPr>
          <w:rFonts w:ascii="Times New Roman" w:hAnsi="Times New Roman" w:eastAsia="仿宋" w:cs="Times New Roman"/>
          <w:color w:val="auto"/>
          <w:sz w:val="32"/>
          <w:szCs w:val="32"/>
        </w:rPr>
        <w:t>73.14</w:t>
      </w:r>
      <w:r>
        <w:rPr>
          <w:rFonts w:hint="eastAsia" w:ascii="Times New Roman" w:hAnsi="Times New Roman" w:eastAsia="仿宋" w:cs="仿宋"/>
          <w:color w:val="auto"/>
          <w:sz w:val="32"/>
          <w:szCs w:val="32"/>
        </w:rPr>
        <w:t>万元，其中基本支出</w:t>
      </w:r>
      <w:r>
        <w:rPr>
          <w:rFonts w:ascii="Times New Roman" w:hAnsi="Times New Roman" w:eastAsia="仿宋" w:cs="Times New Roman"/>
          <w:color w:val="auto"/>
          <w:sz w:val="32"/>
          <w:szCs w:val="32"/>
        </w:rPr>
        <w:t>59.88</w:t>
      </w:r>
      <w:r>
        <w:rPr>
          <w:rFonts w:hint="eastAsia" w:ascii="Times New Roman" w:hAnsi="Times New Roman" w:eastAsia="仿宋" w:cs="仿宋"/>
          <w:color w:val="auto"/>
          <w:sz w:val="32"/>
          <w:szCs w:val="32"/>
        </w:rPr>
        <w:t>万元，包括人员经费</w:t>
      </w:r>
      <w:r>
        <w:rPr>
          <w:rFonts w:ascii="Times New Roman" w:hAnsi="Times New Roman" w:eastAsia="仿宋" w:cs="Times New Roman"/>
          <w:color w:val="auto"/>
          <w:sz w:val="32"/>
          <w:szCs w:val="32"/>
        </w:rPr>
        <w:t>52.75</w:t>
      </w:r>
      <w:r>
        <w:rPr>
          <w:rFonts w:hint="eastAsia" w:ascii="Times New Roman" w:hAnsi="Times New Roman" w:eastAsia="仿宋" w:cs="仿宋"/>
          <w:color w:val="auto"/>
          <w:sz w:val="32"/>
          <w:szCs w:val="32"/>
        </w:rPr>
        <w:t>万元和日常公用经费</w:t>
      </w:r>
      <w:r>
        <w:rPr>
          <w:rFonts w:ascii="Times New Roman" w:hAnsi="Times New Roman" w:eastAsia="仿宋" w:cs="Times New Roman"/>
          <w:color w:val="auto"/>
          <w:sz w:val="32"/>
          <w:szCs w:val="32"/>
        </w:rPr>
        <w:t>7.13</w:t>
      </w:r>
      <w:r>
        <w:rPr>
          <w:rFonts w:hint="eastAsia" w:ascii="Times New Roman" w:hAnsi="Times New Roman" w:eastAsia="仿宋" w:cs="仿宋"/>
          <w:color w:val="auto"/>
          <w:sz w:val="32"/>
          <w:szCs w:val="32"/>
        </w:rPr>
        <w:t>万元；项目支出</w:t>
      </w:r>
      <w:r>
        <w:rPr>
          <w:rFonts w:ascii="Times New Roman" w:hAnsi="Times New Roman" w:eastAsia="仿宋" w:cs="Times New Roman"/>
          <w:color w:val="auto"/>
          <w:sz w:val="32"/>
          <w:szCs w:val="32"/>
        </w:rPr>
        <w:t>13.26</w:t>
      </w:r>
      <w:r>
        <w:rPr>
          <w:rFonts w:hint="eastAsia" w:ascii="Times New Roman" w:hAnsi="Times New Roman" w:eastAsia="仿宋" w:cs="仿宋"/>
          <w:color w:val="auto"/>
          <w:sz w:val="32"/>
          <w:szCs w:val="32"/>
        </w:rPr>
        <w:t>万元，主要为行政事业单位改革支出</w:t>
      </w:r>
      <w:r>
        <w:rPr>
          <w:rFonts w:ascii="Times New Roman" w:hAnsi="Times New Roman" w:eastAsia="仿宋" w:cs="Times New Roman"/>
          <w:color w:val="auto"/>
          <w:sz w:val="32"/>
          <w:szCs w:val="32"/>
        </w:rPr>
        <w:t>1.92</w:t>
      </w:r>
      <w:r>
        <w:rPr>
          <w:rFonts w:hint="eastAsia" w:ascii="Times New Roman" w:hAnsi="Times New Roman" w:eastAsia="仿宋" w:cs="仿宋"/>
          <w:color w:val="auto"/>
          <w:sz w:val="32"/>
          <w:szCs w:val="32"/>
        </w:rPr>
        <w:t>万元，中文域名支出</w:t>
      </w:r>
      <w:r>
        <w:rPr>
          <w:rFonts w:ascii="Times New Roman" w:hAnsi="Times New Roman" w:eastAsia="仿宋" w:cs="Times New Roman"/>
          <w:color w:val="auto"/>
          <w:sz w:val="32"/>
          <w:szCs w:val="32"/>
        </w:rPr>
        <w:t>6</w:t>
      </w:r>
      <w:r>
        <w:rPr>
          <w:rFonts w:hint="eastAsia" w:ascii="Times New Roman" w:hAnsi="Times New Roman" w:eastAsia="仿宋" w:cs="仿宋"/>
          <w:color w:val="auto"/>
          <w:sz w:val="32"/>
          <w:szCs w:val="32"/>
        </w:rPr>
        <w:t>万元，机构编制监督检查支出</w:t>
      </w:r>
      <w:r>
        <w:rPr>
          <w:rFonts w:ascii="Times New Roman" w:hAnsi="Times New Roman" w:eastAsia="仿宋" w:cs="Times New Roman"/>
          <w:color w:val="auto"/>
          <w:sz w:val="32"/>
          <w:szCs w:val="32"/>
        </w:rPr>
        <w:t>2.59</w:t>
      </w:r>
      <w:r>
        <w:rPr>
          <w:rFonts w:hint="eastAsia" w:ascii="Times New Roman" w:hAnsi="Times New Roman" w:eastAsia="仿宋" w:cs="仿宋"/>
          <w:color w:val="auto"/>
          <w:sz w:val="32"/>
          <w:szCs w:val="32"/>
        </w:rPr>
        <w:t>万元，行政审批制度改革</w:t>
      </w:r>
      <w:r>
        <w:rPr>
          <w:rFonts w:ascii="Times New Roman" w:hAnsi="Times New Roman" w:eastAsia="仿宋" w:cs="Times New Roman"/>
          <w:color w:val="auto"/>
          <w:sz w:val="32"/>
          <w:szCs w:val="32"/>
        </w:rPr>
        <w:t>2.75</w:t>
      </w:r>
      <w:r>
        <w:rPr>
          <w:rFonts w:hint="eastAsia" w:ascii="Times New Roman" w:hAnsi="Times New Roman" w:eastAsia="仿宋" w:cs="仿宋"/>
          <w:color w:val="auto"/>
          <w:sz w:val="32"/>
          <w:szCs w:val="32"/>
        </w:rPr>
        <w:t>万元。</w:t>
      </w:r>
    </w:p>
    <w:p w14:paraId="7AE94EF0">
      <w:pPr>
        <w:ind w:firstLine="640"/>
        <w:rPr>
          <w:rFonts w:ascii="Times New Roman" w:hAnsi="Times New Roman" w:eastAsia="仿宋" w:cs="Times New Roman"/>
          <w:color w:val="auto"/>
          <w:sz w:val="32"/>
          <w:szCs w:val="32"/>
        </w:rPr>
      </w:pPr>
      <w:r>
        <w:rPr>
          <w:rFonts w:ascii="Times New Roman" w:hAnsi="Times New Roman" w:eastAsia="仿宋" w:cs="Times New Roman"/>
          <w:color w:val="auto"/>
          <w:sz w:val="32"/>
          <w:szCs w:val="32"/>
        </w:rPr>
        <w:t>3</w:t>
      </w:r>
      <w:r>
        <w:rPr>
          <w:rFonts w:hint="eastAsia" w:ascii="Times New Roman" w:hAnsi="Times New Roman" w:eastAsia="仿宋" w:cs="仿宋"/>
          <w:color w:val="auto"/>
          <w:sz w:val="32"/>
          <w:szCs w:val="32"/>
        </w:rPr>
        <w:t>、比上年增减情况</w:t>
      </w:r>
    </w:p>
    <w:p w14:paraId="23EBE0D3">
      <w:pPr>
        <w:ind w:firstLine="640"/>
        <w:rPr>
          <w:rFonts w:ascii="Times New Roman" w:hAnsi="Times New Roman" w:eastAsia="仿宋" w:cs="Times New Roman"/>
          <w:color w:val="auto"/>
          <w:sz w:val="32"/>
          <w:szCs w:val="32"/>
        </w:rPr>
      </w:pPr>
      <w:r>
        <w:rPr>
          <w:rFonts w:ascii="Times New Roman" w:hAnsi="Times New Roman" w:eastAsia="仿宋" w:cs="Times New Roman"/>
          <w:color w:val="auto"/>
          <w:sz w:val="32"/>
          <w:szCs w:val="32"/>
        </w:rPr>
        <w:t>2019</w:t>
      </w:r>
      <w:r>
        <w:rPr>
          <w:rFonts w:hint="eastAsia" w:ascii="Times New Roman" w:hAnsi="Times New Roman" w:eastAsia="仿宋" w:cs="仿宋"/>
          <w:color w:val="auto"/>
          <w:sz w:val="32"/>
          <w:szCs w:val="32"/>
        </w:rPr>
        <w:t>年，部门预算收支安排</w:t>
      </w:r>
      <w:r>
        <w:rPr>
          <w:rFonts w:ascii="Times New Roman" w:hAnsi="Times New Roman" w:eastAsia="仿宋" w:cs="Times New Roman"/>
          <w:color w:val="auto"/>
          <w:sz w:val="32"/>
          <w:szCs w:val="32"/>
        </w:rPr>
        <w:t>73.14</w:t>
      </w:r>
      <w:r>
        <w:rPr>
          <w:rFonts w:hint="eastAsia" w:ascii="Times New Roman" w:hAnsi="Times New Roman" w:eastAsia="仿宋" w:cs="仿宋"/>
          <w:color w:val="auto"/>
          <w:sz w:val="32"/>
          <w:szCs w:val="32"/>
        </w:rPr>
        <w:t>万元，较</w:t>
      </w:r>
      <w:r>
        <w:rPr>
          <w:rFonts w:ascii="Times New Roman" w:hAnsi="Times New Roman" w:eastAsia="仿宋" w:cs="Times New Roman"/>
          <w:color w:val="auto"/>
          <w:sz w:val="32"/>
          <w:szCs w:val="32"/>
        </w:rPr>
        <w:t>2018</w:t>
      </w:r>
      <w:r>
        <w:rPr>
          <w:rFonts w:hint="eastAsia" w:ascii="Times New Roman" w:hAnsi="Times New Roman" w:eastAsia="仿宋" w:cs="仿宋"/>
          <w:color w:val="auto"/>
          <w:sz w:val="32"/>
          <w:szCs w:val="32"/>
        </w:rPr>
        <w:t>年减少</w:t>
      </w:r>
      <w:r>
        <w:rPr>
          <w:rFonts w:ascii="Times New Roman" w:hAnsi="Times New Roman" w:eastAsia="仿宋" w:cs="Times New Roman"/>
          <w:color w:val="auto"/>
          <w:sz w:val="32"/>
          <w:szCs w:val="32"/>
        </w:rPr>
        <w:t>16.01</w:t>
      </w:r>
      <w:r>
        <w:rPr>
          <w:rFonts w:hint="eastAsia" w:ascii="Times New Roman" w:hAnsi="Times New Roman" w:eastAsia="仿宋" w:cs="仿宋"/>
          <w:color w:val="auto"/>
          <w:sz w:val="32"/>
          <w:szCs w:val="32"/>
        </w:rPr>
        <w:t>万元，其中：基本支出减少</w:t>
      </w:r>
      <w:r>
        <w:rPr>
          <w:rFonts w:ascii="Times New Roman" w:hAnsi="Times New Roman" w:eastAsia="仿宋" w:cs="Times New Roman"/>
          <w:color w:val="auto"/>
          <w:sz w:val="32"/>
          <w:szCs w:val="32"/>
        </w:rPr>
        <w:t>16.01</w:t>
      </w:r>
      <w:r>
        <w:rPr>
          <w:rFonts w:hint="eastAsia" w:ascii="Times New Roman" w:hAnsi="Times New Roman" w:eastAsia="仿宋" w:cs="仿宋"/>
          <w:color w:val="auto"/>
          <w:sz w:val="32"/>
          <w:szCs w:val="32"/>
        </w:rPr>
        <w:t>万元，主要是减少人员经费。</w:t>
      </w:r>
    </w:p>
    <w:p w14:paraId="284226AA">
      <w:pPr>
        <w:autoSpaceDE w:val="0"/>
        <w:autoSpaceDN w:val="0"/>
        <w:adjustRightInd w:val="0"/>
        <w:ind w:firstLine="960" w:firstLineChars="300"/>
        <w:jc w:val="left"/>
        <w:rPr>
          <w:rFonts w:ascii="黑体" w:hAnsi="黑体" w:eastAsia="黑体" w:cs="Times New Roman"/>
          <w:color w:val="auto"/>
          <w:sz w:val="32"/>
          <w:szCs w:val="32"/>
        </w:rPr>
      </w:pPr>
      <w:r>
        <w:rPr>
          <w:rFonts w:hint="eastAsia" w:ascii="黑体" w:hAnsi="黑体" w:eastAsia="黑体" w:cs="黑体"/>
          <w:color w:val="auto"/>
          <w:sz w:val="32"/>
          <w:szCs w:val="32"/>
        </w:rPr>
        <w:t>三、机关运行经费安排情况</w:t>
      </w:r>
    </w:p>
    <w:p w14:paraId="6D4EC059">
      <w:pPr>
        <w:autoSpaceDE w:val="0"/>
        <w:autoSpaceDN w:val="0"/>
        <w:adjustRightInd w:val="0"/>
        <w:ind w:left="198" w:firstLine="640" w:firstLineChars="200"/>
        <w:jc w:val="left"/>
        <w:rPr>
          <w:rFonts w:ascii="Times New Roman" w:hAnsi="Times New Roman" w:eastAsia="仿宋" w:cs="Times New Roman"/>
          <w:color w:val="auto"/>
          <w:sz w:val="32"/>
          <w:szCs w:val="32"/>
        </w:rPr>
      </w:pPr>
      <w:r>
        <w:rPr>
          <w:rFonts w:ascii="Times New Roman" w:hAnsi="Times New Roman" w:eastAsia="仿宋" w:cs="Times New Roman"/>
          <w:color w:val="auto"/>
          <w:sz w:val="32"/>
          <w:szCs w:val="32"/>
        </w:rPr>
        <w:t>2019</w:t>
      </w:r>
      <w:r>
        <w:rPr>
          <w:rFonts w:hint="eastAsia" w:ascii="Times New Roman" w:hAnsi="Times New Roman" w:eastAsia="仿宋" w:cs="仿宋"/>
          <w:color w:val="auto"/>
          <w:sz w:val="32"/>
          <w:szCs w:val="32"/>
        </w:rPr>
        <w:t>年，我部门机关运行经费共计安排</w:t>
      </w:r>
      <w:r>
        <w:rPr>
          <w:rFonts w:ascii="Times New Roman" w:hAnsi="Times New Roman" w:eastAsia="仿宋" w:cs="Times New Roman"/>
          <w:color w:val="auto"/>
          <w:sz w:val="32"/>
          <w:szCs w:val="32"/>
        </w:rPr>
        <w:t>7.13</w:t>
      </w:r>
      <w:r>
        <w:rPr>
          <w:rFonts w:hint="eastAsia" w:ascii="Times New Roman" w:hAnsi="Times New Roman" w:eastAsia="仿宋" w:cs="仿宋"/>
          <w:color w:val="auto"/>
          <w:sz w:val="32"/>
          <w:szCs w:val="32"/>
        </w:rPr>
        <w:t>元，主要用于保证机关正常运转的办公费、邮电费、差旅费、工会会费、福利费、其他交通费用等支出。</w:t>
      </w:r>
    </w:p>
    <w:p w14:paraId="0F5A99C2">
      <w:pPr>
        <w:autoSpaceDE w:val="0"/>
        <w:autoSpaceDN w:val="0"/>
        <w:adjustRightInd w:val="0"/>
        <w:ind w:left="198" w:firstLine="640" w:firstLineChars="200"/>
        <w:jc w:val="left"/>
        <w:rPr>
          <w:rFonts w:ascii="黑体" w:hAnsi="黑体" w:eastAsia="黑体" w:cs="Times New Roman"/>
          <w:color w:val="auto"/>
          <w:sz w:val="32"/>
          <w:szCs w:val="32"/>
        </w:rPr>
      </w:pPr>
      <w:r>
        <w:rPr>
          <w:rFonts w:hint="eastAsia" w:ascii="黑体" w:hAnsi="黑体" w:eastAsia="黑体" w:cs="黑体"/>
          <w:color w:val="auto"/>
          <w:sz w:val="32"/>
          <w:szCs w:val="32"/>
        </w:rPr>
        <w:t>四、财政拨款“三公”经费预算情况及增减变化原因</w:t>
      </w:r>
    </w:p>
    <w:p w14:paraId="4CBF5C65">
      <w:pPr>
        <w:autoSpaceDE w:val="0"/>
        <w:autoSpaceDN w:val="0"/>
        <w:adjustRightInd w:val="0"/>
        <w:ind w:left="198" w:firstLine="640" w:firstLineChars="200"/>
        <w:jc w:val="left"/>
        <w:rPr>
          <w:rFonts w:ascii="Times New Roman" w:hAnsi="Times New Roman" w:eastAsia="仿宋" w:cs="Times New Roman"/>
          <w:color w:val="auto"/>
          <w:sz w:val="32"/>
          <w:szCs w:val="32"/>
        </w:rPr>
      </w:pPr>
      <w:r>
        <w:rPr>
          <w:rFonts w:ascii="Times New Roman" w:hAnsi="Times New Roman" w:eastAsia="仿宋" w:cs="Times New Roman"/>
          <w:color w:val="auto"/>
          <w:sz w:val="32"/>
          <w:szCs w:val="32"/>
        </w:rPr>
        <w:t>201</w:t>
      </w:r>
      <w:r>
        <w:rPr>
          <w:rFonts w:hint="eastAsia" w:ascii="Times New Roman" w:hAnsi="Times New Roman" w:eastAsia="仿宋" w:cs="Times New Roman"/>
          <w:color w:val="auto"/>
          <w:sz w:val="32"/>
          <w:szCs w:val="32"/>
          <w:lang w:val="en-US" w:eastAsia="zh-CN"/>
        </w:rPr>
        <w:t>9</w:t>
      </w:r>
      <w:r>
        <w:rPr>
          <w:rFonts w:hint="eastAsia" w:ascii="Times New Roman" w:hAnsi="Times New Roman" w:eastAsia="仿宋" w:cs="仿宋"/>
          <w:color w:val="auto"/>
          <w:sz w:val="32"/>
          <w:szCs w:val="32"/>
        </w:rPr>
        <w:t>年，我部门财政拨款“三公”经费预算安排</w:t>
      </w:r>
      <w:r>
        <w:rPr>
          <w:rFonts w:ascii="Times New Roman" w:hAnsi="Times New Roman" w:eastAsia="仿宋" w:cs="Times New Roman"/>
          <w:color w:val="auto"/>
          <w:sz w:val="32"/>
          <w:szCs w:val="32"/>
        </w:rPr>
        <w:t>0.9</w:t>
      </w:r>
      <w:r>
        <w:rPr>
          <w:rFonts w:hint="eastAsia" w:ascii="Times New Roman" w:hAnsi="Times New Roman" w:eastAsia="仿宋" w:cs="仿宋"/>
          <w:color w:val="auto"/>
          <w:sz w:val="32"/>
          <w:szCs w:val="32"/>
        </w:rPr>
        <w:t>万元，其中：因公出国（境）费</w:t>
      </w:r>
      <w:r>
        <w:rPr>
          <w:rFonts w:ascii="Times New Roman" w:hAnsi="Times New Roman" w:eastAsia="仿宋" w:cs="Times New Roman"/>
          <w:color w:val="auto"/>
          <w:sz w:val="32"/>
          <w:szCs w:val="32"/>
        </w:rPr>
        <w:t>0</w:t>
      </w:r>
      <w:r>
        <w:rPr>
          <w:rFonts w:hint="eastAsia" w:ascii="Times New Roman" w:hAnsi="Times New Roman" w:eastAsia="仿宋" w:cs="仿宋"/>
          <w:color w:val="auto"/>
          <w:sz w:val="32"/>
          <w:szCs w:val="32"/>
        </w:rPr>
        <w:t>万元；公务用车购置及运维费</w:t>
      </w:r>
      <w:r>
        <w:rPr>
          <w:rFonts w:ascii="Times New Roman" w:hAnsi="Times New Roman" w:eastAsia="仿宋" w:cs="Times New Roman"/>
          <w:color w:val="auto"/>
          <w:sz w:val="32"/>
          <w:szCs w:val="32"/>
        </w:rPr>
        <w:t>0.9</w:t>
      </w:r>
      <w:r>
        <w:rPr>
          <w:rFonts w:hint="eastAsia" w:ascii="Times New Roman" w:hAnsi="Times New Roman" w:eastAsia="仿宋" w:cs="仿宋"/>
          <w:color w:val="auto"/>
          <w:sz w:val="32"/>
          <w:szCs w:val="32"/>
        </w:rPr>
        <w:t>万元（其中：公务用车运行维护费</w:t>
      </w:r>
      <w:r>
        <w:rPr>
          <w:rFonts w:ascii="Times New Roman" w:hAnsi="Times New Roman" w:eastAsia="仿宋" w:cs="Times New Roman"/>
          <w:color w:val="auto"/>
          <w:sz w:val="32"/>
          <w:szCs w:val="32"/>
        </w:rPr>
        <w:t>0.9</w:t>
      </w:r>
      <w:r>
        <w:rPr>
          <w:rFonts w:hint="eastAsia" w:ascii="Times New Roman" w:hAnsi="Times New Roman" w:eastAsia="仿宋" w:cs="仿宋"/>
          <w:color w:val="auto"/>
          <w:sz w:val="32"/>
          <w:szCs w:val="32"/>
        </w:rPr>
        <w:t>万元，公务用车购置费</w:t>
      </w:r>
      <w:r>
        <w:rPr>
          <w:rFonts w:ascii="Times New Roman" w:hAnsi="Times New Roman" w:eastAsia="仿宋" w:cs="Times New Roman"/>
          <w:color w:val="auto"/>
          <w:sz w:val="32"/>
          <w:szCs w:val="32"/>
        </w:rPr>
        <w:t>0</w:t>
      </w:r>
      <w:r>
        <w:rPr>
          <w:rFonts w:hint="eastAsia" w:ascii="Times New Roman" w:hAnsi="Times New Roman" w:eastAsia="仿宋" w:cs="仿宋"/>
          <w:color w:val="auto"/>
          <w:sz w:val="32"/>
          <w:szCs w:val="32"/>
        </w:rPr>
        <w:t>万元</w:t>
      </w:r>
      <w:r>
        <w:rPr>
          <w:rFonts w:ascii="Times New Roman" w:hAnsi="Times New Roman" w:eastAsia="仿宋" w:cs="Times New Roman"/>
          <w:color w:val="auto"/>
          <w:sz w:val="32"/>
          <w:szCs w:val="32"/>
        </w:rPr>
        <w:t>)</w:t>
      </w:r>
      <w:r>
        <w:rPr>
          <w:rFonts w:hint="eastAsia" w:ascii="Times New Roman" w:hAnsi="Times New Roman" w:eastAsia="仿宋" w:cs="仿宋"/>
          <w:color w:val="auto"/>
          <w:sz w:val="32"/>
          <w:szCs w:val="32"/>
        </w:rPr>
        <w:t>；公务接待费</w:t>
      </w:r>
      <w:r>
        <w:rPr>
          <w:rFonts w:ascii="Times New Roman" w:hAnsi="Times New Roman" w:eastAsia="仿宋" w:cs="Times New Roman"/>
          <w:color w:val="auto"/>
          <w:sz w:val="32"/>
          <w:szCs w:val="32"/>
        </w:rPr>
        <w:t>0</w:t>
      </w:r>
      <w:r>
        <w:rPr>
          <w:rFonts w:hint="eastAsia" w:ascii="Times New Roman" w:hAnsi="Times New Roman" w:eastAsia="仿宋" w:cs="仿宋"/>
          <w:color w:val="auto"/>
          <w:sz w:val="32"/>
          <w:szCs w:val="32"/>
        </w:rPr>
        <w:t>万元。“三公”经费与上年持平，无增减变化。</w:t>
      </w:r>
    </w:p>
    <w:p w14:paraId="44F80C60">
      <w:pPr>
        <w:autoSpaceDE w:val="0"/>
        <w:autoSpaceDN w:val="0"/>
        <w:adjustRightInd w:val="0"/>
        <w:ind w:left="198" w:firstLine="640" w:firstLineChars="200"/>
        <w:jc w:val="left"/>
        <w:rPr>
          <w:rFonts w:ascii="黑体" w:hAnsi="黑体" w:eastAsia="黑体" w:cs="Times New Roman"/>
          <w:color w:val="auto"/>
          <w:sz w:val="32"/>
          <w:szCs w:val="32"/>
        </w:rPr>
      </w:pPr>
      <w:r>
        <w:rPr>
          <w:rFonts w:hint="eastAsia" w:ascii="黑体" w:hAnsi="黑体" w:eastAsia="黑体" w:cs="黑体"/>
          <w:color w:val="auto"/>
          <w:sz w:val="32"/>
          <w:szCs w:val="32"/>
        </w:rPr>
        <w:t>五、绩效预算信息</w:t>
      </w:r>
    </w:p>
    <w:p w14:paraId="6E309692">
      <w:pPr>
        <w:autoSpaceDE w:val="0"/>
        <w:autoSpaceDN w:val="0"/>
        <w:adjustRightInd w:val="0"/>
        <w:ind w:left="198" w:firstLine="643" w:firstLineChars="200"/>
        <w:jc w:val="left"/>
        <w:rPr>
          <w:rFonts w:ascii="Times New Roman" w:hAnsi="Times New Roman" w:eastAsia="仿宋" w:cs="Times New Roman"/>
          <w:b/>
          <w:bCs/>
          <w:color w:val="auto"/>
          <w:sz w:val="32"/>
          <w:szCs w:val="32"/>
        </w:rPr>
      </w:pPr>
      <w:bookmarkStart w:id="0" w:name="_Toc471398463"/>
      <w:r>
        <w:rPr>
          <w:rFonts w:hint="eastAsia" w:ascii="Times New Roman" w:hAnsi="Times New Roman" w:eastAsia="仿宋" w:cs="仿宋"/>
          <w:b/>
          <w:bCs/>
          <w:color w:val="auto"/>
          <w:sz w:val="32"/>
          <w:szCs w:val="32"/>
        </w:rPr>
        <w:t>总体绩效目标：</w:t>
      </w:r>
    </w:p>
    <w:p w14:paraId="56A0DA47">
      <w:pPr>
        <w:autoSpaceDE w:val="0"/>
        <w:autoSpaceDN w:val="0"/>
        <w:adjustRightInd w:val="0"/>
        <w:ind w:left="198" w:firstLine="640" w:firstLineChars="200"/>
        <w:jc w:val="left"/>
        <w:rPr>
          <w:rFonts w:ascii="Times New Roman" w:hAnsi="Times New Roman" w:eastAsia="仿宋" w:cs="Times New Roman"/>
          <w:color w:val="auto"/>
          <w:sz w:val="32"/>
          <w:szCs w:val="32"/>
        </w:rPr>
      </w:pPr>
      <w:r>
        <w:rPr>
          <w:rFonts w:ascii="Times New Roman" w:hAnsi="Times New Roman" w:eastAsia="仿宋" w:cs="Times New Roman"/>
          <w:color w:val="auto"/>
          <w:sz w:val="32"/>
          <w:szCs w:val="32"/>
        </w:rPr>
        <w:t>2019</w:t>
      </w:r>
      <w:r>
        <w:rPr>
          <w:rFonts w:hint="eastAsia" w:ascii="Times New Roman" w:hAnsi="Times New Roman" w:eastAsia="仿宋" w:cs="仿宋"/>
          <w:color w:val="auto"/>
          <w:sz w:val="32"/>
          <w:szCs w:val="32"/>
        </w:rPr>
        <w:t>年曲阳县编委办将进一步围绕省</w:t>
      </w:r>
      <w:r>
        <w:rPr>
          <w:rFonts w:hint="eastAsia" w:ascii="Times New Roman" w:hAnsi="Times New Roman" w:eastAsia="仿宋" w:cs="仿宋"/>
          <w:color w:val="auto"/>
          <w:sz w:val="32"/>
          <w:szCs w:val="32"/>
          <w:lang w:eastAsia="zh-CN"/>
        </w:rPr>
        <w:t>市委编办</w:t>
      </w:r>
      <w:r>
        <w:rPr>
          <w:rFonts w:hint="eastAsia" w:ascii="Times New Roman" w:hAnsi="Times New Roman" w:eastAsia="仿宋" w:cs="仿宋"/>
          <w:color w:val="auto"/>
          <w:sz w:val="32"/>
          <w:szCs w:val="32"/>
        </w:rPr>
        <w:t>工作为中心和县委、县政府重要部署，进一步开展好事业单位分类改革、事业单位登记、机构编制实名制平台、行政审批制度改革以及全县机构编制等工作。组织贯彻全县的方针、政策以及党的十九大精神，积极完成上级和县委县政府交办的各项工作。为维护全县社会稳定，打造好两都两地</w:t>
      </w:r>
      <w:r>
        <w:rPr>
          <w:rFonts w:ascii="Times New Roman" w:hAnsi="Times New Roman" w:eastAsia="仿宋" w:cs="Times New Roman"/>
          <w:color w:val="auto"/>
          <w:sz w:val="32"/>
          <w:szCs w:val="32"/>
        </w:rPr>
        <w:t>,</w:t>
      </w:r>
      <w:r>
        <w:rPr>
          <w:rFonts w:hint="eastAsia" w:ascii="Times New Roman" w:hAnsi="Times New Roman" w:eastAsia="仿宋" w:cs="仿宋"/>
          <w:color w:val="auto"/>
          <w:sz w:val="32"/>
          <w:szCs w:val="32"/>
        </w:rPr>
        <w:t>建设美丽曲阳</w:t>
      </w:r>
      <w:r>
        <w:rPr>
          <w:rFonts w:ascii="Times New Roman" w:hAnsi="Times New Roman" w:eastAsia="仿宋" w:cs="Times New Roman"/>
          <w:color w:val="auto"/>
          <w:sz w:val="32"/>
          <w:szCs w:val="32"/>
        </w:rPr>
        <w:t>,</w:t>
      </w:r>
      <w:r>
        <w:rPr>
          <w:rFonts w:hint="eastAsia" w:ascii="Times New Roman" w:hAnsi="Times New Roman" w:eastAsia="仿宋" w:cs="仿宋"/>
          <w:color w:val="auto"/>
          <w:sz w:val="32"/>
          <w:szCs w:val="32"/>
        </w:rPr>
        <w:t>保证完成以下任务目标：</w:t>
      </w:r>
    </w:p>
    <w:p w14:paraId="08C25397">
      <w:pPr>
        <w:autoSpaceDE w:val="0"/>
        <w:autoSpaceDN w:val="0"/>
        <w:adjustRightInd w:val="0"/>
        <w:ind w:left="198" w:firstLine="640" w:firstLineChars="200"/>
        <w:jc w:val="left"/>
        <w:rPr>
          <w:rFonts w:ascii="Times New Roman" w:hAnsi="Times New Roman" w:eastAsia="仿宋" w:cs="Times New Roman"/>
          <w:color w:val="auto"/>
          <w:sz w:val="32"/>
          <w:szCs w:val="32"/>
        </w:rPr>
      </w:pPr>
      <w:r>
        <w:rPr>
          <w:rFonts w:hint="eastAsia" w:ascii="Times New Roman" w:hAnsi="Times New Roman" w:eastAsia="仿宋" w:cs="仿宋"/>
          <w:color w:val="auto"/>
          <w:sz w:val="32"/>
          <w:szCs w:val="32"/>
        </w:rPr>
        <w:t>（一）继续做好</w:t>
      </w:r>
      <w:r>
        <w:rPr>
          <w:rFonts w:ascii="Times New Roman" w:hAnsi="Times New Roman" w:eastAsia="仿宋" w:cs="Times New Roman"/>
          <w:color w:val="auto"/>
          <w:sz w:val="32"/>
          <w:szCs w:val="32"/>
        </w:rPr>
        <w:t>“</w:t>
      </w:r>
      <w:r>
        <w:rPr>
          <w:rFonts w:hint="eastAsia" w:ascii="Times New Roman" w:hAnsi="Times New Roman" w:eastAsia="仿宋" w:cs="仿宋"/>
          <w:color w:val="auto"/>
          <w:sz w:val="32"/>
          <w:szCs w:val="32"/>
        </w:rPr>
        <w:t>放管服</w:t>
      </w:r>
      <w:r>
        <w:rPr>
          <w:rFonts w:ascii="Times New Roman" w:hAnsi="Times New Roman" w:eastAsia="仿宋" w:cs="Times New Roman"/>
          <w:color w:val="auto"/>
          <w:sz w:val="32"/>
          <w:szCs w:val="32"/>
        </w:rPr>
        <w:t>”</w:t>
      </w:r>
      <w:r>
        <w:rPr>
          <w:rFonts w:hint="eastAsia" w:ascii="Times New Roman" w:hAnsi="Times New Roman" w:eastAsia="仿宋" w:cs="仿宋"/>
          <w:color w:val="auto"/>
          <w:sz w:val="32"/>
          <w:szCs w:val="32"/>
        </w:rPr>
        <w:t>改革各项工作，做好政府权责清单的动态调整及后续完善工作</w:t>
      </w:r>
      <w:r>
        <w:rPr>
          <w:rFonts w:ascii="Times New Roman" w:hAnsi="Times New Roman" w:eastAsia="仿宋" w:cs="Times New Roman"/>
          <w:color w:val="auto"/>
          <w:sz w:val="32"/>
          <w:szCs w:val="32"/>
        </w:rPr>
        <w:t>;</w:t>
      </w:r>
      <w:r>
        <w:rPr>
          <w:rFonts w:hint="eastAsia" w:ascii="Times New Roman" w:hAnsi="Times New Roman" w:eastAsia="仿宋" w:cs="仿宋"/>
          <w:color w:val="auto"/>
          <w:sz w:val="32"/>
          <w:szCs w:val="32"/>
        </w:rPr>
        <w:t>全面清理县内行政审批项目。进一步优化行政审批流程。加强审改工作制度化、规范化和标准化建设。</w:t>
      </w:r>
    </w:p>
    <w:p w14:paraId="39C0E73B">
      <w:pPr>
        <w:autoSpaceDE w:val="0"/>
        <w:autoSpaceDN w:val="0"/>
        <w:adjustRightInd w:val="0"/>
        <w:ind w:left="198" w:firstLine="640" w:firstLineChars="200"/>
        <w:jc w:val="left"/>
        <w:rPr>
          <w:rFonts w:ascii="Times New Roman" w:hAnsi="Times New Roman" w:eastAsia="仿宋" w:cs="Times New Roman"/>
          <w:color w:val="auto"/>
          <w:sz w:val="32"/>
          <w:szCs w:val="32"/>
        </w:rPr>
      </w:pPr>
      <w:r>
        <w:rPr>
          <w:rFonts w:hint="eastAsia" w:ascii="Times New Roman" w:hAnsi="Times New Roman" w:eastAsia="仿宋" w:cs="仿宋"/>
          <w:color w:val="auto"/>
          <w:sz w:val="32"/>
          <w:szCs w:val="32"/>
        </w:rPr>
        <w:t>（二）加大控编减编力度，做好增减平衡，落实控编减编要求，严格控制新设机构、新增编制的审批。</w:t>
      </w:r>
    </w:p>
    <w:p w14:paraId="056D4722">
      <w:pPr>
        <w:autoSpaceDE w:val="0"/>
        <w:autoSpaceDN w:val="0"/>
        <w:adjustRightInd w:val="0"/>
        <w:ind w:left="198" w:firstLine="640" w:firstLineChars="200"/>
        <w:jc w:val="left"/>
        <w:rPr>
          <w:rFonts w:ascii="Times New Roman" w:hAnsi="Times New Roman" w:eastAsia="仿宋" w:cs="Times New Roman"/>
          <w:color w:val="auto"/>
          <w:sz w:val="32"/>
          <w:szCs w:val="32"/>
        </w:rPr>
      </w:pPr>
      <w:r>
        <w:rPr>
          <w:rFonts w:hint="eastAsia" w:ascii="Times New Roman" w:hAnsi="Times New Roman" w:eastAsia="仿宋" w:cs="仿宋"/>
          <w:color w:val="auto"/>
          <w:sz w:val="32"/>
          <w:szCs w:val="32"/>
        </w:rPr>
        <w:t>（三）做好机构改革后续工作</w:t>
      </w:r>
      <w:r>
        <w:rPr>
          <w:rFonts w:ascii="Times New Roman" w:hAnsi="Times New Roman" w:eastAsia="仿宋" w:cs="Times New Roman"/>
          <w:color w:val="auto"/>
          <w:sz w:val="32"/>
          <w:szCs w:val="32"/>
        </w:rPr>
        <w:t>,</w:t>
      </w:r>
      <w:r>
        <w:rPr>
          <w:rFonts w:hint="eastAsia" w:ascii="Times New Roman" w:hAnsi="Times New Roman" w:eastAsia="仿宋" w:cs="仿宋"/>
          <w:color w:val="auto"/>
          <w:sz w:val="32"/>
          <w:szCs w:val="32"/>
        </w:rPr>
        <w:t>制定涉及改革部门的三定方案</w:t>
      </w:r>
      <w:r>
        <w:rPr>
          <w:rFonts w:ascii="Times New Roman" w:hAnsi="Times New Roman" w:eastAsia="仿宋" w:cs="Times New Roman"/>
          <w:color w:val="auto"/>
          <w:sz w:val="32"/>
          <w:szCs w:val="32"/>
        </w:rPr>
        <w:t>,</w:t>
      </w:r>
      <w:r>
        <w:rPr>
          <w:rFonts w:hint="eastAsia" w:ascii="Times New Roman" w:hAnsi="Times New Roman" w:eastAsia="仿宋" w:cs="仿宋"/>
          <w:color w:val="auto"/>
          <w:sz w:val="32"/>
          <w:szCs w:val="32"/>
        </w:rPr>
        <w:t>为各部门的职能、职责调整和人员划转做好把控工作。积极稳妥推进承担行政职能事业单位改革，稳步推进从事生产经营类事业单位改革，创新公益类事业单位体制编制与机构编制管理的统筹协调。</w:t>
      </w:r>
    </w:p>
    <w:p w14:paraId="6E2D3ED3">
      <w:pPr>
        <w:autoSpaceDE w:val="0"/>
        <w:autoSpaceDN w:val="0"/>
        <w:adjustRightInd w:val="0"/>
        <w:ind w:left="198" w:firstLine="640" w:firstLineChars="200"/>
        <w:jc w:val="left"/>
        <w:rPr>
          <w:rFonts w:ascii="Times New Roman" w:hAnsi="Times New Roman" w:eastAsia="仿宋" w:cs="Times New Roman"/>
          <w:color w:val="auto"/>
          <w:sz w:val="32"/>
          <w:szCs w:val="32"/>
        </w:rPr>
      </w:pPr>
      <w:r>
        <w:rPr>
          <w:rFonts w:hint="eastAsia" w:ascii="Times New Roman" w:hAnsi="Times New Roman" w:eastAsia="仿宋" w:cs="仿宋"/>
          <w:color w:val="auto"/>
          <w:sz w:val="32"/>
          <w:szCs w:val="32"/>
        </w:rPr>
        <w:t>（四）做好机构编制实名制管理和事业单位登记管理等常规性工作，发挥监督职能，提高服务效率和水平。</w:t>
      </w:r>
    </w:p>
    <w:p w14:paraId="539BD698">
      <w:pPr>
        <w:autoSpaceDE w:val="0"/>
        <w:autoSpaceDN w:val="0"/>
        <w:adjustRightInd w:val="0"/>
        <w:ind w:left="198" w:firstLine="640" w:firstLineChars="200"/>
        <w:jc w:val="left"/>
        <w:rPr>
          <w:rFonts w:ascii="Times New Roman" w:hAnsi="Times New Roman" w:eastAsia="仿宋" w:cs="Times New Roman"/>
          <w:color w:val="auto"/>
          <w:sz w:val="32"/>
          <w:szCs w:val="32"/>
        </w:rPr>
      </w:pPr>
      <w:r>
        <w:rPr>
          <w:rFonts w:hint="eastAsia" w:ascii="Times New Roman" w:hAnsi="Times New Roman" w:eastAsia="仿宋" w:cs="仿宋"/>
          <w:color w:val="auto"/>
          <w:sz w:val="32"/>
          <w:szCs w:val="32"/>
        </w:rPr>
        <w:t>（五）狠抓党的十九大精神的贯彻学习，常态化学习党的方针教育，加强机关效能建设和自身建设。</w:t>
      </w:r>
    </w:p>
    <w:p w14:paraId="67420AE8">
      <w:pPr>
        <w:autoSpaceDE w:val="0"/>
        <w:autoSpaceDN w:val="0"/>
        <w:adjustRightInd w:val="0"/>
        <w:ind w:left="198" w:firstLine="640" w:firstLineChars="200"/>
        <w:jc w:val="left"/>
        <w:rPr>
          <w:rFonts w:ascii="Times New Roman" w:hAnsi="Times New Roman" w:eastAsia="仿宋" w:cs="Times New Roman"/>
          <w:color w:val="auto"/>
          <w:sz w:val="32"/>
          <w:szCs w:val="32"/>
        </w:rPr>
      </w:pPr>
      <w:r>
        <w:rPr>
          <w:rFonts w:hint="eastAsia" w:ascii="Times New Roman" w:hAnsi="Times New Roman" w:eastAsia="仿宋" w:cs="仿宋"/>
          <w:color w:val="auto"/>
          <w:sz w:val="32"/>
          <w:szCs w:val="32"/>
        </w:rPr>
        <w:t>（六）积极完成县委、县政府和上级编办布置的其它各项工作任务</w:t>
      </w:r>
    </w:p>
    <w:p w14:paraId="244BDDCE">
      <w:pPr>
        <w:autoSpaceDE w:val="0"/>
        <w:autoSpaceDN w:val="0"/>
        <w:adjustRightInd w:val="0"/>
        <w:jc w:val="left"/>
        <w:rPr>
          <w:rFonts w:ascii="Times New Roman" w:hAnsi="Times New Roman" w:eastAsia="仿宋" w:cs="Times New Roman"/>
          <w:b/>
          <w:bCs/>
          <w:color w:val="auto"/>
          <w:sz w:val="32"/>
          <w:szCs w:val="32"/>
        </w:rPr>
      </w:pPr>
      <w:r>
        <w:rPr>
          <w:rFonts w:ascii="Times New Roman" w:hAnsi="Times New Roman" w:eastAsia="仿宋" w:cs="Times New Roman"/>
          <w:b/>
          <w:bCs/>
          <w:color w:val="auto"/>
          <w:sz w:val="32"/>
          <w:szCs w:val="32"/>
        </w:rPr>
        <w:t xml:space="preserve">   </w:t>
      </w:r>
      <w:r>
        <w:rPr>
          <w:rFonts w:hint="eastAsia" w:ascii="Times New Roman" w:hAnsi="Times New Roman" w:eastAsia="仿宋" w:cs="仿宋"/>
          <w:b/>
          <w:bCs/>
          <w:color w:val="auto"/>
          <w:sz w:val="32"/>
          <w:szCs w:val="32"/>
        </w:rPr>
        <w:t>职责分类绩效目标：</w:t>
      </w:r>
    </w:p>
    <w:p w14:paraId="439C339B">
      <w:pPr>
        <w:autoSpaceDE w:val="0"/>
        <w:autoSpaceDN w:val="0"/>
        <w:adjustRightInd w:val="0"/>
        <w:ind w:left="198" w:firstLine="640" w:firstLineChars="200"/>
        <w:jc w:val="left"/>
        <w:rPr>
          <w:rFonts w:ascii="Times New Roman" w:hAnsi="Times New Roman" w:eastAsia="仿宋" w:cs="Times New Roman"/>
          <w:color w:val="auto"/>
          <w:sz w:val="32"/>
          <w:szCs w:val="32"/>
        </w:rPr>
      </w:pPr>
      <w:r>
        <w:rPr>
          <w:rFonts w:ascii="Times New Roman" w:hAnsi="Times New Roman" w:eastAsia="仿宋" w:cs="Times New Roman"/>
          <w:color w:val="auto"/>
          <w:sz w:val="32"/>
          <w:szCs w:val="32"/>
        </w:rPr>
        <w:t>2019</w:t>
      </w:r>
      <w:r>
        <w:rPr>
          <w:rFonts w:hint="eastAsia" w:ascii="Times New Roman" w:hAnsi="Times New Roman" w:eastAsia="仿宋" w:cs="仿宋"/>
          <w:color w:val="auto"/>
          <w:sz w:val="32"/>
          <w:szCs w:val="32"/>
        </w:rPr>
        <w:t>年曲阳县编委办将认真贯彻上级编办以及县委县政府的方针、政策，加强全县机构编制管理，做好机构改革的后续工作</w:t>
      </w:r>
      <w:r>
        <w:rPr>
          <w:rFonts w:ascii="Times New Roman" w:hAnsi="Times New Roman" w:eastAsia="仿宋" w:cs="Times New Roman"/>
          <w:color w:val="auto"/>
          <w:sz w:val="32"/>
          <w:szCs w:val="32"/>
        </w:rPr>
        <w:t>,</w:t>
      </w:r>
      <w:r>
        <w:rPr>
          <w:rFonts w:hint="eastAsia" w:ascii="Times New Roman" w:hAnsi="Times New Roman" w:eastAsia="仿宋" w:cs="仿宋"/>
          <w:color w:val="auto"/>
          <w:sz w:val="32"/>
          <w:szCs w:val="32"/>
        </w:rPr>
        <w:t>为建设美丽曲阳，经济强县，做好以下几点：</w:t>
      </w:r>
    </w:p>
    <w:p w14:paraId="5F8DD8BF">
      <w:pPr>
        <w:autoSpaceDE w:val="0"/>
        <w:autoSpaceDN w:val="0"/>
        <w:adjustRightInd w:val="0"/>
        <w:ind w:left="198" w:firstLine="640" w:firstLineChars="200"/>
        <w:jc w:val="left"/>
        <w:rPr>
          <w:rFonts w:ascii="Times New Roman" w:hAnsi="Times New Roman" w:eastAsia="仿宋" w:cs="Times New Roman"/>
          <w:color w:val="auto"/>
          <w:sz w:val="32"/>
          <w:szCs w:val="32"/>
        </w:rPr>
      </w:pPr>
      <w:r>
        <w:rPr>
          <w:rFonts w:hint="eastAsia" w:ascii="Times New Roman" w:hAnsi="Times New Roman" w:eastAsia="仿宋" w:cs="仿宋"/>
          <w:color w:val="auto"/>
          <w:sz w:val="32"/>
          <w:szCs w:val="32"/>
        </w:rPr>
        <w:t>一、行政审批改革业务</w:t>
      </w:r>
    </w:p>
    <w:p w14:paraId="0C611E42">
      <w:pPr>
        <w:autoSpaceDE w:val="0"/>
        <w:autoSpaceDN w:val="0"/>
        <w:adjustRightInd w:val="0"/>
        <w:ind w:left="198" w:firstLine="640" w:firstLineChars="200"/>
        <w:jc w:val="left"/>
        <w:rPr>
          <w:rFonts w:ascii="Times New Roman" w:hAnsi="Times New Roman" w:eastAsia="仿宋" w:cs="Times New Roman"/>
          <w:color w:val="auto"/>
          <w:sz w:val="32"/>
          <w:szCs w:val="32"/>
        </w:rPr>
      </w:pPr>
      <w:r>
        <w:rPr>
          <w:rFonts w:ascii="Times New Roman" w:hAnsi="Times New Roman" w:eastAsia="仿宋" w:cs="Times New Roman"/>
          <w:color w:val="auto"/>
          <w:sz w:val="32"/>
          <w:szCs w:val="32"/>
        </w:rPr>
        <w:t>1</w:t>
      </w:r>
      <w:r>
        <w:rPr>
          <w:rFonts w:hint="eastAsia" w:ascii="Times New Roman" w:hAnsi="Times New Roman" w:eastAsia="仿宋" w:cs="仿宋"/>
          <w:color w:val="auto"/>
          <w:sz w:val="32"/>
          <w:szCs w:val="32"/>
        </w:rPr>
        <w:t>、贯彻落实党中央、国务院关于行政管理体制机构编制管理的政策和省、市地方性法规草案并监督实施。建设服务型政府，着力转变职能、理顺关系、优化结构、提高效能，形成权责一致、分工合理、决策科学、执行顺畅、监督有力的行政管理体制。健全政府职责体系，完善公共服务体系</w:t>
      </w:r>
      <w:r>
        <w:rPr>
          <w:rFonts w:ascii="Times New Roman" w:hAnsi="Times New Roman" w:eastAsia="仿宋" w:cs="Times New Roman"/>
          <w:color w:val="auto"/>
          <w:sz w:val="32"/>
          <w:szCs w:val="32"/>
        </w:rPr>
        <w:t xml:space="preserve">. </w:t>
      </w:r>
      <w:r>
        <w:rPr>
          <w:rFonts w:hint="eastAsia" w:ascii="Times New Roman" w:hAnsi="Times New Roman" w:eastAsia="仿宋" w:cs="仿宋"/>
          <w:color w:val="auto"/>
          <w:sz w:val="32"/>
          <w:szCs w:val="32"/>
        </w:rPr>
        <w:t>行政审批改革率达到省、市要求下放、取消、调整行政审批事项的</w:t>
      </w:r>
      <w:r>
        <w:rPr>
          <w:rFonts w:ascii="Times New Roman" w:hAnsi="Times New Roman" w:eastAsia="仿宋" w:cs="Times New Roman"/>
          <w:color w:val="auto"/>
          <w:sz w:val="32"/>
          <w:szCs w:val="32"/>
        </w:rPr>
        <w:t>95%</w:t>
      </w:r>
      <w:r>
        <w:rPr>
          <w:rFonts w:hint="eastAsia" w:ascii="Times New Roman" w:hAnsi="Times New Roman" w:eastAsia="仿宋" w:cs="仿宋"/>
          <w:color w:val="auto"/>
          <w:sz w:val="32"/>
          <w:szCs w:val="32"/>
        </w:rPr>
        <w:t>以上</w:t>
      </w:r>
      <w:r>
        <w:rPr>
          <w:rFonts w:ascii="Times New Roman" w:hAnsi="Times New Roman" w:eastAsia="仿宋" w:cs="Times New Roman"/>
          <w:color w:val="auto"/>
          <w:sz w:val="32"/>
          <w:szCs w:val="32"/>
        </w:rPr>
        <w:t xml:space="preserve"> </w:t>
      </w:r>
      <w:r>
        <w:rPr>
          <w:rFonts w:hint="eastAsia" w:ascii="Times New Roman" w:hAnsi="Times New Roman" w:eastAsia="仿宋" w:cs="仿宋"/>
          <w:color w:val="auto"/>
          <w:sz w:val="32"/>
          <w:szCs w:val="32"/>
        </w:rPr>
        <w:t>。</w:t>
      </w:r>
      <w:r>
        <w:rPr>
          <w:rFonts w:ascii="Times New Roman" w:hAnsi="Times New Roman" w:eastAsia="仿宋" w:cs="Times New Roman"/>
          <w:color w:val="auto"/>
          <w:sz w:val="32"/>
          <w:szCs w:val="32"/>
        </w:rPr>
        <w:t>2</w:t>
      </w:r>
      <w:r>
        <w:rPr>
          <w:rFonts w:hint="eastAsia" w:ascii="Times New Roman" w:hAnsi="Times New Roman" w:eastAsia="仿宋" w:cs="仿宋"/>
          <w:color w:val="auto"/>
          <w:sz w:val="32"/>
          <w:szCs w:val="32"/>
        </w:rPr>
        <w:t>、扎实推进事业单位分类改革</w:t>
      </w:r>
      <w:r>
        <w:rPr>
          <w:rFonts w:ascii="Times New Roman" w:hAnsi="Times New Roman" w:eastAsia="仿宋" w:cs="Times New Roman"/>
          <w:color w:val="auto"/>
          <w:sz w:val="32"/>
          <w:szCs w:val="32"/>
        </w:rPr>
        <w:t>,</w:t>
      </w:r>
      <w:r>
        <w:rPr>
          <w:rFonts w:hint="eastAsia" w:ascii="Times New Roman" w:hAnsi="Times New Roman" w:eastAsia="仿宋" w:cs="仿宋"/>
          <w:color w:val="auto"/>
          <w:sz w:val="32"/>
          <w:szCs w:val="32"/>
        </w:rPr>
        <w:t>扎实推进事业单位法人治理结构试点工作。稳妥推进事业单位分类改革</w:t>
      </w:r>
      <w:r>
        <w:rPr>
          <w:rFonts w:ascii="Times New Roman" w:hAnsi="Times New Roman" w:eastAsia="仿宋" w:cs="Times New Roman"/>
          <w:color w:val="auto"/>
          <w:sz w:val="32"/>
          <w:szCs w:val="32"/>
        </w:rPr>
        <w:t>,</w:t>
      </w:r>
      <w:r>
        <w:rPr>
          <w:rFonts w:hint="eastAsia" w:ascii="Times New Roman" w:hAnsi="Times New Roman" w:eastAsia="仿宋" w:cs="仿宋"/>
          <w:color w:val="auto"/>
          <w:sz w:val="32"/>
          <w:szCs w:val="32"/>
        </w:rPr>
        <w:t>加大清理规范力度</w:t>
      </w:r>
      <w:r>
        <w:rPr>
          <w:rFonts w:ascii="Times New Roman" w:hAnsi="Times New Roman" w:eastAsia="仿宋" w:cs="Times New Roman"/>
          <w:color w:val="auto"/>
          <w:sz w:val="32"/>
          <w:szCs w:val="32"/>
        </w:rPr>
        <w:t>,</w:t>
      </w:r>
      <w:r>
        <w:rPr>
          <w:rFonts w:hint="eastAsia" w:ascii="Times New Roman" w:hAnsi="Times New Roman" w:eastAsia="仿宋" w:cs="仿宋"/>
          <w:color w:val="auto"/>
          <w:sz w:val="32"/>
          <w:szCs w:val="32"/>
        </w:rPr>
        <w:t>探索管办分离的实现形式</w:t>
      </w:r>
      <w:r>
        <w:rPr>
          <w:rFonts w:ascii="Times New Roman" w:hAnsi="Times New Roman" w:eastAsia="仿宋" w:cs="Times New Roman"/>
          <w:color w:val="auto"/>
          <w:sz w:val="32"/>
          <w:szCs w:val="32"/>
        </w:rPr>
        <w:t>,</w:t>
      </w:r>
      <w:r>
        <w:rPr>
          <w:rFonts w:hint="eastAsia" w:ascii="Times New Roman" w:hAnsi="Times New Roman" w:eastAsia="仿宋" w:cs="仿宋"/>
          <w:color w:val="auto"/>
          <w:sz w:val="32"/>
          <w:szCs w:val="32"/>
        </w:rPr>
        <w:t>完善法人治理结构</w:t>
      </w:r>
      <w:r>
        <w:rPr>
          <w:rFonts w:ascii="Times New Roman" w:hAnsi="Times New Roman" w:eastAsia="仿宋" w:cs="Times New Roman"/>
          <w:color w:val="auto"/>
          <w:sz w:val="32"/>
          <w:szCs w:val="32"/>
        </w:rPr>
        <w:t>,</w:t>
      </w:r>
      <w:r>
        <w:rPr>
          <w:rFonts w:hint="eastAsia" w:ascii="Times New Roman" w:hAnsi="Times New Roman" w:eastAsia="仿宋" w:cs="仿宋"/>
          <w:color w:val="auto"/>
          <w:sz w:val="32"/>
          <w:szCs w:val="32"/>
        </w:rPr>
        <w:t>不断提高事业单位公益服务水平。事业单位分类改革率达到计划目标的</w:t>
      </w:r>
      <w:r>
        <w:rPr>
          <w:rFonts w:ascii="Times New Roman" w:hAnsi="Times New Roman" w:eastAsia="仿宋" w:cs="Times New Roman"/>
          <w:color w:val="auto"/>
          <w:sz w:val="32"/>
          <w:szCs w:val="32"/>
        </w:rPr>
        <w:t>90%</w:t>
      </w:r>
      <w:r>
        <w:rPr>
          <w:rFonts w:hint="eastAsia" w:ascii="Times New Roman" w:hAnsi="Times New Roman" w:eastAsia="仿宋" w:cs="仿宋"/>
          <w:color w:val="auto"/>
          <w:sz w:val="32"/>
          <w:szCs w:val="32"/>
        </w:rPr>
        <w:t>以上。创新管理方式</w:t>
      </w:r>
      <w:r>
        <w:rPr>
          <w:rFonts w:ascii="Times New Roman" w:hAnsi="Times New Roman" w:eastAsia="仿宋" w:cs="Times New Roman"/>
          <w:color w:val="auto"/>
          <w:sz w:val="32"/>
          <w:szCs w:val="32"/>
        </w:rPr>
        <w:t>,</w:t>
      </w:r>
      <w:r>
        <w:rPr>
          <w:rFonts w:hint="eastAsia" w:ascii="Times New Roman" w:hAnsi="Times New Roman" w:eastAsia="仿宋" w:cs="仿宋"/>
          <w:color w:val="auto"/>
          <w:sz w:val="32"/>
          <w:szCs w:val="32"/>
        </w:rPr>
        <w:t>严格控制总量的同时</w:t>
      </w:r>
      <w:r>
        <w:rPr>
          <w:rFonts w:ascii="Times New Roman" w:hAnsi="Times New Roman" w:eastAsia="仿宋" w:cs="Times New Roman"/>
          <w:color w:val="auto"/>
          <w:sz w:val="32"/>
          <w:szCs w:val="32"/>
        </w:rPr>
        <w:t>,</w:t>
      </w:r>
      <w:r>
        <w:rPr>
          <w:rFonts w:hint="eastAsia" w:ascii="Times New Roman" w:hAnsi="Times New Roman" w:eastAsia="仿宋" w:cs="仿宋"/>
          <w:color w:val="auto"/>
          <w:sz w:val="32"/>
          <w:szCs w:val="32"/>
        </w:rPr>
        <w:t>盘活用好存量</w:t>
      </w:r>
      <w:r>
        <w:rPr>
          <w:rFonts w:ascii="Times New Roman" w:hAnsi="Times New Roman" w:eastAsia="仿宋" w:cs="Times New Roman"/>
          <w:color w:val="auto"/>
          <w:sz w:val="32"/>
          <w:szCs w:val="32"/>
        </w:rPr>
        <w:t>,</w:t>
      </w:r>
      <w:r>
        <w:rPr>
          <w:rFonts w:hint="eastAsia" w:ascii="Times New Roman" w:hAnsi="Times New Roman" w:eastAsia="仿宋" w:cs="仿宋"/>
          <w:color w:val="auto"/>
          <w:sz w:val="32"/>
          <w:szCs w:val="32"/>
        </w:rPr>
        <w:t>着力解决涉及改革发展稳定大局的机构编制问题。</w:t>
      </w:r>
    </w:p>
    <w:p w14:paraId="4FC2FD09">
      <w:pPr>
        <w:autoSpaceDE w:val="0"/>
        <w:autoSpaceDN w:val="0"/>
        <w:adjustRightInd w:val="0"/>
        <w:ind w:left="198" w:firstLine="640" w:firstLineChars="200"/>
        <w:jc w:val="left"/>
        <w:rPr>
          <w:rFonts w:ascii="Times New Roman" w:hAnsi="Times New Roman" w:eastAsia="仿宋" w:cs="Times New Roman"/>
          <w:color w:val="auto"/>
          <w:sz w:val="32"/>
          <w:szCs w:val="32"/>
        </w:rPr>
      </w:pPr>
      <w:r>
        <w:rPr>
          <w:rFonts w:hint="eastAsia" w:ascii="Times New Roman" w:hAnsi="Times New Roman" w:eastAsia="仿宋" w:cs="仿宋"/>
          <w:color w:val="auto"/>
          <w:sz w:val="32"/>
          <w:szCs w:val="32"/>
        </w:rPr>
        <w:t>二、机构编制监督检查业务</w:t>
      </w:r>
    </w:p>
    <w:p w14:paraId="0461949F">
      <w:pPr>
        <w:autoSpaceDE w:val="0"/>
        <w:autoSpaceDN w:val="0"/>
        <w:adjustRightInd w:val="0"/>
        <w:ind w:left="198" w:firstLine="640" w:firstLineChars="200"/>
        <w:jc w:val="left"/>
        <w:rPr>
          <w:rFonts w:ascii="Times New Roman" w:hAnsi="Times New Roman" w:eastAsia="仿宋" w:cs="Times New Roman"/>
          <w:color w:val="auto"/>
          <w:sz w:val="32"/>
          <w:szCs w:val="32"/>
        </w:rPr>
      </w:pPr>
      <w:r>
        <w:rPr>
          <w:rFonts w:ascii="Times New Roman" w:hAnsi="Times New Roman" w:eastAsia="仿宋" w:cs="Times New Roman"/>
          <w:color w:val="auto"/>
          <w:sz w:val="32"/>
          <w:szCs w:val="32"/>
        </w:rPr>
        <w:t>1</w:t>
      </w:r>
      <w:r>
        <w:rPr>
          <w:rFonts w:hint="eastAsia" w:ascii="Times New Roman" w:hAnsi="Times New Roman" w:eastAsia="仿宋" w:cs="仿宋"/>
          <w:color w:val="auto"/>
          <w:sz w:val="32"/>
          <w:szCs w:val="32"/>
        </w:rPr>
        <w:t>、对全县所有单位的编制、人员状况进行审核</w:t>
      </w:r>
      <w:r>
        <w:rPr>
          <w:rFonts w:ascii="Times New Roman" w:hAnsi="Times New Roman" w:eastAsia="仿宋" w:cs="Times New Roman"/>
          <w:color w:val="auto"/>
          <w:sz w:val="32"/>
          <w:szCs w:val="32"/>
        </w:rPr>
        <w:t>,</w:t>
      </w:r>
      <w:r>
        <w:rPr>
          <w:rFonts w:hint="eastAsia" w:ascii="Times New Roman" w:hAnsi="Times New Roman" w:eastAsia="仿宋" w:cs="仿宋"/>
          <w:color w:val="auto"/>
          <w:sz w:val="32"/>
          <w:szCs w:val="32"/>
        </w:rPr>
        <w:t>对各单位机构编制纪律执行情况进行监督检查，严肃查处机构编制违纪违规行为</w:t>
      </w:r>
      <w:r>
        <w:rPr>
          <w:rFonts w:ascii="Times New Roman" w:hAnsi="Times New Roman" w:eastAsia="仿宋" w:cs="Times New Roman"/>
          <w:color w:val="auto"/>
          <w:sz w:val="32"/>
          <w:szCs w:val="32"/>
        </w:rPr>
        <w:t>,</w:t>
      </w:r>
      <w:r>
        <w:rPr>
          <w:rFonts w:hint="eastAsia" w:ascii="Times New Roman" w:hAnsi="Times New Roman" w:eastAsia="仿宋" w:cs="仿宋"/>
          <w:color w:val="auto"/>
          <w:sz w:val="32"/>
          <w:szCs w:val="32"/>
        </w:rPr>
        <w:t>对相关责任人依法依纪追究责任</w:t>
      </w:r>
      <w:r>
        <w:rPr>
          <w:rFonts w:ascii="Times New Roman" w:hAnsi="Times New Roman" w:eastAsia="仿宋" w:cs="Times New Roman"/>
          <w:color w:val="auto"/>
          <w:sz w:val="32"/>
          <w:szCs w:val="32"/>
        </w:rPr>
        <w:t>,</w:t>
      </w:r>
      <w:r>
        <w:rPr>
          <w:rFonts w:hint="eastAsia" w:ascii="Times New Roman" w:hAnsi="Times New Roman" w:eastAsia="仿宋" w:cs="仿宋"/>
          <w:color w:val="auto"/>
          <w:sz w:val="32"/>
          <w:szCs w:val="32"/>
        </w:rPr>
        <w:t>决不姑息。年底对全县各部门的机构编制情况进行年检，年检正确率达到全县所有单位的</w:t>
      </w:r>
      <w:r>
        <w:rPr>
          <w:rFonts w:ascii="Times New Roman" w:hAnsi="Times New Roman" w:eastAsia="仿宋" w:cs="Times New Roman"/>
          <w:color w:val="auto"/>
          <w:sz w:val="32"/>
          <w:szCs w:val="32"/>
        </w:rPr>
        <w:t>90%</w:t>
      </w:r>
      <w:r>
        <w:rPr>
          <w:rFonts w:hint="eastAsia" w:ascii="Times New Roman" w:hAnsi="Times New Roman" w:eastAsia="仿宋" w:cs="仿宋"/>
          <w:color w:val="auto"/>
          <w:sz w:val="32"/>
          <w:szCs w:val="32"/>
        </w:rPr>
        <w:t>以上。</w:t>
      </w:r>
    </w:p>
    <w:p w14:paraId="64452BF3">
      <w:pPr>
        <w:autoSpaceDE w:val="0"/>
        <w:autoSpaceDN w:val="0"/>
        <w:adjustRightInd w:val="0"/>
        <w:ind w:left="198" w:firstLine="640" w:firstLineChars="200"/>
        <w:jc w:val="left"/>
        <w:rPr>
          <w:rFonts w:ascii="Times New Roman" w:hAnsi="Times New Roman" w:eastAsia="仿宋" w:cs="Times New Roman"/>
          <w:color w:val="auto"/>
          <w:sz w:val="32"/>
          <w:szCs w:val="32"/>
        </w:rPr>
      </w:pPr>
      <w:r>
        <w:rPr>
          <w:rFonts w:ascii="Times New Roman" w:hAnsi="Times New Roman" w:eastAsia="仿宋" w:cs="Times New Roman"/>
          <w:color w:val="auto"/>
          <w:sz w:val="32"/>
          <w:szCs w:val="32"/>
        </w:rPr>
        <w:t>2</w:t>
      </w:r>
      <w:r>
        <w:rPr>
          <w:rFonts w:hint="eastAsia" w:ascii="Times New Roman" w:hAnsi="Times New Roman" w:eastAsia="仿宋" w:cs="仿宋"/>
          <w:color w:val="auto"/>
          <w:sz w:val="32"/>
          <w:szCs w:val="32"/>
        </w:rPr>
        <w:t>、机构编制实名制平台，负责全县机构编制信息管理系统、电子政务的建设和管理，全县机构编制统计、数据分析工作；负责机关人事、劳资、行政后勤、财务和资产管理工作。</w:t>
      </w:r>
    </w:p>
    <w:p w14:paraId="4AF8EA55">
      <w:pPr>
        <w:autoSpaceDE w:val="0"/>
        <w:autoSpaceDN w:val="0"/>
        <w:adjustRightInd w:val="0"/>
        <w:ind w:left="198" w:firstLine="640" w:firstLineChars="200"/>
        <w:jc w:val="left"/>
        <w:rPr>
          <w:rFonts w:ascii="Times New Roman" w:hAnsi="Times New Roman" w:eastAsia="仿宋" w:cs="Times New Roman"/>
          <w:color w:val="auto"/>
          <w:sz w:val="32"/>
          <w:szCs w:val="32"/>
        </w:rPr>
      </w:pPr>
      <w:r>
        <w:rPr>
          <w:rFonts w:hint="eastAsia" w:ascii="Times New Roman" w:hAnsi="Times New Roman" w:eastAsia="仿宋" w:cs="仿宋"/>
          <w:color w:val="auto"/>
          <w:sz w:val="32"/>
          <w:szCs w:val="32"/>
        </w:rPr>
        <w:t>三、编办事业管理工作</w:t>
      </w:r>
    </w:p>
    <w:p w14:paraId="7951192A">
      <w:pPr>
        <w:autoSpaceDE w:val="0"/>
        <w:autoSpaceDN w:val="0"/>
        <w:adjustRightInd w:val="0"/>
        <w:ind w:left="198" w:firstLine="640" w:firstLineChars="200"/>
        <w:jc w:val="left"/>
        <w:rPr>
          <w:rFonts w:ascii="Times New Roman" w:hAnsi="Times New Roman" w:eastAsia="仿宋" w:cs="Times New Roman"/>
          <w:color w:val="auto"/>
          <w:sz w:val="32"/>
          <w:szCs w:val="32"/>
        </w:rPr>
      </w:pPr>
      <w:r>
        <w:rPr>
          <w:rFonts w:hint="eastAsia" w:ascii="Times New Roman" w:hAnsi="Times New Roman" w:eastAsia="仿宋" w:cs="仿宋"/>
          <w:color w:val="auto"/>
          <w:sz w:val="32"/>
          <w:szCs w:val="32"/>
        </w:rPr>
        <w:t>中文域名网上名称管理业务，对全县各部门、单位提供中文域名网站。提升我国中文使用频率，提高我国综合地位。对全县</w:t>
      </w:r>
      <w:r>
        <w:rPr>
          <w:rFonts w:ascii="Times New Roman" w:hAnsi="Times New Roman" w:eastAsia="仿宋" w:cs="Times New Roman"/>
          <w:color w:val="auto"/>
          <w:sz w:val="32"/>
          <w:szCs w:val="32"/>
        </w:rPr>
        <w:t>100%</w:t>
      </w:r>
      <w:r>
        <w:rPr>
          <w:rFonts w:hint="eastAsia" w:ascii="Times New Roman" w:hAnsi="Times New Roman" w:eastAsia="仿宋" w:cs="仿宋"/>
          <w:color w:val="auto"/>
          <w:sz w:val="32"/>
          <w:szCs w:val="32"/>
        </w:rPr>
        <w:t>单位的中文域名的网站进行监管、维护。</w:t>
      </w:r>
    </w:p>
    <w:p w14:paraId="7D313367">
      <w:pPr>
        <w:autoSpaceDE w:val="0"/>
        <w:autoSpaceDN w:val="0"/>
        <w:adjustRightInd w:val="0"/>
        <w:ind w:left="198" w:firstLine="643" w:firstLineChars="200"/>
        <w:jc w:val="left"/>
        <w:rPr>
          <w:rFonts w:ascii="Times New Roman" w:hAnsi="Times New Roman" w:eastAsia="仿宋" w:cs="Times New Roman"/>
          <w:b/>
          <w:bCs/>
          <w:color w:val="auto"/>
          <w:sz w:val="32"/>
          <w:szCs w:val="32"/>
        </w:rPr>
      </w:pPr>
      <w:r>
        <w:rPr>
          <w:rFonts w:hint="eastAsia" w:ascii="Times New Roman" w:hAnsi="Times New Roman" w:eastAsia="仿宋" w:cs="仿宋"/>
          <w:b/>
          <w:bCs/>
          <w:color w:val="auto"/>
          <w:sz w:val="32"/>
          <w:szCs w:val="32"/>
        </w:rPr>
        <w:t>部门职责及工作活动绩效目标指标：</w:t>
      </w:r>
      <w:bookmarkEnd w:id="0"/>
    </w:p>
    <w:p w14:paraId="1CA89265">
      <w:pPr>
        <w:jc w:val="center"/>
        <w:outlineLvl w:val="0"/>
        <w:rPr>
          <w:rFonts w:ascii="方正小标宋_GBK" w:hAnsi="Times New Roman" w:eastAsia="方正小标宋_GBK" w:cs="Times New Roman"/>
          <w:color w:val="auto"/>
          <w:sz w:val="32"/>
          <w:szCs w:val="32"/>
        </w:rPr>
      </w:pPr>
    </w:p>
    <w:p w14:paraId="000E116E">
      <w:pPr>
        <w:jc w:val="center"/>
        <w:outlineLvl w:val="0"/>
        <w:rPr>
          <w:rFonts w:ascii="方正小标宋_GBK" w:eastAsia="方正小标宋_GBK" w:cs="Times New Roman"/>
          <w:color w:val="auto"/>
          <w:sz w:val="32"/>
          <w:szCs w:val="32"/>
        </w:rPr>
      </w:pPr>
      <w:bookmarkStart w:id="1" w:name="_Toc536098682"/>
      <w:bookmarkStart w:id="2" w:name="_Toc503971524"/>
      <w:r>
        <w:rPr>
          <w:rFonts w:hint="eastAsia" w:ascii="方正小标宋_GBK" w:eastAsia="方正小标宋_GBK" w:cs="方正小标宋_GBK"/>
          <w:color w:val="auto"/>
          <w:sz w:val="32"/>
          <w:szCs w:val="32"/>
        </w:rPr>
        <w:t>部门职责</w:t>
      </w:r>
      <w:r>
        <w:rPr>
          <w:rFonts w:ascii="方正小标宋_GBK" w:eastAsia="方正小标宋_GBK" w:cs="方正小标宋_GBK"/>
          <w:color w:val="auto"/>
          <w:sz w:val="32"/>
          <w:szCs w:val="32"/>
        </w:rPr>
        <w:t>-</w:t>
      </w:r>
      <w:r>
        <w:rPr>
          <w:rFonts w:hint="eastAsia" w:ascii="方正小标宋_GBK" w:eastAsia="方正小标宋_GBK" w:cs="方正小标宋_GBK"/>
          <w:color w:val="auto"/>
          <w:sz w:val="32"/>
          <w:szCs w:val="32"/>
        </w:rPr>
        <w:t>工作活动绩效目标</w:t>
      </w:r>
      <w:r>
        <w:rPr>
          <w:rFonts w:cs="Times New Roman"/>
          <w:color w:val="auto"/>
          <w:szCs w:val="20"/>
        </w:rPr>
        <w:footnoteReference w:id="0" w:customMarkFollows="1"/>
        <w:sym w:font="Symbol" w:char="F020"/>
      </w:r>
      <w:bookmarkEnd w:id="1"/>
    </w:p>
    <w:tbl>
      <w:tblPr>
        <w:tblStyle w:val="7"/>
        <w:tblW w:w="1393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341"/>
        <w:gridCol w:w="1276"/>
        <w:gridCol w:w="2976"/>
        <w:gridCol w:w="2976"/>
        <w:gridCol w:w="1417"/>
        <w:gridCol w:w="737"/>
        <w:gridCol w:w="737"/>
        <w:gridCol w:w="737"/>
        <w:gridCol w:w="737"/>
      </w:tblGrid>
      <w:tr w14:paraId="31A51C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blHeader/>
          <w:jc w:val="center"/>
        </w:trPr>
        <w:tc>
          <w:tcPr>
            <w:tcW w:w="10986" w:type="dxa"/>
            <w:gridSpan w:val="5"/>
            <w:tcBorders>
              <w:top w:val="single" w:color="FFFFFF" w:sz="6" w:space="0"/>
              <w:left w:val="single" w:color="FFFFFF" w:sz="6" w:space="0"/>
              <w:right w:val="single" w:color="FFFFFF" w:sz="6" w:space="0"/>
            </w:tcBorders>
            <w:vAlign w:val="center"/>
          </w:tcPr>
          <w:p w14:paraId="6A4D3A0E">
            <w:pPr>
              <w:spacing w:line="300" w:lineRule="exact"/>
              <w:jc w:val="left"/>
              <w:rPr>
                <w:rFonts w:ascii="方正小标宋_GBK" w:eastAsia="方正小标宋_GBK" w:cs="Times New Roman"/>
                <w:color w:val="auto"/>
                <w:sz w:val="24"/>
                <w:szCs w:val="24"/>
              </w:rPr>
            </w:pPr>
            <w:r>
              <w:rPr>
                <w:rFonts w:ascii="方正小标宋_GBK" w:eastAsia="方正小标宋_GBK" w:cs="方正小标宋_GBK"/>
                <w:color w:val="auto"/>
                <w:sz w:val="24"/>
                <w:szCs w:val="24"/>
              </w:rPr>
              <w:t>225</w:t>
            </w:r>
            <w:r>
              <w:rPr>
                <w:rFonts w:hint="eastAsia" w:ascii="方正小标宋_GBK" w:eastAsia="方正小标宋_GBK" w:cs="方正小标宋_GBK"/>
                <w:color w:val="auto"/>
                <w:sz w:val="24"/>
                <w:szCs w:val="24"/>
              </w:rPr>
              <w:t>曲阳县机构编制委员会办公室</w:t>
            </w:r>
          </w:p>
        </w:tc>
        <w:tc>
          <w:tcPr>
            <w:tcW w:w="2948" w:type="dxa"/>
            <w:gridSpan w:val="4"/>
            <w:tcBorders>
              <w:top w:val="single" w:color="FFFFFF" w:sz="6" w:space="0"/>
              <w:left w:val="single" w:color="FFFFFF" w:sz="6" w:space="0"/>
              <w:right w:val="single" w:color="FFFFFF" w:sz="6" w:space="0"/>
            </w:tcBorders>
            <w:vAlign w:val="center"/>
          </w:tcPr>
          <w:p w14:paraId="4F4A6E61">
            <w:pPr>
              <w:spacing w:line="300" w:lineRule="exact"/>
              <w:jc w:val="right"/>
              <w:rPr>
                <w:rFonts w:ascii="方正书宋_GBK" w:eastAsia="方正书宋_GBK" w:cs="Times New Roman"/>
                <w:color w:val="auto"/>
                <w:sz w:val="24"/>
                <w:szCs w:val="24"/>
              </w:rPr>
            </w:pPr>
            <w:r>
              <w:rPr>
                <w:rFonts w:hint="eastAsia" w:ascii="方正书宋_GBK" w:eastAsia="方正书宋_GBK" w:cs="方正书宋_GBK"/>
                <w:color w:val="auto"/>
                <w:sz w:val="24"/>
                <w:szCs w:val="24"/>
              </w:rPr>
              <w:t>单位：万元</w:t>
            </w:r>
          </w:p>
        </w:tc>
      </w:tr>
      <w:tr w14:paraId="6C9ADF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blHeader/>
          <w:jc w:val="center"/>
        </w:trPr>
        <w:tc>
          <w:tcPr>
            <w:tcW w:w="2341" w:type="dxa"/>
            <w:vMerge w:val="restart"/>
            <w:vAlign w:val="center"/>
          </w:tcPr>
          <w:p w14:paraId="1E63073F">
            <w:pPr>
              <w:spacing w:line="300" w:lineRule="exact"/>
              <w:jc w:val="center"/>
              <w:rPr>
                <w:rFonts w:ascii="方正书宋_GBK" w:eastAsia="方正书宋_GBK" w:cs="Times New Roman"/>
                <w:b/>
                <w:bCs/>
                <w:color w:val="auto"/>
              </w:rPr>
            </w:pPr>
            <w:r>
              <w:rPr>
                <w:rFonts w:hint="eastAsia" w:ascii="方正书宋_GBK" w:eastAsia="方正书宋_GBK" w:cs="方正书宋_GBK"/>
                <w:b/>
                <w:bCs/>
                <w:color w:val="auto"/>
              </w:rPr>
              <w:t>职责活动</w:t>
            </w:r>
          </w:p>
        </w:tc>
        <w:tc>
          <w:tcPr>
            <w:tcW w:w="1276" w:type="dxa"/>
            <w:vMerge w:val="restart"/>
            <w:vAlign w:val="center"/>
          </w:tcPr>
          <w:p w14:paraId="3ED513E1">
            <w:pPr>
              <w:spacing w:line="300" w:lineRule="exact"/>
              <w:jc w:val="center"/>
              <w:rPr>
                <w:rFonts w:ascii="方正书宋_GBK" w:eastAsia="方正书宋_GBK" w:cs="Times New Roman"/>
                <w:b/>
                <w:bCs/>
                <w:color w:val="auto"/>
              </w:rPr>
            </w:pPr>
            <w:r>
              <w:rPr>
                <w:rFonts w:hint="eastAsia" w:ascii="方正书宋_GBK" w:eastAsia="方正书宋_GBK" w:cs="方正书宋_GBK"/>
                <w:b/>
                <w:bCs/>
                <w:color w:val="auto"/>
              </w:rPr>
              <w:t>年度预算数</w:t>
            </w:r>
          </w:p>
        </w:tc>
        <w:tc>
          <w:tcPr>
            <w:tcW w:w="2976" w:type="dxa"/>
            <w:vMerge w:val="restart"/>
            <w:vAlign w:val="center"/>
          </w:tcPr>
          <w:p w14:paraId="5EE23148">
            <w:pPr>
              <w:spacing w:line="300" w:lineRule="exact"/>
              <w:jc w:val="center"/>
              <w:rPr>
                <w:rFonts w:ascii="方正书宋_GBK" w:eastAsia="方正书宋_GBK" w:cs="Times New Roman"/>
                <w:b/>
                <w:bCs/>
                <w:color w:val="auto"/>
              </w:rPr>
            </w:pPr>
            <w:r>
              <w:rPr>
                <w:rFonts w:hint="eastAsia" w:ascii="方正书宋_GBK" w:eastAsia="方正书宋_GBK" w:cs="方正书宋_GBK"/>
                <w:b/>
                <w:bCs/>
                <w:color w:val="auto"/>
              </w:rPr>
              <w:t>内容描述</w:t>
            </w:r>
          </w:p>
        </w:tc>
        <w:tc>
          <w:tcPr>
            <w:tcW w:w="2976" w:type="dxa"/>
            <w:vMerge w:val="restart"/>
            <w:vAlign w:val="center"/>
          </w:tcPr>
          <w:p w14:paraId="3F2CACF4">
            <w:pPr>
              <w:spacing w:line="300" w:lineRule="exact"/>
              <w:jc w:val="center"/>
              <w:rPr>
                <w:rFonts w:ascii="方正书宋_GBK" w:eastAsia="方正书宋_GBK" w:cs="Times New Roman"/>
                <w:b/>
                <w:bCs/>
                <w:color w:val="auto"/>
              </w:rPr>
            </w:pPr>
            <w:r>
              <w:rPr>
                <w:rFonts w:hint="eastAsia" w:ascii="方正书宋_GBK" w:eastAsia="方正书宋_GBK" w:cs="方正书宋_GBK"/>
                <w:b/>
                <w:bCs/>
                <w:color w:val="auto"/>
              </w:rPr>
              <w:t>绩效目标</w:t>
            </w:r>
          </w:p>
        </w:tc>
        <w:tc>
          <w:tcPr>
            <w:tcW w:w="1417" w:type="dxa"/>
            <w:vMerge w:val="restart"/>
            <w:vAlign w:val="center"/>
          </w:tcPr>
          <w:p w14:paraId="483D1313">
            <w:pPr>
              <w:spacing w:line="300" w:lineRule="exact"/>
              <w:jc w:val="center"/>
              <w:rPr>
                <w:rFonts w:ascii="方正书宋_GBK" w:eastAsia="方正书宋_GBK" w:cs="Times New Roman"/>
                <w:b/>
                <w:bCs/>
                <w:color w:val="auto"/>
              </w:rPr>
            </w:pPr>
            <w:r>
              <w:rPr>
                <w:rFonts w:hint="eastAsia" w:ascii="方正书宋_GBK" w:eastAsia="方正书宋_GBK" w:cs="方正书宋_GBK"/>
                <w:b/>
                <w:bCs/>
                <w:color w:val="auto"/>
              </w:rPr>
              <w:t>绩效指标</w:t>
            </w:r>
          </w:p>
        </w:tc>
        <w:tc>
          <w:tcPr>
            <w:tcW w:w="2948" w:type="dxa"/>
            <w:gridSpan w:val="4"/>
            <w:vAlign w:val="center"/>
          </w:tcPr>
          <w:p w14:paraId="3F90007B">
            <w:pPr>
              <w:spacing w:line="300" w:lineRule="exact"/>
              <w:jc w:val="center"/>
              <w:rPr>
                <w:rFonts w:ascii="方正书宋_GBK" w:eastAsia="方正书宋_GBK" w:cs="Times New Roman"/>
                <w:b/>
                <w:bCs/>
                <w:color w:val="auto"/>
              </w:rPr>
            </w:pPr>
            <w:r>
              <w:rPr>
                <w:rFonts w:hint="eastAsia" w:ascii="方正书宋_GBK" w:eastAsia="方正书宋_GBK" w:cs="方正书宋_GBK"/>
                <w:b/>
                <w:bCs/>
                <w:color w:val="auto"/>
              </w:rPr>
              <w:t>评价标准</w:t>
            </w:r>
          </w:p>
        </w:tc>
      </w:tr>
      <w:tr w14:paraId="1282DB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blHeader/>
          <w:jc w:val="center"/>
        </w:trPr>
        <w:tc>
          <w:tcPr>
            <w:tcW w:w="2341" w:type="dxa"/>
            <w:vMerge w:val="continue"/>
            <w:vAlign w:val="center"/>
          </w:tcPr>
          <w:p w14:paraId="6B968524">
            <w:pPr>
              <w:spacing w:line="300" w:lineRule="exact"/>
              <w:jc w:val="left"/>
              <w:outlineLvl w:val="0"/>
              <w:rPr>
                <w:rFonts w:cs="Times New Roman"/>
                <w:color w:val="auto"/>
              </w:rPr>
            </w:pPr>
          </w:p>
        </w:tc>
        <w:tc>
          <w:tcPr>
            <w:tcW w:w="1276" w:type="dxa"/>
            <w:vMerge w:val="continue"/>
            <w:vAlign w:val="center"/>
          </w:tcPr>
          <w:p w14:paraId="746338C5">
            <w:pPr>
              <w:spacing w:line="300" w:lineRule="exact"/>
              <w:jc w:val="left"/>
              <w:outlineLvl w:val="0"/>
              <w:rPr>
                <w:rFonts w:cs="Times New Roman"/>
                <w:color w:val="auto"/>
              </w:rPr>
            </w:pPr>
          </w:p>
        </w:tc>
        <w:tc>
          <w:tcPr>
            <w:tcW w:w="2976" w:type="dxa"/>
            <w:vMerge w:val="continue"/>
            <w:vAlign w:val="center"/>
          </w:tcPr>
          <w:p w14:paraId="37F040A9">
            <w:pPr>
              <w:spacing w:line="300" w:lineRule="exact"/>
              <w:jc w:val="left"/>
              <w:outlineLvl w:val="0"/>
              <w:rPr>
                <w:rFonts w:cs="Times New Roman"/>
                <w:color w:val="auto"/>
              </w:rPr>
            </w:pPr>
          </w:p>
        </w:tc>
        <w:tc>
          <w:tcPr>
            <w:tcW w:w="2976" w:type="dxa"/>
            <w:vMerge w:val="continue"/>
            <w:vAlign w:val="center"/>
          </w:tcPr>
          <w:p w14:paraId="2822F5DB">
            <w:pPr>
              <w:spacing w:line="300" w:lineRule="exact"/>
              <w:jc w:val="left"/>
              <w:outlineLvl w:val="0"/>
              <w:rPr>
                <w:rFonts w:cs="Times New Roman"/>
                <w:color w:val="auto"/>
              </w:rPr>
            </w:pPr>
          </w:p>
        </w:tc>
        <w:tc>
          <w:tcPr>
            <w:tcW w:w="1417" w:type="dxa"/>
            <w:vMerge w:val="continue"/>
            <w:vAlign w:val="center"/>
          </w:tcPr>
          <w:p w14:paraId="3299CAC2">
            <w:pPr>
              <w:spacing w:line="300" w:lineRule="exact"/>
              <w:jc w:val="left"/>
              <w:outlineLvl w:val="0"/>
              <w:rPr>
                <w:rFonts w:cs="Times New Roman"/>
                <w:color w:val="auto"/>
              </w:rPr>
            </w:pPr>
          </w:p>
        </w:tc>
        <w:tc>
          <w:tcPr>
            <w:tcW w:w="737" w:type="dxa"/>
            <w:vAlign w:val="center"/>
          </w:tcPr>
          <w:p w14:paraId="2F7244D6">
            <w:pPr>
              <w:spacing w:line="300" w:lineRule="exact"/>
              <w:jc w:val="center"/>
              <w:rPr>
                <w:rFonts w:ascii="方正书宋_GBK" w:eastAsia="方正书宋_GBK" w:cs="Times New Roman"/>
                <w:b/>
                <w:bCs/>
                <w:color w:val="auto"/>
              </w:rPr>
            </w:pPr>
            <w:r>
              <w:rPr>
                <w:rFonts w:hint="eastAsia" w:ascii="方正书宋_GBK" w:eastAsia="方正书宋_GBK" w:cs="方正书宋_GBK"/>
                <w:b/>
                <w:bCs/>
                <w:color w:val="auto"/>
              </w:rPr>
              <w:t>优</w:t>
            </w:r>
          </w:p>
        </w:tc>
        <w:tc>
          <w:tcPr>
            <w:tcW w:w="737" w:type="dxa"/>
            <w:vAlign w:val="center"/>
          </w:tcPr>
          <w:p w14:paraId="18A8EF2E">
            <w:pPr>
              <w:spacing w:line="300" w:lineRule="exact"/>
              <w:jc w:val="center"/>
              <w:rPr>
                <w:rFonts w:ascii="方正书宋_GBK" w:eastAsia="方正书宋_GBK" w:cs="Times New Roman"/>
                <w:b/>
                <w:bCs/>
                <w:color w:val="auto"/>
              </w:rPr>
            </w:pPr>
            <w:r>
              <w:rPr>
                <w:rFonts w:hint="eastAsia" w:ascii="方正书宋_GBK" w:eastAsia="方正书宋_GBK" w:cs="方正书宋_GBK"/>
                <w:b/>
                <w:bCs/>
                <w:color w:val="auto"/>
              </w:rPr>
              <w:t>良</w:t>
            </w:r>
          </w:p>
        </w:tc>
        <w:tc>
          <w:tcPr>
            <w:tcW w:w="737" w:type="dxa"/>
            <w:vAlign w:val="center"/>
          </w:tcPr>
          <w:p w14:paraId="640F616D">
            <w:pPr>
              <w:spacing w:line="300" w:lineRule="exact"/>
              <w:jc w:val="center"/>
              <w:rPr>
                <w:rFonts w:ascii="方正书宋_GBK" w:eastAsia="方正书宋_GBK" w:cs="Times New Roman"/>
                <w:b/>
                <w:bCs/>
                <w:color w:val="auto"/>
              </w:rPr>
            </w:pPr>
            <w:r>
              <w:rPr>
                <w:rFonts w:hint="eastAsia" w:ascii="方正书宋_GBK" w:eastAsia="方正书宋_GBK" w:cs="方正书宋_GBK"/>
                <w:b/>
                <w:bCs/>
                <w:color w:val="auto"/>
              </w:rPr>
              <w:t>中</w:t>
            </w:r>
          </w:p>
        </w:tc>
        <w:tc>
          <w:tcPr>
            <w:tcW w:w="737" w:type="dxa"/>
            <w:vAlign w:val="center"/>
          </w:tcPr>
          <w:p w14:paraId="20F03B40">
            <w:pPr>
              <w:spacing w:line="300" w:lineRule="exact"/>
              <w:jc w:val="center"/>
              <w:rPr>
                <w:rFonts w:ascii="方正书宋_GBK" w:eastAsia="方正书宋_GBK" w:cs="Times New Roman"/>
                <w:b/>
                <w:bCs/>
                <w:color w:val="auto"/>
              </w:rPr>
            </w:pPr>
            <w:r>
              <w:rPr>
                <w:rFonts w:hint="eastAsia" w:ascii="方正书宋_GBK" w:eastAsia="方正书宋_GBK" w:cs="方正书宋_GBK"/>
                <w:b/>
                <w:bCs/>
                <w:color w:val="auto"/>
              </w:rPr>
              <w:t>差</w:t>
            </w:r>
          </w:p>
        </w:tc>
      </w:tr>
      <w:tr w14:paraId="55147E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Align w:val="center"/>
          </w:tcPr>
          <w:p w14:paraId="34C5129C">
            <w:pPr>
              <w:spacing w:line="300" w:lineRule="exact"/>
              <w:jc w:val="left"/>
              <w:rPr>
                <w:rFonts w:ascii="方正书宋_GBK" w:eastAsia="方正书宋_GBK" w:cs="Times New Roman"/>
                <w:b/>
                <w:bCs/>
                <w:color w:val="auto"/>
              </w:rPr>
            </w:pPr>
            <w:r>
              <w:rPr>
                <w:rFonts w:hint="eastAsia" w:ascii="方正书宋_GBK" w:eastAsia="方正书宋_GBK" w:cs="方正书宋_GBK"/>
                <w:b/>
                <w:bCs/>
                <w:color w:val="auto"/>
              </w:rPr>
              <w:t>一、行政管理体制改革</w:t>
            </w:r>
          </w:p>
        </w:tc>
        <w:tc>
          <w:tcPr>
            <w:tcW w:w="1276" w:type="dxa"/>
            <w:vAlign w:val="center"/>
          </w:tcPr>
          <w:p w14:paraId="2789F81E">
            <w:pPr>
              <w:spacing w:line="300" w:lineRule="exact"/>
              <w:jc w:val="left"/>
              <w:rPr>
                <w:rFonts w:ascii="方正书宋_GBK" w:eastAsia="方正书宋_GBK" w:cs="方正书宋_GBK"/>
                <w:color w:val="auto"/>
              </w:rPr>
            </w:pPr>
            <w:r>
              <w:rPr>
                <w:rFonts w:ascii="方正书宋_GBK" w:eastAsia="方正书宋_GBK" w:cs="方正书宋_GBK"/>
                <w:color w:val="auto"/>
              </w:rPr>
              <w:t>1.92</w:t>
            </w:r>
          </w:p>
        </w:tc>
        <w:tc>
          <w:tcPr>
            <w:tcW w:w="2976" w:type="dxa"/>
            <w:vAlign w:val="center"/>
          </w:tcPr>
          <w:p w14:paraId="578E035E">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贯彻落实党中央、国务院关于行政管理体制机构编制管理的政策和省、市地方性法规草案并监督实施；促进政府职能转变，积极构建科学的行政管理体制；健全政府职责体系，完善公共服务体系。</w:t>
            </w:r>
          </w:p>
        </w:tc>
        <w:tc>
          <w:tcPr>
            <w:tcW w:w="2976" w:type="dxa"/>
            <w:vAlign w:val="center"/>
          </w:tcPr>
          <w:p w14:paraId="71735A42">
            <w:pPr>
              <w:spacing w:line="300" w:lineRule="exact"/>
              <w:jc w:val="left"/>
              <w:rPr>
                <w:rFonts w:ascii="方正书宋_GBK" w:eastAsia="方正书宋_GBK" w:cs="方正书宋_GBK"/>
                <w:color w:val="auto"/>
              </w:rPr>
            </w:pPr>
            <w:r>
              <w:rPr>
                <w:rFonts w:hint="eastAsia" w:ascii="方正书宋_GBK" w:eastAsia="方正书宋_GBK" w:cs="方正书宋_GBK"/>
                <w:color w:val="auto"/>
              </w:rPr>
              <w:t>贯彻落实党中央、国务院关于行政管理体制机构编制管理的政策和省、市地方性法规草案并监督实施。建设服务型政府，着力转变职能、理顺关系、优化结构、提高效能，形成权责一致、分工合理、决策科学、执行顺畅、监督有力的行政管理体制。健全政府职责体系，完善公共服务体系</w:t>
            </w:r>
            <w:r>
              <w:rPr>
                <w:rFonts w:ascii="方正书宋_GBK" w:eastAsia="方正书宋_GBK" w:cs="方正书宋_GBK"/>
                <w:color w:val="auto"/>
              </w:rPr>
              <w:t>.</w:t>
            </w:r>
          </w:p>
        </w:tc>
        <w:tc>
          <w:tcPr>
            <w:tcW w:w="1417" w:type="dxa"/>
            <w:vAlign w:val="center"/>
          </w:tcPr>
          <w:p w14:paraId="6484F0BD">
            <w:pPr>
              <w:spacing w:line="300" w:lineRule="exact"/>
              <w:jc w:val="left"/>
              <w:rPr>
                <w:rFonts w:ascii="方正书宋_GBK" w:eastAsia="方正书宋_GBK" w:cs="方正书宋_GBK"/>
                <w:color w:val="auto"/>
              </w:rPr>
            </w:pPr>
          </w:p>
        </w:tc>
        <w:tc>
          <w:tcPr>
            <w:tcW w:w="737" w:type="dxa"/>
            <w:vAlign w:val="center"/>
          </w:tcPr>
          <w:p w14:paraId="3B6CE646">
            <w:pPr>
              <w:spacing w:line="300" w:lineRule="exact"/>
              <w:jc w:val="center"/>
              <w:rPr>
                <w:rFonts w:ascii="方正书宋_GBK" w:eastAsia="方正书宋_GBK" w:cs="Times New Roman"/>
                <w:color w:val="auto"/>
              </w:rPr>
            </w:pPr>
          </w:p>
        </w:tc>
        <w:tc>
          <w:tcPr>
            <w:tcW w:w="737" w:type="dxa"/>
            <w:vAlign w:val="center"/>
          </w:tcPr>
          <w:p w14:paraId="19E63BAE">
            <w:pPr>
              <w:spacing w:line="300" w:lineRule="exact"/>
              <w:jc w:val="center"/>
              <w:rPr>
                <w:rFonts w:ascii="方正书宋_GBK" w:eastAsia="方正书宋_GBK" w:cs="Times New Roman"/>
                <w:color w:val="auto"/>
              </w:rPr>
            </w:pPr>
          </w:p>
        </w:tc>
        <w:tc>
          <w:tcPr>
            <w:tcW w:w="737" w:type="dxa"/>
            <w:vAlign w:val="center"/>
          </w:tcPr>
          <w:p w14:paraId="0724C92A">
            <w:pPr>
              <w:spacing w:line="300" w:lineRule="exact"/>
              <w:jc w:val="center"/>
              <w:rPr>
                <w:rFonts w:ascii="方正书宋_GBK" w:eastAsia="方正书宋_GBK" w:cs="Times New Roman"/>
                <w:color w:val="auto"/>
              </w:rPr>
            </w:pPr>
          </w:p>
        </w:tc>
        <w:tc>
          <w:tcPr>
            <w:tcW w:w="737" w:type="dxa"/>
            <w:vAlign w:val="center"/>
          </w:tcPr>
          <w:p w14:paraId="02C92ECB">
            <w:pPr>
              <w:spacing w:line="300" w:lineRule="exact"/>
              <w:jc w:val="center"/>
              <w:rPr>
                <w:rFonts w:ascii="方正书宋_GBK" w:eastAsia="方正书宋_GBK" w:cs="Times New Roman"/>
                <w:color w:val="auto"/>
              </w:rPr>
            </w:pPr>
          </w:p>
        </w:tc>
      </w:tr>
      <w:tr w14:paraId="02EC58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Align w:val="center"/>
          </w:tcPr>
          <w:p w14:paraId="6182D8CB">
            <w:pPr>
              <w:spacing w:line="300" w:lineRule="exact"/>
              <w:jc w:val="left"/>
              <w:rPr>
                <w:rFonts w:ascii="方正书宋_GBK" w:eastAsia="方正书宋_GBK" w:cs="Times New Roman"/>
                <w:b/>
                <w:bCs/>
                <w:color w:val="auto"/>
              </w:rPr>
            </w:pPr>
            <w:r>
              <w:rPr>
                <w:rFonts w:hint="eastAsia" w:ascii="方正书宋_GBK" w:eastAsia="方正书宋_GBK" w:cs="方正书宋_GBK"/>
                <w:b/>
                <w:bCs/>
                <w:color w:val="auto"/>
              </w:rPr>
              <w:t>　　</w:t>
            </w:r>
            <w:r>
              <w:rPr>
                <w:rFonts w:ascii="方正书宋_GBK" w:eastAsia="方正书宋_GBK" w:cs="方正书宋_GBK"/>
                <w:b/>
                <w:bCs/>
                <w:color w:val="auto"/>
              </w:rPr>
              <w:t>1</w:t>
            </w:r>
            <w:r>
              <w:rPr>
                <w:rFonts w:hint="eastAsia" w:ascii="方正书宋_GBK" w:eastAsia="方正书宋_GBK" w:cs="方正书宋_GBK"/>
                <w:b/>
                <w:bCs/>
                <w:color w:val="auto"/>
              </w:rPr>
              <w:t>、行政单位管理体制和机构改革</w:t>
            </w:r>
          </w:p>
        </w:tc>
        <w:tc>
          <w:tcPr>
            <w:tcW w:w="1276" w:type="dxa"/>
            <w:vAlign w:val="center"/>
          </w:tcPr>
          <w:p w14:paraId="5B7BE4BB">
            <w:pPr>
              <w:spacing w:line="300" w:lineRule="exact"/>
              <w:jc w:val="left"/>
              <w:rPr>
                <w:rFonts w:ascii="方正书宋_GBK" w:eastAsia="方正书宋_GBK" w:cs="Times New Roman"/>
                <w:color w:val="auto"/>
              </w:rPr>
            </w:pPr>
          </w:p>
        </w:tc>
        <w:tc>
          <w:tcPr>
            <w:tcW w:w="2976" w:type="dxa"/>
            <w:vAlign w:val="center"/>
          </w:tcPr>
          <w:p w14:paraId="508DD380">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拟定县委、县政府机构改革方案；审核管理县委、县政府各部门职能配置、机构设置、人员编制和领导职数；审核各乡镇政府行政管理体制和机构改革方案；审核管理全县各级各类人员编制总额；协调各乡镇、功能园区体制改革和机构改革以及机构编制管理工作。</w:t>
            </w:r>
          </w:p>
        </w:tc>
        <w:tc>
          <w:tcPr>
            <w:tcW w:w="2976" w:type="dxa"/>
            <w:vAlign w:val="center"/>
          </w:tcPr>
          <w:p w14:paraId="42BDCCE4">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推进县政府机构改革</w:t>
            </w:r>
            <w:r>
              <w:rPr>
                <w:rFonts w:ascii="方正书宋_GBK" w:eastAsia="方正书宋_GBK" w:cs="方正书宋_GBK"/>
                <w:color w:val="auto"/>
              </w:rPr>
              <w:t>,</w:t>
            </w:r>
            <w:r>
              <w:rPr>
                <w:rFonts w:hint="eastAsia" w:ascii="方正书宋_GBK" w:eastAsia="方正书宋_GBK" w:cs="方正书宋_GBK"/>
                <w:color w:val="auto"/>
              </w:rPr>
              <w:t>党群政法部门体制改革</w:t>
            </w:r>
            <w:r>
              <w:rPr>
                <w:rFonts w:ascii="方正书宋_GBK" w:eastAsia="方正书宋_GBK" w:cs="方正书宋_GBK"/>
                <w:color w:val="auto"/>
              </w:rPr>
              <w:t>,</w:t>
            </w:r>
            <w:r>
              <w:rPr>
                <w:rFonts w:hint="eastAsia" w:ascii="方正书宋_GBK" w:eastAsia="方正书宋_GBK" w:cs="方正书宋_GBK"/>
                <w:color w:val="auto"/>
              </w:rPr>
              <w:t>乡镇行政体制改革</w:t>
            </w:r>
            <w:r>
              <w:rPr>
                <w:rFonts w:ascii="方正书宋_GBK" w:eastAsia="方正书宋_GBK" w:cs="方正书宋_GBK"/>
                <w:color w:val="auto"/>
              </w:rPr>
              <w:t>,</w:t>
            </w:r>
            <w:r>
              <w:rPr>
                <w:rFonts w:hint="eastAsia" w:ascii="方正书宋_GBK" w:eastAsia="方正书宋_GBK" w:cs="方正书宋_GBK"/>
                <w:color w:val="auto"/>
              </w:rPr>
              <w:t>功能园区管理体制机制改革。</w:t>
            </w:r>
          </w:p>
        </w:tc>
        <w:tc>
          <w:tcPr>
            <w:tcW w:w="1417" w:type="dxa"/>
            <w:vAlign w:val="center"/>
          </w:tcPr>
          <w:p w14:paraId="2B2C0701">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行政改革目标完成率</w:t>
            </w:r>
          </w:p>
        </w:tc>
        <w:tc>
          <w:tcPr>
            <w:tcW w:w="737" w:type="dxa"/>
            <w:vAlign w:val="center"/>
          </w:tcPr>
          <w:p w14:paraId="11F8569F">
            <w:pPr>
              <w:spacing w:line="300" w:lineRule="exact"/>
              <w:jc w:val="center"/>
              <w:rPr>
                <w:rFonts w:ascii="方正书宋_GBK" w:eastAsia="方正书宋_GBK" w:cs="Times New Roman"/>
                <w:color w:val="auto"/>
              </w:rPr>
            </w:pPr>
            <w:r>
              <w:rPr>
                <w:rFonts w:hint="eastAsia" w:ascii="方正书宋_GBK" w:eastAsia="方正书宋_GBK" w:cs="方正书宋_GBK"/>
                <w:color w:val="auto"/>
              </w:rPr>
              <w:t>≥</w:t>
            </w:r>
            <w:r>
              <w:rPr>
                <w:rFonts w:ascii="方正书宋_GBK" w:eastAsia="方正书宋_GBK" w:cs="方正书宋_GBK"/>
                <w:color w:val="auto"/>
              </w:rPr>
              <w:t>100%</w:t>
            </w:r>
          </w:p>
        </w:tc>
        <w:tc>
          <w:tcPr>
            <w:tcW w:w="737" w:type="dxa"/>
            <w:vAlign w:val="center"/>
          </w:tcPr>
          <w:p w14:paraId="07A4B43A">
            <w:pPr>
              <w:spacing w:line="300" w:lineRule="exact"/>
              <w:jc w:val="center"/>
              <w:rPr>
                <w:rFonts w:ascii="方正书宋_GBK" w:eastAsia="方正书宋_GBK" w:cs="Times New Roman"/>
                <w:color w:val="auto"/>
              </w:rPr>
            </w:pPr>
            <w:r>
              <w:rPr>
                <w:rFonts w:hint="eastAsia" w:ascii="方正书宋_GBK" w:eastAsia="方正书宋_GBK" w:cs="方正书宋_GBK"/>
                <w:color w:val="auto"/>
              </w:rPr>
              <w:t>≥</w:t>
            </w:r>
            <w:r>
              <w:rPr>
                <w:rFonts w:ascii="方正书宋_GBK" w:eastAsia="方正书宋_GBK" w:cs="方正书宋_GBK"/>
                <w:color w:val="auto"/>
              </w:rPr>
              <w:t>95%</w:t>
            </w:r>
          </w:p>
        </w:tc>
        <w:tc>
          <w:tcPr>
            <w:tcW w:w="737" w:type="dxa"/>
            <w:vAlign w:val="center"/>
          </w:tcPr>
          <w:p w14:paraId="3A82F8E1">
            <w:pPr>
              <w:spacing w:line="300" w:lineRule="exact"/>
              <w:jc w:val="center"/>
              <w:rPr>
                <w:rFonts w:ascii="方正书宋_GBK" w:eastAsia="方正书宋_GBK" w:cs="Times New Roman"/>
                <w:color w:val="auto"/>
              </w:rPr>
            </w:pPr>
            <w:r>
              <w:rPr>
                <w:rFonts w:hint="eastAsia" w:ascii="方正书宋_GBK" w:eastAsia="方正书宋_GBK" w:cs="方正书宋_GBK"/>
                <w:color w:val="auto"/>
              </w:rPr>
              <w:t>≥</w:t>
            </w:r>
            <w:r>
              <w:rPr>
                <w:rFonts w:ascii="方正书宋_GBK" w:eastAsia="方正书宋_GBK" w:cs="方正书宋_GBK"/>
                <w:color w:val="auto"/>
              </w:rPr>
              <w:t>90%</w:t>
            </w:r>
          </w:p>
        </w:tc>
        <w:tc>
          <w:tcPr>
            <w:tcW w:w="737" w:type="dxa"/>
            <w:vAlign w:val="center"/>
          </w:tcPr>
          <w:p w14:paraId="67254DDC">
            <w:pPr>
              <w:spacing w:line="300" w:lineRule="exact"/>
              <w:jc w:val="center"/>
              <w:rPr>
                <w:rFonts w:ascii="方正书宋_GBK" w:eastAsia="方正书宋_GBK" w:cs="Times New Roman"/>
                <w:color w:val="auto"/>
              </w:rPr>
            </w:pPr>
            <w:r>
              <w:rPr>
                <w:rFonts w:ascii="方正书宋_GBK" w:eastAsia="方正书宋_GBK" w:cs="方正书宋_GBK"/>
                <w:color w:val="auto"/>
              </w:rPr>
              <w:t>&lt;90%</w:t>
            </w:r>
          </w:p>
        </w:tc>
      </w:tr>
      <w:tr w14:paraId="4F9DB4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Align w:val="center"/>
          </w:tcPr>
          <w:p w14:paraId="4EFBB111">
            <w:pPr>
              <w:spacing w:line="300" w:lineRule="exact"/>
              <w:jc w:val="left"/>
              <w:rPr>
                <w:rFonts w:ascii="方正书宋_GBK" w:eastAsia="方正书宋_GBK" w:cs="Times New Roman"/>
                <w:b/>
                <w:bCs/>
                <w:color w:val="auto"/>
              </w:rPr>
            </w:pPr>
            <w:r>
              <w:rPr>
                <w:rFonts w:hint="eastAsia" w:ascii="方正书宋_GBK" w:eastAsia="方正书宋_GBK" w:cs="方正书宋_GBK"/>
                <w:b/>
                <w:bCs/>
                <w:color w:val="auto"/>
              </w:rPr>
              <w:t>　　</w:t>
            </w:r>
            <w:r>
              <w:rPr>
                <w:rFonts w:ascii="方正书宋_GBK" w:eastAsia="方正书宋_GBK" w:cs="方正书宋_GBK"/>
                <w:b/>
                <w:bCs/>
                <w:color w:val="auto"/>
              </w:rPr>
              <w:t>2</w:t>
            </w:r>
            <w:r>
              <w:rPr>
                <w:rFonts w:hint="eastAsia" w:ascii="方正书宋_GBK" w:eastAsia="方正书宋_GBK" w:cs="方正书宋_GBK"/>
                <w:b/>
                <w:bCs/>
                <w:color w:val="auto"/>
              </w:rPr>
              <w:t>、事业单位管理体制和机构改革</w:t>
            </w:r>
          </w:p>
        </w:tc>
        <w:tc>
          <w:tcPr>
            <w:tcW w:w="1276" w:type="dxa"/>
            <w:vAlign w:val="center"/>
          </w:tcPr>
          <w:p w14:paraId="4C2FF096">
            <w:pPr>
              <w:spacing w:line="300" w:lineRule="exact"/>
              <w:jc w:val="left"/>
              <w:rPr>
                <w:rFonts w:ascii="方正书宋_GBK" w:eastAsia="方正书宋_GBK" w:cs="方正书宋_GBK"/>
                <w:color w:val="auto"/>
              </w:rPr>
            </w:pPr>
            <w:r>
              <w:rPr>
                <w:rFonts w:ascii="方正书宋_GBK" w:eastAsia="方正书宋_GBK" w:cs="方正书宋_GBK"/>
                <w:color w:val="auto"/>
              </w:rPr>
              <w:t>1.92</w:t>
            </w:r>
          </w:p>
        </w:tc>
        <w:tc>
          <w:tcPr>
            <w:tcW w:w="2976" w:type="dxa"/>
            <w:vAlign w:val="center"/>
          </w:tcPr>
          <w:p w14:paraId="7E2CC3DE">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做好事业单位分类工作；做好各部门所属事业单位分类改革工作；规范事业单位台账管理。</w:t>
            </w:r>
          </w:p>
        </w:tc>
        <w:tc>
          <w:tcPr>
            <w:tcW w:w="2976" w:type="dxa"/>
            <w:vAlign w:val="center"/>
          </w:tcPr>
          <w:p w14:paraId="41A82D38">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扎实推进事业单位分类改革</w:t>
            </w:r>
            <w:r>
              <w:rPr>
                <w:rFonts w:ascii="方正书宋_GBK" w:eastAsia="方正书宋_GBK" w:cs="方正书宋_GBK"/>
                <w:color w:val="auto"/>
              </w:rPr>
              <w:t>,</w:t>
            </w:r>
            <w:r>
              <w:rPr>
                <w:rFonts w:hint="eastAsia" w:ascii="方正书宋_GBK" w:eastAsia="方正书宋_GBK" w:cs="方正书宋_GBK"/>
                <w:color w:val="auto"/>
              </w:rPr>
              <w:t>扎实推进事业单位法人治理结构试点工作。</w:t>
            </w:r>
          </w:p>
        </w:tc>
        <w:tc>
          <w:tcPr>
            <w:tcW w:w="1417" w:type="dxa"/>
            <w:vAlign w:val="center"/>
          </w:tcPr>
          <w:p w14:paraId="4F8E0294">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事业改革目标完成率</w:t>
            </w:r>
          </w:p>
        </w:tc>
        <w:tc>
          <w:tcPr>
            <w:tcW w:w="737" w:type="dxa"/>
            <w:vAlign w:val="center"/>
          </w:tcPr>
          <w:p w14:paraId="6F0734A1">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100%</w:t>
            </w:r>
          </w:p>
        </w:tc>
        <w:tc>
          <w:tcPr>
            <w:tcW w:w="737" w:type="dxa"/>
            <w:vAlign w:val="center"/>
          </w:tcPr>
          <w:p w14:paraId="3C199CBC">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95%</w:t>
            </w:r>
          </w:p>
        </w:tc>
        <w:tc>
          <w:tcPr>
            <w:tcW w:w="737" w:type="dxa"/>
            <w:vAlign w:val="center"/>
          </w:tcPr>
          <w:p w14:paraId="2FDDFE33">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90%</w:t>
            </w:r>
          </w:p>
        </w:tc>
        <w:tc>
          <w:tcPr>
            <w:tcW w:w="737" w:type="dxa"/>
            <w:vAlign w:val="center"/>
          </w:tcPr>
          <w:p w14:paraId="198D60E2">
            <w:pPr>
              <w:spacing w:line="300" w:lineRule="exact"/>
              <w:jc w:val="center"/>
              <w:rPr>
                <w:rFonts w:ascii="方正书宋_GBK" w:eastAsia="方正书宋_GBK" w:cs="方正书宋_GBK"/>
                <w:color w:val="auto"/>
              </w:rPr>
            </w:pPr>
            <w:r>
              <w:rPr>
                <w:rFonts w:ascii="方正书宋_GBK" w:eastAsia="方正书宋_GBK" w:cs="方正书宋_GBK"/>
                <w:color w:val="auto"/>
              </w:rPr>
              <w:t>&lt;90%</w:t>
            </w:r>
          </w:p>
        </w:tc>
      </w:tr>
      <w:tr w14:paraId="769B56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Align w:val="center"/>
          </w:tcPr>
          <w:p w14:paraId="1086CBFF">
            <w:pPr>
              <w:spacing w:line="300" w:lineRule="exact"/>
              <w:jc w:val="left"/>
              <w:rPr>
                <w:rFonts w:ascii="方正书宋_GBK" w:eastAsia="方正书宋_GBK" w:cs="Times New Roman"/>
                <w:b/>
                <w:bCs/>
                <w:color w:val="auto"/>
              </w:rPr>
            </w:pPr>
            <w:r>
              <w:rPr>
                <w:rFonts w:hint="eastAsia" w:ascii="方正书宋_GBK" w:eastAsia="方正书宋_GBK" w:cs="方正书宋_GBK"/>
                <w:b/>
                <w:bCs/>
                <w:color w:val="auto"/>
              </w:rPr>
              <w:t>二、机构编制管理</w:t>
            </w:r>
          </w:p>
        </w:tc>
        <w:tc>
          <w:tcPr>
            <w:tcW w:w="1276" w:type="dxa"/>
            <w:vAlign w:val="center"/>
          </w:tcPr>
          <w:p w14:paraId="278BD970">
            <w:pPr>
              <w:spacing w:line="300" w:lineRule="exact"/>
              <w:jc w:val="left"/>
              <w:rPr>
                <w:rFonts w:ascii="方正书宋_GBK" w:eastAsia="方正书宋_GBK" w:cs="方正书宋_GBK"/>
                <w:color w:val="auto"/>
              </w:rPr>
            </w:pPr>
            <w:r>
              <w:rPr>
                <w:rFonts w:ascii="方正书宋_GBK" w:eastAsia="方正书宋_GBK" w:cs="方正书宋_GBK"/>
                <w:color w:val="auto"/>
              </w:rPr>
              <w:t>2.59</w:t>
            </w:r>
          </w:p>
        </w:tc>
        <w:tc>
          <w:tcPr>
            <w:tcW w:w="2976" w:type="dxa"/>
            <w:vAlign w:val="center"/>
          </w:tcPr>
          <w:p w14:paraId="39A073D4">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审核或审批县委、县政府，人大、政协、法院、检察院机关，人民团体机关的机构编制管理事宜；负责全县事业单位法人登记管理和监督检查工作。</w:t>
            </w:r>
          </w:p>
        </w:tc>
        <w:tc>
          <w:tcPr>
            <w:tcW w:w="2976" w:type="dxa"/>
            <w:vAlign w:val="center"/>
          </w:tcPr>
          <w:p w14:paraId="6B27F477">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审核或审批县委、县政府、人大、政协、法院、检察院机关，人民团体机关的机构编制管理事宜；负责全县事业单位法人登记管理和监督检查工作。</w:t>
            </w:r>
          </w:p>
        </w:tc>
        <w:tc>
          <w:tcPr>
            <w:tcW w:w="1417" w:type="dxa"/>
            <w:vAlign w:val="center"/>
          </w:tcPr>
          <w:p w14:paraId="7655CAC7">
            <w:pPr>
              <w:spacing w:line="300" w:lineRule="exact"/>
              <w:jc w:val="left"/>
              <w:rPr>
                <w:rFonts w:ascii="方正书宋_GBK" w:eastAsia="方正书宋_GBK" w:cs="Times New Roman"/>
                <w:color w:val="auto"/>
              </w:rPr>
            </w:pPr>
          </w:p>
        </w:tc>
        <w:tc>
          <w:tcPr>
            <w:tcW w:w="737" w:type="dxa"/>
            <w:vAlign w:val="center"/>
          </w:tcPr>
          <w:p w14:paraId="6AE545F3">
            <w:pPr>
              <w:spacing w:line="300" w:lineRule="exact"/>
              <w:jc w:val="center"/>
              <w:rPr>
                <w:rFonts w:ascii="方正书宋_GBK" w:eastAsia="方正书宋_GBK" w:cs="Times New Roman"/>
                <w:color w:val="auto"/>
              </w:rPr>
            </w:pPr>
          </w:p>
        </w:tc>
        <w:tc>
          <w:tcPr>
            <w:tcW w:w="737" w:type="dxa"/>
            <w:vAlign w:val="center"/>
          </w:tcPr>
          <w:p w14:paraId="2DE18B7A">
            <w:pPr>
              <w:spacing w:line="300" w:lineRule="exact"/>
              <w:jc w:val="center"/>
              <w:rPr>
                <w:rFonts w:ascii="方正书宋_GBK" w:eastAsia="方正书宋_GBK" w:cs="Times New Roman"/>
                <w:color w:val="auto"/>
              </w:rPr>
            </w:pPr>
          </w:p>
        </w:tc>
        <w:tc>
          <w:tcPr>
            <w:tcW w:w="737" w:type="dxa"/>
            <w:vAlign w:val="center"/>
          </w:tcPr>
          <w:p w14:paraId="30EDB738">
            <w:pPr>
              <w:spacing w:line="300" w:lineRule="exact"/>
              <w:jc w:val="center"/>
              <w:rPr>
                <w:rFonts w:ascii="方正书宋_GBK" w:eastAsia="方正书宋_GBK" w:cs="Times New Roman"/>
                <w:color w:val="auto"/>
              </w:rPr>
            </w:pPr>
          </w:p>
        </w:tc>
        <w:tc>
          <w:tcPr>
            <w:tcW w:w="737" w:type="dxa"/>
            <w:vAlign w:val="center"/>
          </w:tcPr>
          <w:p w14:paraId="50CD8B08">
            <w:pPr>
              <w:spacing w:line="300" w:lineRule="exact"/>
              <w:jc w:val="center"/>
              <w:rPr>
                <w:rFonts w:ascii="方正书宋_GBK" w:eastAsia="方正书宋_GBK" w:cs="Times New Roman"/>
                <w:color w:val="auto"/>
              </w:rPr>
            </w:pPr>
          </w:p>
        </w:tc>
      </w:tr>
      <w:tr w14:paraId="256267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Align w:val="center"/>
          </w:tcPr>
          <w:p w14:paraId="1EC85ACB">
            <w:pPr>
              <w:spacing w:line="300" w:lineRule="exact"/>
              <w:jc w:val="left"/>
              <w:rPr>
                <w:rFonts w:ascii="方正书宋_GBK" w:eastAsia="方正书宋_GBK" w:cs="Times New Roman"/>
                <w:b/>
                <w:bCs/>
                <w:color w:val="auto"/>
              </w:rPr>
            </w:pPr>
            <w:r>
              <w:rPr>
                <w:rFonts w:hint="eastAsia" w:ascii="方正书宋_GBK" w:eastAsia="方正书宋_GBK" w:cs="方正书宋_GBK"/>
                <w:b/>
                <w:bCs/>
                <w:color w:val="auto"/>
              </w:rPr>
              <w:t>　　</w:t>
            </w:r>
            <w:r>
              <w:rPr>
                <w:rFonts w:ascii="方正书宋_GBK" w:eastAsia="方正书宋_GBK" w:cs="方正书宋_GBK"/>
                <w:b/>
                <w:bCs/>
                <w:color w:val="auto"/>
              </w:rPr>
              <w:t>1</w:t>
            </w:r>
            <w:r>
              <w:rPr>
                <w:rFonts w:hint="eastAsia" w:ascii="方正书宋_GBK" w:eastAsia="方正书宋_GBK" w:cs="方正书宋_GBK"/>
                <w:b/>
                <w:bCs/>
                <w:color w:val="auto"/>
              </w:rPr>
              <w:t>、机构编制监管</w:t>
            </w:r>
          </w:p>
        </w:tc>
        <w:tc>
          <w:tcPr>
            <w:tcW w:w="1276" w:type="dxa"/>
            <w:vAlign w:val="center"/>
          </w:tcPr>
          <w:p w14:paraId="07CDD283">
            <w:pPr>
              <w:spacing w:line="300" w:lineRule="exact"/>
              <w:jc w:val="left"/>
              <w:rPr>
                <w:rFonts w:ascii="方正书宋_GBK" w:eastAsia="方正书宋_GBK" w:cs="方正书宋_GBK"/>
                <w:color w:val="auto"/>
              </w:rPr>
            </w:pPr>
            <w:r>
              <w:rPr>
                <w:rFonts w:ascii="方正书宋_GBK" w:eastAsia="方正书宋_GBK" w:cs="方正书宋_GBK"/>
                <w:color w:val="auto"/>
              </w:rPr>
              <w:t>2.59</w:t>
            </w:r>
          </w:p>
        </w:tc>
        <w:tc>
          <w:tcPr>
            <w:tcW w:w="2976" w:type="dxa"/>
            <w:vAlign w:val="center"/>
          </w:tcPr>
          <w:p w14:paraId="446EE306">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开展机构编制实名制及人员编制使用情况核准，机构编制执行情况跟踪评估和监督检查工作；指导全县党政群机关、事业单位和其他非营利性单位网上名称管理工作。</w:t>
            </w:r>
          </w:p>
        </w:tc>
        <w:tc>
          <w:tcPr>
            <w:tcW w:w="2976" w:type="dxa"/>
            <w:vAlign w:val="center"/>
          </w:tcPr>
          <w:p w14:paraId="72DA4E85">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全面推行实名制管理和编制使用核准。</w:t>
            </w:r>
          </w:p>
        </w:tc>
        <w:tc>
          <w:tcPr>
            <w:tcW w:w="1417" w:type="dxa"/>
            <w:vAlign w:val="center"/>
          </w:tcPr>
          <w:p w14:paraId="30C6E821">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实名制管理推行率</w:t>
            </w:r>
          </w:p>
        </w:tc>
        <w:tc>
          <w:tcPr>
            <w:tcW w:w="737" w:type="dxa"/>
            <w:vAlign w:val="center"/>
          </w:tcPr>
          <w:p w14:paraId="506E9390">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100%</w:t>
            </w:r>
          </w:p>
        </w:tc>
        <w:tc>
          <w:tcPr>
            <w:tcW w:w="737" w:type="dxa"/>
            <w:vAlign w:val="center"/>
          </w:tcPr>
          <w:p w14:paraId="6048A2B4">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95%</w:t>
            </w:r>
          </w:p>
        </w:tc>
        <w:tc>
          <w:tcPr>
            <w:tcW w:w="737" w:type="dxa"/>
            <w:vAlign w:val="center"/>
          </w:tcPr>
          <w:p w14:paraId="40BA7702">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90%</w:t>
            </w:r>
          </w:p>
        </w:tc>
        <w:tc>
          <w:tcPr>
            <w:tcW w:w="737" w:type="dxa"/>
            <w:vAlign w:val="center"/>
          </w:tcPr>
          <w:p w14:paraId="7E527642">
            <w:pPr>
              <w:spacing w:line="300" w:lineRule="exact"/>
              <w:jc w:val="center"/>
              <w:rPr>
                <w:rFonts w:ascii="方正书宋_GBK" w:eastAsia="方正书宋_GBK" w:cs="方正书宋_GBK"/>
                <w:color w:val="auto"/>
              </w:rPr>
            </w:pPr>
            <w:r>
              <w:rPr>
                <w:rFonts w:ascii="方正书宋_GBK" w:eastAsia="方正书宋_GBK" w:cs="方正书宋_GBK"/>
                <w:color w:val="auto"/>
              </w:rPr>
              <w:t>&lt;90%</w:t>
            </w:r>
          </w:p>
        </w:tc>
      </w:tr>
      <w:tr w14:paraId="335578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Align w:val="center"/>
          </w:tcPr>
          <w:p w14:paraId="392B4DD2">
            <w:pPr>
              <w:spacing w:line="300" w:lineRule="exact"/>
              <w:jc w:val="left"/>
              <w:rPr>
                <w:rFonts w:ascii="方正书宋_GBK" w:eastAsia="方正书宋_GBK" w:cs="Times New Roman"/>
                <w:b/>
                <w:bCs/>
                <w:color w:val="auto"/>
              </w:rPr>
            </w:pPr>
            <w:r>
              <w:rPr>
                <w:rFonts w:hint="eastAsia" w:ascii="方正书宋_GBK" w:eastAsia="方正书宋_GBK" w:cs="方正书宋_GBK"/>
                <w:b/>
                <w:bCs/>
                <w:color w:val="auto"/>
              </w:rPr>
              <w:t>　　</w:t>
            </w:r>
            <w:r>
              <w:rPr>
                <w:rFonts w:ascii="方正书宋_GBK" w:eastAsia="方正书宋_GBK" w:cs="方正书宋_GBK"/>
                <w:b/>
                <w:bCs/>
                <w:color w:val="auto"/>
              </w:rPr>
              <w:t>2</w:t>
            </w:r>
            <w:r>
              <w:rPr>
                <w:rFonts w:hint="eastAsia" w:ascii="方正书宋_GBK" w:eastAsia="方正书宋_GBK" w:cs="方正书宋_GBK"/>
                <w:b/>
                <w:bCs/>
                <w:color w:val="auto"/>
              </w:rPr>
              <w:t>、机构编制标准化管理</w:t>
            </w:r>
          </w:p>
        </w:tc>
        <w:tc>
          <w:tcPr>
            <w:tcW w:w="1276" w:type="dxa"/>
            <w:vAlign w:val="center"/>
          </w:tcPr>
          <w:p w14:paraId="1CDD2095">
            <w:pPr>
              <w:spacing w:line="300" w:lineRule="exact"/>
              <w:jc w:val="left"/>
              <w:rPr>
                <w:rFonts w:ascii="方正书宋_GBK" w:eastAsia="方正书宋_GBK" w:cs="Times New Roman"/>
                <w:color w:val="auto"/>
              </w:rPr>
            </w:pPr>
          </w:p>
        </w:tc>
        <w:tc>
          <w:tcPr>
            <w:tcW w:w="2976" w:type="dxa"/>
            <w:vAlign w:val="center"/>
          </w:tcPr>
          <w:p w14:paraId="5650AC8E">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完成全县</w:t>
            </w:r>
            <w:r>
              <w:rPr>
                <w:rFonts w:ascii="方正书宋_GBK" w:eastAsia="方正书宋_GBK" w:cs="方正书宋_GBK"/>
                <w:color w:val="auto"/>
              </w:rPr>
              <w:t>2017</w:t>
            </w:r>
            <w:r>
              <w:rPr>
                <w:rFonts w:hint="eastAsia" w:ascii="方正书宋_GBK" w:eastAsia="方正书宋_GBK" w:cs="方正书宋_GBK"/>
                <w:color w:val="auto"/>
              </w:rPr>
              <w:t>年度机构编制统计上报工作。</w:t>
            </w:r>
          </w:p>
        </w:tc>
        <w:tc>
          <w:tcPr>
            <w:tcW w:w="2976" w:type="dxa"/>
            <w:vAlign w:val="center"/>
          </w:tcPr>
          <w:p w14:paraId="321F1D18">
            <w:pPr>
              <w:spacing w:line="300" w:lineRule="exact"/>
              <w:jc w:val="left"/>
              <w:rPr>
                <w:rFonts w:hint="eastAsia" w:ascii="方正书宋_GBK" w:eastAsia="方正书宋_GBK" w:cs="Times New Roman"/>
                <w:color w:val="auto"/>
                <w:lang w:eastAsia="zh-CN"/>
              </w:rPr>
            </w:pPr>
            <w:r>
              <w:rPr>
                <w:rFonts w:hint="eastAsia" w:ascii="方正书宋_GBK" w:eastAsia="方正书宋_GBK" w:cs="方正书宋_GBK"/>
                <w:color w:val="auto"/>
              </w:rPr>
              <w:t>加强机构编制标准化管理，确保完成全县</w:t>
            </w:r>
            <w:r>
              <w:rPr>
                <w:rFonts w:ascii="方正书宋_GBK" w:eastAsia="方正书宋_GBK" w:cs="方正书宋_GBK"/>
                <w:color w:val="auto"/>
              </w:rPr>
              <w:t>2017</w:t>
            </w:r>
            <w:r>
              <w:rPr>
                <w:rFonts w:hint="eastAsia" w:ascii="方正书宋_GBK" w:eastAsia="方正书宋_GBK" w:cs="方正书宋_GBK"/>
                <w:color w:val="auto"/>
              </w:rPr>
              <w:t>年度机构编制统计上报工作</w:t>
            </w:r>
            <w:r>
              <w:rPr>
                <w:rFonts w:hint="eastAsia" w:ascii="方正书宋_GBK" w:eastAsia="方正书宋_GBK" w:cs="方正书宋_GBK"/>
                <w:color w:val="auto"/>
                <w:lang w:eastAsia="zh-CN"/>
              </w:rPr>
              <w:t>。</w:t>
            </w:r>
          </w:p>
        </w:tc>
        <w:tc>
          <w:tcPr>
            <w:tcW w:w="1417" w:type="dxa"/>
            <w:vAlign w:val="center"/>
          </w:tcPr>
          <w:p w14:paraId="4CB0910F">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统计上报工作完成率</w:t>
            </w:r>
          </w:p>
        </w:tc>
        <w:tc>
          <w:tcPr>
            <w:tcW w:w="737" w:type="dxa"/>
            <w:vAlign w:val="center"/>
          </w:tcPr>
          <w:p w14:paraId="00711B7B">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100%</w:t>
            </w:r>
          </w:p>
        </w:tc>
        <w:tc>
          <w:tcPr>
            <w:tcW w:w="737" w:type="dxa"/>
            <w:vAlign w:val="center"/>
          </w:tcPr>
          <w:p w14:paraId="7EF86B50">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95%</w:t>
            </w:r>
          </w:p>
        </w:tc>
        <w:tc>
          <w:tcPr>
            <w:tcW w:w="737" w:type="dxa"/>
            <w:vAlign w:val="center"/>
          </w:tcPr>
          <w:p w14:paraId="1BB81BBB">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90%</w:t>
            </w:r>
          </w:p>
        </w:tc>
        <w:tc>
          <w:tcPr>
            <w:tcW w:w="737" w:type="dxa"/>
            <w:vAlign w:val="center"/>
          </w:tcPr>
          <w:p w14:paraId="13EA33C4">
            <w:pPr>
              <w:spacing w:line="300" w:lineRule="exact"/>
              <w:jc w:val="center"/>
              <w:rPr>
                <w:rFonts w:ascii="方正书宋_GBK" w:eastAsia="方正书宋_GBK" w:cs="方正书宋_GBK"/>
                <w:color w:val="auto"/>
              </w:rPr>
            </w:pPr>
            <w:r>
              <w:rPr>
                <w:rFonts w:ascii="方正书宋_GBK" w:eastAsia="方正书宋_GBK" w:cs="方正书宋_GBK"/>
                <w:color w:val="auto"/>
              </w:rPr>
              <w:t>&lt;90%</w:t>
            </w:r>
          </w:p>
        </w:tc>
      </w:tr>
      <w:tr w14:paraId="70FC39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Align w:val="center"/>
          </w:tcPr>
          <w:p w14:paraId="5F4A5E7A">
            <w:pPr>
              <w:spacing w:line="300" w:lineRule="exact"/>
              <w:jc w:val="left"/>
              <w:rPr>
                <w:rFonts w:ascii="方正书宋_GBK" w:eastAsia="方正书宋_GBK" w:cs="Times New Roman"/>
                <w:b/>
                <w:bCs/>
                <w:color w:val="auto"/>
              </w:rPr>
            </w:pPr>
            <w:r>
              <w:rPr>
                <w:rFonts w:hint="eastAsia" w:ascii="方正书宋_GBK" w:eastAsia="方正书宋_GBK" w:cs="方正书宋_GBK"/>
                <w:b/>
                <w:bCs/>
                <w:color w:val="auto"/>
              </w:rPr>
              <w:t>　　</w:t>
            </w:r>
            <w:r>
              <w:rPr>
                <w:rFonts w:ascii="方正书宋_GBK" w:eastAsia="方正书宋_GBK" w:cs="方正书宋_GBK"/>
                <w:b/>
                <w:bCs/>
                <w:color w:val="auto"/>
              </w:rPr>
              <w:t>3</w:t>
            </w:r>
            <w:r>
              <w:rPr>
                <w:rFonts w:hint="eastAsia" w:ascii="方正书宋_GBK" w:eastAsia="方正书宋_GBK" w:cs="方正书宋_GBK"/>
                <w:b/>
                <w:bCs/>
                <w:color w:val="auto"/>
              </w:rPr>
              <w:t>、事业单位法人登记管理</w:t>
            </w:r>
          </w:p>
        </w:tc>
        <w:tc>
          <w:tcPr>
            <w:tcW w:w="1276" w:type="dxa"/>
            <w:vAlign w:val="center"/>
          </w:tcPr>
          <w:p w14:paraId="52E2F3C4">
            <w:pPr>
              <w:spacing w:line="300" w:lineRule="exact"/>
              <w:jc w:val="left"/>
              <w:rPr>
                <w:rFonts w:ascii="方正书宋_GBK" w:eastAsia="方正书宋_GBK" w:cs="Times New Roman"/>
                <w:color w:val="auto"/>
              </w:rPr>
            </w:pPr>
          </w:p>
        </w:tc>
        <w:tc>
          <w:tcPr>
            <w:tcW w:w="2976" w:type="dxa"/>
            <w:vAlign w:val="center"/>
          </w:tcPr>
          <w:p w14:paraId="15777AC0">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负责全县事业单位法人登记管理和监督检查工作。</w:t>
            </w:r>
          </w:p>
        </w:tc>
        <w:tc>
          <w:tcPr>
            <w:tcW w:w="2976" w:type="dxa"/>
            <w:vAlign w:val="center"/>
          </w:tcPr>
          <w:p w14:paraId="5232F7EE">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加强完善事业单位登记管理工作。</w:t>
            </w:r>
          </w:p>
        </w:tc>
        <w:tc>
          <w:tcPr>
            <w:tcW w:w="1417" w:type="dxa"/>
            <w:vAlign w:val="center"/>
          </w:tcPr>
          <w:p w14:paraId="75ADA3E1">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事业单位登记管理率</w:t>
            </w:r>
          </w:p>
        </w:tc>
        <w:tc>
          <w:tcPr>
            <w:tcW w:w="737" w:type="dxa"/>
            <w:vAlign w:val="center"/>
          </w:tcPr>
          <w:p w14:paraId="26738B59">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100%</w:t>
            </w:r>
          </w:p>
        </w:tc>
        <w:tc>
          <w:tcPr>
            <w:tcW w:w="737" w:type="dxa"/>
            <w:vAlign w:val="center"/>
          </w:tcPr>
          <w:p w14:paraId="5DF3C1C6">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95%</w:t>
            </w:r>
          </w:p>
        </w:tc>
        <w:tc>
          <w:tcPr>
            <w:tcW w:w="737" w:type="dxa"/>
            <w:vAlign w:val="center"/>
          </w:tcPr>
          <w:p w14:paraId="7FC9EC44">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90%</w:t>
            </w:r>
          </w:p>
        </w:tc>
        <w:tc>
          <w:tcPr>
            <w:tcW w:w="737" w:type="dxa"/>
            <w:vAlign w:val="center"/>
          </w:tcPr>
          <w:p w14:paraId="7F8EAD7D">
            <w:pPr>
              <w:spacing w:line="300" w:lineRule="exact"/>
              <w:jc w:val="center"/>
              <w:rPr>
                <w:rFonts w:ascii="方正书宋_GBK" w:eastAsia="方正书宋_GBK" w:cs="方正书宋_GBK"/>
                <w:color w:val="auto"/>
              </w:rPr>
            </w:pPr>
            <w:r>
              <w:rPr>
                <w:rFonts w:ascii="方正书宋_GBK" w:eastAsia="方正书宋_GBK" w:cs="方正书宋_GBK"/>
                <w:color w:val="auto"/>
              </w:rPr>
              <w:t>&lt;90%</w:t>
            </w:r>
          </w:p>
        </w:tc>
      </w:tr>
      <w:tr w14:paraId="5984DC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Align w:val="center"/>
          </w:tcPr>
          <w:p w14:paraId="45EDDD67">
            <w:pPr>
              <w:spacing w:line="300" w:lineRule="exact"/>
              <w:jc w:val="left"/>
              <w:rPr>
                <w:rFonts w:ascii="方正书宋_GBK" w:eastAsia="方正书宋_GBK" w:cs="Times New Roman"/>
                <w:b/>
                <w:bCs/>
                <w:color w:val="auto"/>
              </w:rPr>
            </w:pPr>
            <w:r>
              <w:rPr>
                <w:rFonts w:hint="eastAsia" w:ascii="方正书宋_GBK" w:eastAsia="方正书宋_GBK" w:cs="方正书宋_GBK"/>
                <w:b/>
                <w:bCs/>
                <w:color w:val="auto"/>
              </w:rPr>
              <w:t>三、促进政府职能转变</w:t>
            </w:r>
          </w:p>
        </w:tc>
        <w:tc>
          <w:tcPr>
            <w:tcW w:w="1276" w:type="dxa"/>
            <w:vAlign w:val="center"/>
          </w:tcPr>
          <w:p w14:paraId="7420D87B">
            <w:pPr>
              <w:spacing w:line="300" w:lineRule="exact"/>
              <w:jc w:val="left"/>
              <w:rPr>
                <w:rFonts w:ascii="方正书宋_GBK" w:eastAsia="方正书宋_GBK" w:cs="方正书宋_GBK"/>
                <w:color w:val="auto"/>
              </w:rPr>
            </w:pPr>
            <w:r>
              <w:rPr>
                <w:rFonts w:ascii="方正书宋_GBK" w:eastAsia="方正书宋_GBK" w:cs="方正书宋_GBK"/>
                <w:color w:val="auto"/>
              </w:rPr>
              <w:t>2.75</w:t>
            </w:r>
          </w:p>
        </w:tc>
        <w:tc>
          <w:tcPr>
            <w:tcW w:w="2976" w:type="dxa"/>
            <w:vAlign w:val="center"/>
          </w:tcPr>
          <w:p w14:paraId="5E596218">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强化社会管理和公共服务。加快推进政企分开、政资分开、政事分开、政府与市场中介组织分开，规范行政行为，加强行政执法部门建设，减少和规范行政审批，减少政府对微观经济运行的干预。</w:t>
            </w:r>
          </w:p>
        </w:tc>
        <w:tc>
          <w:tcPr>
            <w:tcW w:w="2976" w:type="dxa"/>
            <w:vAlign w:val="center"/>
          </w:tcPr>
          <w:p w14:paraId="27BDC2C0">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强化社会管理和公共服务。加快推进政企分开、政资分开、政事分开、政府与市场中介组织分开，规范行政行为，加强行政执法部门建设，减少和规范行政审批，减少政府对微观经济运行的干预。</w:t>
            </w:r>
          </w:p>
        </w:tc>
        <w:tc>
          <w:tcPr>
            <w:tcW w:w="1417" w:type="dxa"/>
            <w:vAlign w:val="center"/>
          </w:tcPr>
          <w:p w14:paraId="1E1DF2BB">
            <w:pPr>
              <w:spacing w:line="300" w:lineRule="exact"/>
              <w:jc w:val="left"/>
              <w:rPr>
                <w:rFonts w:ascii="方正书宋_GBK" w:eastAsia="方正书宋_GBK" w:cs="Times New Roman"/>
                <w:color w:val="auto"/>
              </w:rPr>
            </w:pPr>
          </w:p>
        </w:tc>
        <w:tc>
          <w:tcPr>
            <w:tcW w:w="737" w:type="dxa"/>
            <w:vAlign w:val="center"/>
          </w:tcPr>
          <w:p w14:paraId="600052C5">
            <w:pPr>
              <w:spacing w:line="300" w:lineRule="exact"/>
              <w:jc w:val="center"/>
              <w:rPr>
                <w:rFonts w:ascii="方正书宋_GBK" w:eastAsia="方正书宋_GBK" w:cs="Times New Roman"/>
                <w:color w:val="auto"/>
              </w:rPr>
            </w:pPr>
          </w:p>
        </w:tc>
        <w:tc>
          <w:tcPr>
            <w:tcW w:w="737" w:type="dxa"/>
            <w:vAlign w:val="center"/>
          </w:tcPr>
          <w:p w14:paraId="2CF5232C">
            <w:pPr>
              <w:spacing w:line="300" w:lineRule="exact"/>
              <w:jc w:val="center"/>
              <w:rPr>
                <w:rFonts w:ascii="方正书宋_GBK" w:eastAsia="方正书宋_GBK" w:cs="Times New Roman"/>
                <w:color w:val="auto"/>
              </w:rPr>
            </w:pPr>
          </w:p>
        </w:tc>
        <w:tc>
          <w:tcPr>
            <w:tcW w:w="737" w:type="dxa"/>
            <w:vAlign w:val="center"/>
          </w:tcPr>
          <w:p w14:paraId="77487439">
            <w:pPr>
              <w:spacing w:line="300" w:lineRule="exact"/>
              <w:jc w:val="center"/>
              <w:rPr>
                <w:rFonts w:ascii="方正书宋_GBK" w:eastAsia="方正书宋_GBK" w:cs="Times New Roman"/>
                <w:color w:val="auto"/>
              </w:rPr>
            </w:pPr>
          </w:p>
        </w:tc>
        <w:tc>
          <w:tcPr>
            <w:tcW w:w="737" w:type="dxa"/>
            <w:vAlign w:val="center"/>
          </w:tcPr>
          <w:p w14:paraId="57881CB1">
            <w:pPr>
              <w:spacing w:line="300" w:lineRule="exact"/>
              <w:jc w:val="center"/>
              <w:rPr>
                <w:rFonts w:ascii="方正书宋_GBK" w:eastAsia="方正书宋_GBK" w:cs="Times New Roman"/>
                <w:color w:val="auto"/>
              </w:rPr>
            </w:pPr>
          </w:p>
        </w:tc>
      </w:tr>
      <w:tr w14:paraId="5442F0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Align w:val="center"/>
          </w:tcPr>
          <w:p w14:paraId="7816944C">
            <w:pPr>
              <w:spacing w:line="300" w:lineRule="exact"/>
              <w:jc w:val="left"/>
              <w:rPr>
                <w:rFonts w:ascii="方正书宋_GBK" w:eastAsia="方正书宋_GBK" w:cs="Times New Roman"/>
                <w:b/>
                <w:bCs/>
                <w:color w:val="auto"/>
              </w:rPr>
            </w:pPr>
            <w:r>
              <w:rPr>
                <w:rFonts w:hint="eastAsia" w:ascii="方正书宋_GBK" w:eastAsia="方正书宋_GBK" w:cs="方正书宋_GBK"/>
                <w:b/>
                <w:bCs/>
                <w:color w:val="auto"/>
              </w:rPr>
              <w:t>　　</w:t>
            </w:r>
            <w:r>
              <w:rPr>
                <w:rFonts w:ascii="方正书宋_GBK" w:eastAsia="方正书宋_GBK" w:cs="方正书宋_GBK"/>
                <w:b/>
                <w:bCs/>
                <w:color w:val="auto"/>
              </w:rPr>
              <w:t>1</w:t>
            </w:r>
            <w:r>
              <w:rPr>
                <w:rFonts w:hint="eastAsia" w:ascii="方正书宋_GBK" w:eastAsia="方正书宋_GBK" w:cs="方正书宋_GBK"/>
                <w:b/>
                <w:bCs/>
                <w:color w:val="auto"/>
              </w:rPr>
              <w:t>、政府购买行业协会服务工作</w:t>
            </w:r>
          </w:p>
        </w:tc>
        <w:tc>
          <w:tcPr>
            <w:tcW w:w="1276" w:type="dxa"/>
            <w:vAlign w:val="center"/>
          </w:tcPr>
          <w:p w14:paraId="534BBA97">
            <w:pPr>
              <w:spacing w:line="300" w:lineRule="exact"/>
              <w:jc w:val="left"/>
              <w:rPr>
                <w:rFonts w:ascii="方正书宋_GBK" w:eastAsia="方正书宋_GBK" w:cs="Times New Roman"/>
                <w:color w:val="auto"/>
              </w:rPr>
            </w:pPr>
          </w:p>
        </w:tc>
        <w:tc>
          <w:tcPr>
            <w:tcW w:w="2976" w:type="dxa"/>
            <w:vAlign w:val="center"/>
          </w:tcPr>
          <w:p w14:paraId="0E489C9D">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按照省、市制定的政府转移职能目录、购买主体单位目录，及时完成</w:t>
            </w:r>
            <w:r>
              <w:rPr>
                <w:rFonts w:ascii="方正书宋_GBK" w:eastAsia="方正书宋_GBK" w:cs="方正书宋_GBK"/>
                <w:color w:val="auto"/>
              </w:rPr>
              <w:t>2017</w:t>
            </w:r>
            <w:r>
              <w:rPr>
                <w:rFonts w:hint="eastAsia" w:ascii="方正书宋_GBK" w:eastAsia="方正书宋_GBK" w:cs="方正书宋_GBK"/>
                <w:color w:val="auto"/>
              </w:rPr>
              <w:t>年政府购买行业协会临时性服务工作。</w:t>
            </w:r>
          </w:p>
        </w:tc>
        <w:tc>
          <w:tcPr>
            <w:tcW w:w="2976" w:type="dxa"/>
            <w:vAlign w:val="center"/>
          </w:tcPr>
          <w:p w14:paraId="3BAE1379">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按照省、市制定的政府转移职能目录、购买主体单位目录</w:t>
            </w:r>
            <w:r>
              <w:rPr>
                <w:rFonts w:ascii="方正书宋_GBK" w:eastAsia="方正书宋_GBK" w:cs="方正书宋_GBK"/>
                <w:color w:val="auto"/>
              </w:rPr>
              <w:t>,</w:t>
            </w:r>
            <w:r>
              <w:rPr>
                <w:rFonts w:hint="eastAsia" w:ascii="方正书宋_GBK" w:eastAsia="方正书宋_GBK" w:cs="方正书宋_GBK"/>
                <w:color w:val="auto"/>
              </w:rPr>
              <w:t>及时完成</w:t>
            </w:r>
            <w:r>
              <w:rPr>
                <w:rFonts w:ascii="方正书宋_GBK" w:eastAsia="方正书宋_GBK" w:cs="方正书宋_GBK"/>
                <w:color w:val="auto"/>
              </w:rPr>
              <w:t>2017</w:t>
            </w:r>
            <w:r>
              <w:rPr>
                <w:rFonts w:hint="eastAsia" w:ascii="方正书宋_GBK" w:eastAsia="方正书宋_GBK" w:cs="方正书宋_GBK"/>
                <w:color w:val="auto"/>
              </w:rPr>
              <w:t>年政府购买行业协会临时性服务工作。</w:t>
            </w:r>
          </w:p>
        </w:tc>
        <w:tc>
          <w:tcPr>
            <w:tcW w:w="1417" w:type="dxa"/>
            <w:vAlign w:val="center"/>
          </w:tcPr>
          <w:p w14:paraId="5DD9142E">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政府购买服务推广率</w:t>
            </w:r>
          </w:p>
        </w:tc>
        <w:tc>
          <w:tcPr>
            <w:tcW w:w="737" w:type="dxa"/>
            <w:vAlign w:val="center"/>
          </w:tcPr>
          <w:p w14:paraId="2B4FDF85">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100%</w:t>
            </w:r>
          </w:p>
        </w:tc>
        <w:tc>
          <w:tcPr>
            <w:tcW w:w="737" w:type="dxa"/>
            <w:vAlign w:val="center"/>
          </w:tcPr>
          <w:p w14:paraId="218915C0">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95%</w:t>
            </w:r>
          </w:p>
        </w:tc>
        <w:tc>
          <w:tcPr>
            <w:tcW w:w="737" w:type="dxa"/>
            <w:vAlign w:val="center"/>
          </w:tcPr>
          <w:p w14:paraId="74257F53">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90%</w:t>
            </w:r>
          </w:p>
        </w:tc>
        <w:tc>
          <w:tcPr>
            <w:tcW w:w="737" w:type="dxa"/>
            <w:vAlign w:val="center"/>
          </w:tcPr>
          <w:p w14:paraId="7D5959C2">
            <w:pPr>
              <w:spacing w:line="300" w:lineRule="exact"/>
              <w:jc w:val="center"/>
              <w:rPr>
                <w:rFonts w:ascii="方正书宋_GBK" w:eastAsia="方正书宋_GBK" w:cs="方正书宋_GBK"/>
                <w:color w:val="auto"/>
              </w:rPr>
            </w:pPr>
            <w:r>
              <w:rPr>
                <w:rFonts w:ascii="方正书宋_GBK" w:eastAsia="方正书宋_GBK" w:cs="方正书宋_GBK"/>
                <w:color w:val="auto"/>
              </w:rPr>
              <w:t>&lt;90%</w:t>
            </w:r>
          </w:p>
        </w:tc>
      </w:tr>
      <w:tr w14:paraId="5C2D44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Align w:val="center"/>
          </w:tcPr>
          <w:p w14:paraId="28A3CBD4">
            <w:pPr>
              <w:spacing w:line="300" w:lineRule="exact"/>
              <w:jc w:val="left"/>
              <w:rPr>
                <w:rFonts w:ascii="方正书宋_GBK" w:eastAsia="方正书宋_GBK" w:cs="Times New Roman"/>
                <w:b/>
                <w:bCs/>
                <w:color w:val="auto"/>
              </w:rPr>
            </w:pPr>
            <w:r>
              <w:rPr>
                <w:rFonts w:hint="eastAsia" w:ascii="方正书宋_GBK" w:eastAsia="方正书宋_GBK" w:cs="方正书宋_GBK"/>
                <w:b/>
                <w:bCs/>
                <w:color w:val="auto"/>
              </w:rPr>
              <w:t>　　</w:t>
            </w:r>
            <w:r>
              <w:rPr>
                <w:rFonts w:ascii="方正书宋_GBK" w:eastAsia="方正书宋_GBK" w:cs="方正书宋_GBK"/>
                <w:b/>
                <w:bCs/>
                <w:color w:val="auto"/>
              </w:rPr>
              <w:t>2</w:t>
            </w:r>
            <w:r>
              <w:rPr>
                <w:rFonts w:hint="eastAsia" w:ascii="方正书宋_GBK" w:eastAsia="方正书宋_GBK" w:cs="方正书宋_GBK"/>
                <w:b/>
                <w:bCs/>
                <w:color w:val="auto"/>
              </w:rPr>
              <w:t>、行政审批改革</w:t>
            </w:r>
          </w:p>
        </w:tc>
        <w:tc>
          <w:tcPr>
            <w:tcW w:w="1276" w:type="dxa"/>
            <w:vAlign w:val="center"/>
          </w:tcPr>
          <w:p w14:paraId="4C4FEE16">
            <w:pPr>
              <w:spacing w:line="300" w:lineRule="exact"/>
              <w:jc w:val="left"/>
              <w:rPr>
                <w:rFonts w:ascii="方正书宋_GBK" w:eastAsia="方正书宋_GBK" w:cs="方正书宋_GBK"/>
                <w:color w:val="auto"/>
              </w:rPr>
            </w:pPr>
            <w:r>
              <w:rPr>
                <w:rFonts w:ascii="方正书宋_GBK" w:eastAsia="方正书宋_GBK" w:cs="方正书宋_GBK"/>
                <w:color w:val="auto"/>
              </w:rPr>
              <w:t>2.75</w:t>
            </w:r>
          </w:p>
        </w:tc>
        <w:tc>
          <w:tcPr>
            <w:tcW w:w="2976" w:type="dxa"/>
            <w:vAlign w:val="center"/>
          </w:tcPr>
          <w:p w14:paraId="05EA4E38">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全面清理县内行政审批项目。进一步优化行政审批流程。加强审改工作制度化、规范化和标准化建设。</w:t>
            </w:r>
          </w:p>
        </w:tc>
        <w:tc>
          <w:tcPr>
            <w:tcW w:w="2976" w:type="dxa"/>
            <w:vAlign w:val="center"/>
          </w:tcPr>
          <w:p w14:paraId="28938AAF">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进一步优化行政审批流程</w:t>
            </w:r>
            <w:r>
              <w:rPr>
                <w:rFonts w:ascii="方正书宋_GBK" w:eastAsia="方正书宋_GBK" w:cs="方正书宋_GBK"/>
                <w:color w:val="auto"/>
              </w:rPr>
              <w:t>,</w:t>
            </w:r>
            <w:r>
              <w:rPr>
                <w:rFonts w:hint="eastAsia" w:ascii="方正书宋_GBK" w:eastAsia="方正书宋_GBK" w:cs="方正书宋_GBK"/>
                <w:color w:val="auto"/>
              </w:rPr>
              <w:t>加强审改工作制度化、规范化和标准化建设。</w:t>
            </w:r>
          </w:p>
        </w:tc>
        <w:tc>
          <w:tcPr>
            <w:tcW w:w="1417" w:type="dxa"/>
            <w:vAlign w:val="center"/>
          </w:tcPr>
          <w:p w14:paraId="15AD8CDB">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行政审批项目清理工作的完成率</w:t>
            </w:r>
          </w:p>
        </w:tc>
        <w:tc>
          <w:tcPr>
            <w:tcW w:w="737" w:type="dxa"/>
            <w:vAlign w:val="center"/>
          </w:tcPr>
          <w:p w14:paraId="74031C93">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100%</w:t>
            </w:r>
          </w:p>
        </w:tc>
        <w:tc>
          <w:tcPr>
            <w:tcW w:w="737" w:type="dxa"/>
            <w:vAlign w:val="center"/>
          </w:tcPr>
          <w:p w14:paraId="789193F4">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95%</w:t>
            </w:r>
          </w:p>
        </w:tc>
        <w:tc>
          <w:tcPr>
            <w:tcW w:w="737" w:type="dxa"/>
            <w:vAlign w:val="center"/>
          </w:tcPr>
          <w:p w14:paraId="07D56252">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90%</w:t>
            </w:r>
          </w:p>
        </w:tc>
        <w:tc>
          <w:tcPr>
            <w:tcW w:w="737" w:type="dxa"/>
            <w:vAlign w:val="center"/>
          </w:tcPr>
          <w:p w14:paraId="6DDF6EC9">
            <w:pPr>
              <w:spacing w:line="300" w:lineRule="exact"/>
              <w:jc w:val="center"/>
              <w:rPr>
                <w:rFonts w:ascii="方正书宋_GBK" w:eastAsia="方正书宋_GBK" w:cs="方正书宋_GBK"/>
                <w:color w:val="auto"/>
              </w:rPr>
            </w:pPr>
            <w:r>
              <w:rPr>
                <w:rFonts w:ascii="方正书宋_GBK" w:eastAsia="方正书宋_GBK" w:cs="方正书宋_GBK"/>
                <w:color w:val="auto"/>
              </w:rPr>
              <w:t>&lt;90%</w:t>
            </w:r>
          </w:p>
        </w:tc>
      </w:tr>
      <w:tr w14:paraId="0763E1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Align w:val="center"/>
          </w:tcPr>
          <w:p w14:paraId="1A95932A">
            <w:pPr>
              <w:spacing w:line="300" w:lineRule="exact"/>
              <w:jc w:val="left"/>
              <w:rPr>
                <w:rFonts w:ascii="方正书宋_GBK" w:eastAsia="方正书宋_GBK" w:cs="Times New Roman"/>
                <w:b/>
                <w:bCs/>
                <w:color w:val="auto"/>
              </w:rPr>
            </w:pPr>
            <w:r>
              <w:rPr>
                <w:rFonts w:hint="eastAsia" w:ascii="方正书宋_GBK" w:eastAsia="方正书宋_GBK" w:cs="方正书宋_GBK"/>
                <w:b/>
                <w:bCs/>
                <w:color w:val="auto"/>
              </w:rPr>
              <w:t>四、编办事务管理</w:t>
            </w:r>
          </w:p>
        </w:tc>
        <w:tc>
          <w:tcPr>
            <w:tcW w:w="1276" w:type="dxa"/>
            <w:vAlign w:val="center"/>
          </w:tcPr>
          <w:p w14:paraId="6B866341">
            <w:pPr>
              <w:spacing w:line="300" w:lineRule="exact"/>
              <w:jc w:val="left"/>
              <w:rPr>
                <w:rFonts w:ascii="方正书宋_GBK" w:eastAsia="方正书宋_GBK" w:cs="方正书宋_GBK"/>
                <w:color w:val="auto"/>
              </w:rPr>
            </w:pPr>
            <w:r>
              <w:rPr>
                <w:rFonts w:ascii="方正书宋_GBK" w:eastAsia="方正书宋_GBK" w:cs="方正书宋_GBK"/>
                <w:color w:val="auto"/>
              </w:rPr>
              <w:t>6.00</w:t>
            </w:r>
          </w:p>
        </w:tc>
        <w:tc>
          <w:tcPr>
            <w:tcW w:w="2976" w:type="dxa"/>
            <w:vAlign w:val="center"/>
          </w:tcPr>
          <w:p w14:paraId="79E7E989">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做好机关人员管理及保障工作，为充分发挥职能作用提供有效保障。</w:t>
            </w:r>
          </w:p>
        </w:tc>
        <w:tc>
          <w:tcPr>
            <w:tcW w:w="2976" w:type="dxa"/>
            <w:vAlign w:val="center"/>
          </w:tcPr>
          <w:p w14:paraId="24437CF7">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加强机关党组织建设，严格组织生活制度，丰富党建活动内容，做好党员发展、教育、管理和党务干部的教育培训工作，充分发挥党组织的战斗堡垒作用和党员的先锋模范作用。</w:t>
            </w:r>
          </w:p>
        </w:tc>
        <w:tc>
          <w:tcPr>
            <w:tcW w:w="1417" w:type="dxa"/>
            <w:vAlign w:val="center"/>
          </w:tcPr>
          <w:p w14:paraId="4598C5C6">
            <w:pPr>
              <w:spacing w:line="300" w:lineRule="exact"/>
              <w:jc w:val="left"/>
              <w:rPr>
                <w:rFonts w:ascii="方正书宋_GBK" w:eastAsia="方正书宋_GBK" w:cs="Times New Roman"/>
                <w:color w:val="auto"/>
              </w:rPr>
            </w:pPr>
          </w:p>
        </w:tc>
        <w:tc>
          <w:tcPr>
            <w:tcW w:w="737" w:type="dxa"/>
            <w:vAlign w:val="center"/>
          </w:tcPr>
          <w:p w14:paraId="7F1961FD">
            <w:pPr>
              <w:spacing w:line="300" w:lineRule="exact"/>
              <w:jc w:val="center"/>
              <w:rPr>
                <w:rFonts w:ascii="方正书宋_GBK" w:eastAsia="方正书宋_GBK" w:cs="Times New Roman"/>
                <w:color w:val="auto"/>
              </w:rPr>
            </w:pPr>
          </w:p>
        </w:tc>
        <w:tc>
          <w:tcPr>
            <w:tcW w:w="737" w:type="dxa"/>
            <w:vAlign w:val="center"/>
          </w:tcPr>
          <w:p w14:paraId="63FA138C">
            <w:pPr>
              <w:spacing w:line="300" w:lineRule="exact"/>
              <w:jc w:val="center"/>
              <w:rPr>
                <w:rFonts w:ascii="方正书宋_GBK" w:eastAsia="方正书宋_GBK" w:cs="Times New Roman"/>
                <w:color w:val="auto"/>
              </w:rPr>
            </w:pPr>
          </w:p>
        </w:tc>
        <w:tc>
          <w:tcPr>
            <w:tcW w:w="737" w:type="dxa"/>
            <w:vAlign w:val="center"/>
          </w:tcPr>
          <w:p w14:paraId="4E6FCB5C">
            <w:pPr>
              <w:spacing w:line="300" w:lineRule="exact"/>
              <w:jc w:val="center"/>
              <w:rPr>
                <w:rFonts w:ascii="方正书宋_GBK" w:eastAsia="方正书宋_GBK" w:cs="Times New Roman"/>
                <w:color w:val="auto"/>
              </w:rPr>
            </w:pPr>
          </w:p>
        </w:tc>
        <w:tc>
          <w:tcPr>
            <w:tcW w:w="737" w:type="dxa"/>
            <w:vAlign w:val="center"/>
          </w:tcPr>
          <w:p w14:paraId="50A76EC5">
            <w:pPr>
              <w:spacing w:line="300" w:lineRule="exact"/>
              <w:jc w:val="center"/>
              <w:rPr>
                <w:rFonts w:ascii="方正书宋_GBK" w:eastAsia="方正书宋_GBK" w:cs="Times New Roman"/>
                <w:color w:val="auto"/>
              </w:rPr>
            </w:pPr>
          </w:p>
        </w:tc>
      </w:tr>
      <w:tr w14:paraId="2EF1D0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restart"/>
            <w:vAlign w:val="center"/>
          </w:tcPr>
          <w:p w14:paraId="3B3FCB1F">
            <w:pPr>
              <w:spacing w:line="300" w:lineRule="exact"/>
              <w:jc w:val="left"/>
              <w:rPr>
                <w:rFonts w:ascii="方正书宋_GBK" w:eastAsia="方正书宋_GBK" w:cs="Times New Roman"/>
                <w:b/>
                <w:bCs/>
                <w:color w:val="auto"/>
              </w:rPr>
            </w:pPr>
            <w:r>
              <w:rPr>
                <w:rFonts w:hint="eastAsia" w:ascii="方正书宋_GBK" w:eastAsia="方正书宋_GBK" w:cs="方正书宋_GBK"/>
                <w:b/>
                <w:bCs/>
                <w:color w:val="auto"/>
              </w:rPr>
              <w:t>　　</w:t>
            </w:r>
            <w:r>
              <w:rPr>
                <w:rFonts w:ascii="方正书宋_GBK" w:eastAsia="方正书宋_GBK" w:cs="方正书宋_GBK"/>
                <w:b/>
                <w:bCs/>
                <w:color w:val="auto"/>
              </w:rPr>
              <w:t>1</w:t>
            </w:r>
            <w:r>
              <w:rPr>
                <w:rFonts w:hint="eastAsia" w:ascii="方正书宋_GBK" w:eastAsia="方正书宋_GBK" w:cs="方正书宋_GBK"/>
                <w:b/>
                <w:bCs/>
                <w:color w:val="auto"/>
              </w:rPr>
              <w:t>、综合事务管理</w:t>
            </w:r>
          </w:p>
        </w:tc>
        <w:tc>
          <w:tcPr>
            <w:tcW w:w="1276" w:type="dxa"/>
            <w:vMerge w:val="restart"/>
            <w:vAlign w:val="center"/>
          </w:tcPr>
          <w:p w14:paraId="5A030BDD">
            <w:pPr>
              <w:spacing w:line="300" w:lineRule="exact"/>
              <w:jc w:val="left"/>
              <w:rPr>
                <w:rFonts w:ascii="方正书宋_GBK" w:eastAsia="方正书宋_GBK" w:cs="方正书宋_GBK"/>
                <w:color w:val="auto"/>
              </w:rPr>
            </w:pPr>
            <w:r>
              <w:rPr>
                <w:rFonts w:ascii="方正书宋_GBK" w:eastAsia="方正书宋_GBK" w:cs="方正书宋_GBK"/>
                <w:color w:val="auto"/>
              </w:rPr>
              <w:t>6.00</w:t>
            </w:r>
          </w:p>
        </w:tc>
        <w:tc>
          <w:tcPr>
            <w:tcW w:w="2976" w:type="dxa"/>
            <w:vMerge w:val="restart"/>
            <w:vAlign w:val="center"/>
          </w:tcPr>
          <w:p w14:paraId="52A3BAB3">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负责全县机构编制信息管理系统、电子政务的建设和管理，全县机构编制统计、数据分析工作；负责机关人事、劳资、行政后勤、财务和资产管理工作。</w:t>
            </w:r>
          </w:p>
        </w:tc>
        <w:tc>
          <w:tcPr>
            <w:tcW w:w="2976" w:type="dxa"/>
            <w:vMerge w:val="restart"/>
            <w:vAlign w:val="center"/>
          </w:tcPr>
          <w:p w14:paraId="06EFF816">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机构编制信息平台运行。</w:t>
            </w:r>
          </w:p>
        </w:tc>
        <w:tc>
          <w:tcPr>
            <w:tcW w:w="1417" w:type="dxa"/>
            <w:vAlign w:val="center"/>
          </w:tcPr>
          <w:p w14:paraId="337A409C">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各项综合事务工作完成情况</w:t>
            </w:r>
          </w:p>
        </w:tc>
        <w:tc>
          <w:tcPr>
            <w:tcW w:w="737" w:type="dxa"/>
            <w:vAlign w:val="center"/>
          </w:tcPr>
          <w:p w14:paraId="4A88C90D">
            <w:pPr>
              <w:spacing w:line="300" w:lineRule="exact"/>
              <w:jc w:val="center"/>
              <w:rPr>
                <w:rFonts w:ascii="方正书宋_GBK" w:eastAsia="方正书宋_GBK" w:cs="方正书宋_GBK"/>
                <w:color w:val="auto"/>
              </w:rPr>
            </w:pPr>
            <w:r>
              <w:rPr>
                <w:rFonts w:ascii="方正书宋_GBK" w:eastAsia="方正书宋_GBK" w:cs="方正书宋_GBK"/>
                <w:color w:val="auto"/>
              </w:rPr>
              <w:t>100%</w:t>
            </w:r>
          </w:p>
        </w:tc>
        <w:tc>
          <w:tcPr>
            <w:tcW w:w="737" w:type="dxa"/>
            <w:vAlign w:val="center"/>
          </w:tcPr>
          <w:p w14:paraId="4A97ED4A">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95%</w:t>
            </w:r>
          </w:p>
        </w:tc>
        <w:tc>
          <w:tcPr>
            <w:tcW w:w="737" w:type="dxa"/>
            <w:vAlign w:val="center"/>
          </w:tcPr>
          <w:p w14:paraId="09E2E213">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90%</w:t>
            </w:r>
          </w:p>
        </w:tc>
        <w:tc>
          <w:tcPr>
            <w:tcW w:w="737" w:type="dxa"/>
            <w:vAlign w:val="center"/>
          </w:tcPr>
          <w:p w14:paraId="31A4B8A9">
            <w:pPr>
              <w:spacing w:line="300" w:lineRule="exact"/>
              <w:jc w:val="center"/>
              <w:rPr>
                <w:rFonts w:ascii="方正书宋_GBK" w:eastAsia="方正书宋_GBK" w:cs="方正书宋_GBK"/>
                <w:color w:val="auto"/>
              </w:rPr>
            </w:pPr>
            <w:r>
              <w:rPr>
                <w:rFonts w:ascii="方正书宋_GBK" w:eastAsia="方正书宋_GBK" w:cs="方正书宋_GBK"/>
                <w:color w:val="auto"/>
              </w:rPr>
              <w:t>&lt;90%</w:t>
            </w:r>
          </w:p>
        </w:tc>
      </w:tr>
      <w:tr w14:paraId="61AC0C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continue"/>
            <w:vAlign w:val="center"/>
          </w:tcPr>
          <w:p w14:paraId="65390846">
            <w:pPr>
              <w:spacing w:line="300" w:lineRule="exact"/>
              <w:jc w:val="left"/>
              <w:rPr>
                <w:rFonts w:ascii="方正书宋_GBK" w:eastAsia="方正书宋_GBK" w:cs="Times New Roman"/>
                <w:b/>
                <w:bCs/>
                <w:color w:val="auto"/>
              </w:rPr>
            </w:pPr>
          </w:p>
        </w:tc>
        <w:tc>
          <w:tcPr>
            <w:tcW w:w="1276" w:type="dxa"/>
            <w:vMerge w:val="continue"/>
            <w:vAlign w:val="center"/>
          </w:tcPr>
          <w:p w14:paraId="3A5A327F">
            <w:pPr>
              <w:spacing w:line="300" w:lineRule="exact"/>
              <w:jc w:val="left"/>
              <w:rPr>
                <w:rFonts w:ascii="方正书宋_GBK" w:eastAsia="方正书宋_GBK" w:cs="Times New Roman"/>
                <w:color w:val="auto"/>
              </w:rPr>
            </w:pPr>
          </w:p>
        </w:tc>
        <w:tc>
          <w:tcPr>
            <w:tcW w:w="2976" w:type="dxa"/>
            <w:vMerge w:val="continue"/>
            <w:vAlign w:val="center"/>
          </w:tcPr>
          <w:p w14:paraId="3D051BFE">
            <w:pPr>
              <w:spacing w:line="300" w:lineRule="exact"/>
              <w:jc w:val="left"/>
              <w:rPr>
                <w:rFonts w:ascii="方正书宋_GBK" w:eastAsia="方正书宋_GBK" w:cs="Times New Roman"/>
                <w:color w:val="auto"/>
              </w:rPr>
            </w:pPr>
          </w:p>
        </w:tc>
        <w:tc>
          <w:tcPr>
            <w:tcW w:w="2976" w:type="dxa"/>
            <w:vMerge w:val="continue"/>
            <w:vAlign w:val="center"/>
          </w:tcPr>
          <w:p w14:paraId="388CE5BE">
            <w:pPr>
              <w:spacing w:line="300" w:lineRule="exact"/>
              <w:jc w:val="left"/>
              <w:rPr>
                <w:rFonts w:ascii="方正书宋_GBK" w:eastAsia="方正书宋_GBK" w:cs="Times New Roman"/>
                <w:color w:val="auto"/>
              </w:rPr>
            </w:pPr>
          </w:p>
        </w:tc>
        <w:tc>
          <w:tcPr>
            <w:tcW w:w="1417" w:type="dxa"/>
            <w:vAlign w:val="center"/>
          </w:tcPr>
          <w:p w14:paraId="37A90F9D">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机构编制信息平台运行</w:t>
            </w:r>
          </w:p>
        </w:tc>
        <w:tc>
          <w:tcPr>
            <w:tcW w:w="737" w:type="dxa"/>
            <w:vAlign w:val="center"/>
          </w:tcPr>
          <w:p w14:paraId="3ABDEC44">
            <w:pPr>
              <w:spacing w:line="300" w:lineRule="exact"/>
              <w:jc w:val="center"/>
              <w:rPr>
                <w:rFonts w:ascii="方正书宋_GBK" w:eastAsia="方正书宋_GBK" w:cs="方正书宋_GBK"/>
                <w:color w:val="auto"/>
              </w:rPr>
            </w:pPr>
            <w:r>
              <w:rPr>
                <w:rFonts w:ascii="方正书宋_GBK" w:eastAsia="方正书宋_GBK" w:cs="方正书宋_GBK"/>
                <w:color w:val="auto"/>
              </w:rPr>
              <w:t>100%</w:t>
            </w:r>
          </w:p>
        </w:tc>
        <w:tc>
          <w:tcPr>
            <w:tcW w:w="737" w:type="dxa"/>
            <w:vAlign w:val="center"/>
          </w:tcPr>
          <w:p w14:paraId="29171B94">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95%</w:t>
            </w:r>
          </w:p>
        </w:tc>
        <w:tc>
          <w:tcPr>
            <w:tcW w:w="737" w:type="dxa"/>
            <w:vAlign w:val="center"/>
          </w:tcPr>
          <w:p w14:paraId="3E5DAB89">
            <w:pPr>
              <w:spacing w:line="300" w:lineRule="exact"/>
              <w:jc w:val="center"/>
              <w:rPr>
                <w:rFonts w:ascii="方正书宋_GBK" w:eastAsia="方正书宋_GBK" w:cs="方正书宋_GBK"/>
                <w:color w:val="auto"/>
              </w:rPr>
            </w:pPr>
            <w:r>
              <w:rPr>
                <w:rFonts w:hint="eastAsia" w:ascii="方正书宋_GBK" w:eastAsia="方正书宋_GBK" w:cs="方正书宋_GBK"/>
                <w:color w:val="auto"/>
              </w:rPr>
              <w:t>≥</w:t>
            </w:r>
            <w:r>
              <w:rPr>
                <w:rFonts w:ascii="方正书宋_GBK" w:eastAsia="方正书宋_GBK" w:cs="方正书宋_GBK"/>
                <w:color w:val="auto"/>
              </w:rPr>
              <w:t>90%</w:t>
            </w:r>
          </w:p>
        </w:tc>
        <w:tc>
          <w:tcPr>
            <w:tcW w:w="737" w:type="dxa"/>
            <w:vAlign w:val="center"/>
          </w:tcPr>
          <w:p w14:paraId="3CB20528">
            <w:pPr>
              <w:spacing w:line="300" w:lineRule="exact"/>
              <w:jc w:val="center"/>
              <w:rPr>
                <w:rFonts w:ascii="方正书宋_GBK" w:eastAsia="方正书宋_GBK" w:cs="方正书宋_GBK"/>
                <w:color w:val="auto"/>
              </w:rPr>
            </w:pPr>
            <w:r>
              <w:rPr>
                <w:rFonts w:ascii="方正书宋_GBK" w:eastAsia="方正书宋_GBK" w:cs="方正书宋_GBK"/>
                <w:color w:val="auto"/>
              </w:rPr>
              <w:t>&lt;90%</w:t>
            </w:r>
          </w:p>
        </w:tc>
      </w:tr>
    </w:tbl>
    <w:p w14:paraId="202B380A">
      <w:pPr>
        <w:spacing w:line="300" w:lineRule="exact"/>
        <w:jc w:val="left"/>
        <w:outlineLvl w:val="0"/>
        <w:rPr>
          <w:rFonts w:cs="Times New Roman"/>
          <w:color w:val="auto"/>
        </w:rPr>
        <w:sectPr>
          <w:pgSz w:w="16839" w:h="11907" w:orient="landscape"/>
          <w:pgMar w:top="1020" w:right="1361" w:bottom="1020" w:left="1361" w:header="851" w:footer="992" w:gutter="0"/>
          <w:cols w:space="425" w:num="1"/>
          <w:docGrid w:type="lines" w:linePitch="312" w:charSpace="0"/>
        </w:sectPr>
      </w:pPr>
    </w:p>
    <w:bookmarkEnd w:id="2"/>
    <w:p w14:paraId="523DEDD6">
      <w:pPr>
        <w:autoSpaceDE w:val="0"/>
        <w:autoSpaceDN w:val="0"/>
        <w:adjustRightInd w:val="0"/>
        <w:ind w:firstLine="960" w:firstLineChars="300"/>
        <w:jc w:val="left"/>
        <w:rPr>
          <w:rFonts w:ascii="黑体" w:hAnsi="黑体" w:eastAsia="黑体" w:cs="Times New Roman"/>
          <w:color w:val="auto"/>
          <w:sz w:val="32"/>
          <w:szCs w:val="32"/>
        </w:rPr>
      </w:pPr>
      <w:r>
        <w:rPr>
          <w:rFonts w:hint="eastAsia" w:ascii="黑体" w:hAnsi="黑体" w:eastAsia="黑体" w:cs="黑体"/>
          <w:color w:val="auto"/>
          <w:sz w:val="32"/>
          <w:szCs w:val="32"/>
        </w:rPr>
        <w:t>六、政府采购预算情况</w:t>
      </w:r>
    </w:p>
    <w:p w14:paraId="4966A341">
      <w:pPr>
        <w:ind w:firstLine="640" w:firstLineChars="200"/>
        <w:outlineLvl w:val="0"/>
        <w:rPr>
          <w:rFonts w:ascii="Times New Roman" w:hAnsi="Times New Roman" w:eastAsia="仿宋" w:cs="Times New Roman"/>
          <w:color w:val="auto"/>
          <w:sz w:val="32"/>
          <w:szCs w:val="32"/>
        </w:rPr>
      </w:pPr>
      <w:bookmarkStart w:id="3" w:name="_Toc471398468"/>
      <w:r>
        <w:rPr>
          <w:rFonts w:ascii="Times New Roman" w:hAnsi="Times New Roman" w:eastAsia="仿宋" w:cs="Times New Roman"/>
          <w:color w:val="auto"/>
          <w:sz w:val="32"/>
          <w:szCs w:val="32"/>
        </w:rPr>
        <w:t xml:space="preserve"> 2019</w:t>
      </w:r>
      <w:r>
        <w:rPr>
          <w:rFonts w:hint="eastAsia" w:ascii="Times New Roman" w:hAnsi="Times New Roman" w:eastAsia="仿宋" w:cs="仿宋"/>
          <w:color w:val="auto"/>
          <w:sz w:val="32"/>
          <w:szCs w:val="32"/>
        </w:rPr>
        <w:t>年，我部门安排政府采购预算</w:t>
      </w:r>
      <w:r>
        <w:rPr>
          <w:rFonts w:ascii="Times New Roman" w:hAnsi="Times New Roman" w:eastAsia="仿宋" w:cs="Times New Roman"/>
          <w:color w:val="auto"/>
          <w:sz w:val="32"/>
          <w:szCs w:val="32"/>
        </w:rPr>
        <w:t>4.37</w:t>
      </w:r>
      <w:r>
        <w:rPr>
          <w:rFonts w:hint="eastAsia" w:ascii="Times New Roman" w:hAnsi="Times New Roman" w:eastAsia="仿宋" w:cs="仿宋"/>
          <w:color w:val="auto"/>
          <w:sz w:val="32"/>
          <w:szCs w:val="32"/>
        </w:rPr>
        <w:t>万元。具体内容见下表。</w:t>
      </w:r>
      <w:bookmarkEnd w:id="3"/>
    </w:p>
    <w:p w14:paraId="4AEBD69D">
      <w:pPr>
        <w:jc w:val="center"/>
        <w:outlineLvl w:val="0"/>
        <w:rPr>
          <w:rFonts w:ascii="方正小标宋_GBK" w:eastAsia="方正小标宋_GBK" w:cs="Times New Roman"/>
          <w:color w:val="auto"/>
          <w:sz w:val="32"/>
          <w:szCs w:val="32"/>
        </w:rPr>
      </w:pPr>
      <w:bookmarkStart w:id="4" w:name="_Toc536098688"/>
      <w:bookmarkStart w:id="5" w:name="_Toc503971530"/>
      <w:r>
        <w:rPr>
          <w:rFonts w:hint="eastAsia" w:ascii="方正小标宋_GBK" w:eastAsia="方正小标宋_GBK" w:cs="方正小标宋_GBK"/>
          <w:color w:val="auto"/>
          <w:sz w:val="32"/>
          <w:szCs w:val="32"/>
        </w:rPr>
        <w:t>部门政府采购预算</w:t>
      </w:r>
      <w:bookmarkEnd w:id="4"/>
    </w:p>
    <w:tbl>
      <w:tblPr>
        <w:tblStyle w:val="7"/>
        <w:tblW w:w="1456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37"/>
        <w:gridCol w:w="1088"/>
        <w:gridCol w:w="964"/>
        <w:gridCol w:w="976"/>
        <w:gridCol w:w="751"/>
        <w:gridCol w:w="883"/>
        <w:gridCol w:w="839"/>
        <w:gridCol w:w="952"/>
        <w:gridCol w:w="952"/>
        <w:gridCol w:w="952"/>
        <w:gridCol w:w="952"/>
        <w:gridCol w:w="955"/>
        <w:gridCol w:w="955"/>
        <w:gridCol w:w="912"/>
      </w:tblGrid>
      <w:tr w14:paraId="5732AA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938" w:type="dxa"/>
            <w:gridSpan w:val="7"/>
            <w:tcBorders>
              <w:top w:val="single" w:color="FFFFFF" w:sz="6" w:space="0"/>
              <w:left w:val="single" w:color="FFFFFF" w:sz="6" w:space="0"/>
              <w:right w:val="single" w:color="FFFFFF" w:sz="6" w:space="0"/>
            </w:tcBorders>
            <w:vAlign w:val="center"/>
          </w:tcPr>
          <w:p w14:paraId="5D5690F7">
            <w:pPr>
              <w:spacing w:line="300" w:lineRule="exact"/>
              <w:jc w:val="left"/>
              <w:rPr>
                <w:rFonts w:ascii="方正小标宋_GBK" w:eastAsia="方正小标宋_GBK" w:cs="Times New Roman"/>
                <w:color w:val="auto"/>
                <w:sz w:val="24"/>
                <w:szCs w:val="24"/>
              </w:rPr>
            </w:pPr>
            <w:r>
              <w:rPr>
                <w:rFonts w:ascii="方正小标宋_GBK" w:eastAsia="方正小标宋_GBK" w:cs="方正小标宋_GBK"/>
                <w:color w:val="auto"/>
                <w:sz w:val="24"/>
                <w:szCs w:val="24"/>
              </w:rPr>
              <w:t>225</w:t>
            </w:r>
            <w:r>
              <w:rPr>
                <w:rFonts w:hint="eastAsia" w:ascii="方正小标宋_GBK" w:eastAsia="方正小标宋_GBK" w:cs="方正小标宋_GBK"/>
                <w:color w:val="auto"/>
                <w:sz w:val="24"/>
                <w:szCs w:val="24"/>
              </w:rPr>
              <w:t>曲阳县机构编制委员会办公室</w:t>
            </w:r>
          </w:p>
        </w:tc>
        <w:tc>
          <w:tcPr>
            <w:tcW w:w="6630" w:type="dxa"/>
            <w:gridSpan w:val="7"/>
            <w:tcBorders>
              <w:top w:val="single" w:color="FFFFFF" w:sz="6" w:space="0"/>
              <w:left w:val="single" w:color="FFFFFF" w:sz="6" w:space="0"/>
              <w:right w:val="single" w:color="FFFFFF" w:sz="6" w:space="0"/>
            </w:tcBorders>
            <w:vAlign w:val="center"/>
          </w:tcPr>
          <w:p w14:paraId="4989EE60">
            <w:pPr>
              <w:spacing w:line="300" w:lineRule="exact"/>
              <w:jc w:val="right"/>
              <w:rPr>
                <w:rFonts w:ascii="方正书宋_GBK" w:eastAsia="方正书宋_GBK" w:cs="Times New Roman"/>
                <w:color w:val="auto"/>
                <w:sz w:val="24"/>
                <w:szCs w:val="24"/>
              </w:rPr>
            </w:pPr>
            <w:r>
              <w:rPr>
                <w:rFonts w:hint="eastAsia" w:ascii="方正书宋_GBK" w:eastAsia="方正书宋_GBK" w:cs="方正书宋_GBK"/>
                <w:color w:val="auto"/>
                <w:sz w:val="24"/>
                <w:szCs w:val="24"/>
              </w:rPr>
              <w:t>单位：万元</w:t>
            </w:r>
          </w:p>
        </w:tc>
      </w:tr>
      <w:tr w14:paraId="30E2E7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3525" w:type="dxa"/>
            <w:gridSpan w:val="2"/>
            <w:vAlign w:val="center"/>
          </w:tcPr>
          <w:p w14:paraId="53930B7F">
            <w:pPr>
              <w:spacing w:line="300" w:lineRule="exact"/>
              <w:jc w:val="center"/>
              <w:rPr>
                <w:rFonts w:ascii="方正书宋_GBK" w:eastAsia="方正书宋_GBK" w:cs="Times New Roman"/>
                <w:b/>
                <w:bCs/>
                <w:color w:val="auto"/>
              </w:rPr>
            </w:pPr>
            <w:r>
              <w:rPr>
                <w:rFonts w:hint="eastAsia" w:ascii="方正书宋_GBK" w:eastAsia="方正书宋_GBK" w:cs="方正书宋_GBK"/>
                <w:b/>
                <w:bCs/>
                <w:color w:val="auto"/>
              </w:rPr>
              <w:t>政府采购项目来源</w:t>
            </w:r>
          </w:p>
        </w:tc>
        <w:tc>
          <w:tcPr>
            <w:tcW w:w="964" w:type="dxa"/>
            <w:vMerge w:val="restart"/>
            <w:vAlign w:val="center"/>
          </w:tcPr>
          <w:p w14:paraId="1E4D8EE9">
            <w:pPr>
              <w:spacing w:line="300" w:lineRule="exact"/>
              <w:jc w:val="center"/>
              <w:rPr>
                <w:rFonts w:ascii="方正书宋_GBK" w:eastAsia="方正书宋_GBK" w:cs="Times New Roman"/>
                <w:b/>
                <w:bCs/>
                <w:color w:val="auto"/>
              </w:rPr>
            </w:pPr>
            <w:r>
              <w:rPr>
                <w:rFonts w:hint="eastAsia" w:ascii="方正书宋_GBK" w:eastAsia="方正书宋_GBK" w:cs="方正书宋_GBK"/>
                <w:b/>
                <w:bCs/>
                <w:color w:val="auto"/>
              </w:rPr>
              <w:t>采购物品名称</w:t>
            </w:r>
          </w:p>
        </w:tc>
        <w:tc>
          <w:tcPr>
            <w:tcW w:w="976" w:type="dxa"/>
            <w:vMerge w:val="restart"/>
            <w:vAlign w:val="center"/>
          </w:tcPr>
          <w:p w14:paraId="456EF943">
            <w:pPr>
              <w:spacing w:line="300" w:lineRule="exact"/>
              <w:jc w:val="center"/>
              <w:rPr>
                <w:rFonts w:ascii="方正书宋_GBK" w:eastAsia="方正书宋_GBK" w:cs="Times New Roman"/>
                <w:b/>
                <w:bCs/>
                <w:color w:val="auto"/>
              </w:rPr>
            </w:pPr>
            <w:r>
              <w:rPr>
                <w:rFonts w:hint="eastAsia" w:ascii="方正书宋_GBK" w:eastAsia="方正书宋_GBK" w:cs="方正书宋_GBK"/>
                <w:b/>
                <w:bCs/>
                <w:color w:val="auto"/>
              </w:rPr>
              <w:t>政府采购目录序号</w:t>
            </w:r>
          </w:p>
        </w:tc>
        <w:tc>
          <w:tcPr>
            <w:tcW w:w="751" w:type="dxa"/>
            <w:vMerge w:val="restart"/>
            <w:vAlign w:val="center"/>
          </w:tcPr>
          <w:p w14:paraId="0563308B">
            <w:pPr>
              <w:spacing w:line="300" w:lineRule="exact"/>
              <w:jc w:val="center"/>
              <w:rPr>
                <w:rFonts w:ascii="方正书宋_GBK" w:eastAsia="方正书宋_GBK" w:cs="Times New Roman"/>
                <w:b/>
                <w:bCs/>
                <w:color w:val="auto"/>
              </w:rPr>
            </w:pPr>
            <w:r>
              <w:rPr>
                <w:rFonts w:hint="eastAsia" w:ascii="方正书宋_GBK" w:eastAsia="方正书宋_GBK" w:cs="方正书宋_GBK"/>
                <w:b/>
                <w:bCs/>
                <w:color w:val="auto"/>
              </w:rPr>
              <w:t>数量</w:t>
            </w:r>
            <w:r>
              <w:rPr>
                <w:rFonts w:ascii="方正书宋_GBK" w:eastAsia="方正书宋_GBK" w:cs="方正书宋_GBK"/>
                <w:b/>
                <w:bCs/>
                <w:color w:val="auto"/>
              </w:rPr>
              <w:t xml:space="preserve">  </w:t>
            </w:r>
            <w:r>
              <w:rPr>
                <w:rFonts w:hint="eastAsia" w:ascii="方正书宋_GBK" w:eastAsia="方正书宋_GBK" w:cs="方正书宋_GBK"/>
                <w:b/>
                <w:bCs/>
                <w:color w:val="auto"/>
              </w:rPr>
              <w:t>单位</w:t>
            </w:r>
          </w:p>
        </w:tc>
        <w:tc>
          <w:tcPr>
            <w:tcW w:w="883" w:type="dxa"/>
            <w:vMerge w:val="restart"/>
            <w:vAlign w:val="center"/>
          </w:tcPr>
          <w:p w14:paraId="3090DF7D">
            <w:pPr>
              <w:spacing w:line="300" w:lineRule="exact"/>
              <w:jc w:val="center"/>
              <w:rPr>
                <w:rFonts w:ascii="方正书宋_GBK" w:eastAsia="方正书宋_GBK" w:cs="Times New Roman"/>
                <w:b/>
                <w:bCs/>
                <w:color w:val="auto"/>
              </w:rPr>
            </w:pPr>
            <w:r>
              <w:rPr>
                <w:rFonts w:hint="eastAsia" w:ascii="方正书宋_GBK" w:eastAsia="方正书宋_GBK" w:cs="方正书宋_GBK"/>
                <w:b/>
                <w:bCs/>
                <w:color w:val="auto"/>
              </w:rPr>
              <w:t>数量</w:t>
            </w:r>
          </w:p>
        </w:tc>
        <w:tc>
          <w:tcPr>
            <w:tcW w:w="839" w:type="dxa"/>
            <w:vMerge w:val="restart"/>
            <w:vAlign w:val="center"/>
          </w:tcPr>
          <w:p w14:paraId="00E56D7F">
            <w:pPr>
              <w:spacing w:line="300" w:lineRule="exact"/>
              <w:jc w:val="center"/>
              <w:rPr>
                <w:rFonts w:ascii="方正书宋_GBK" w:eastAsia="方正书宋_GBK" w:cs="Times New Roman"/>
                <w:b/>
                <w:bCs/>
                <w:color w:val="auto"/>
              </w:rPr>
            </w:pPr>
            <w:r>
              <w:rPr>
                <w:rFonts w:hint="eastAsia" w:ascii="方正书宋_GBK" w:eastAsia="方正书宋_GBK" w:cs="方正书宋_GBK"/>
                <w:b/>
                <w:bCs/>
                <w:color w:val="auto"/>
              </w:rPr>
              <w:t>单价</w:t>
            </w:r>
          </w:p>
        </w:tc>
        <w:tc>
          <w:tcPr>
            <w:tcW w:w="6630" w:type="dxa"/>
            <w:gridSpan w:val="7"/>
            <w:vAlign w:val="center"/>
          </w:tcPr>
          <w:p w14:paraId="05D94AE1">
            <w:pPr>
              <w:spacing w:line="300" w:lineRule="exact"/>
              <w:jc w:val="center"/>
              <w:rPr>
                <w:rFonts w:ascii="方正书宋_GBK" w:eastAsia="方正书宋_GBK" w:cs="Times New Roman"/>
                <w:b/>
                <w:bCs/>
                <w:color w:val="auto"/>
              </w:rPr>
            </w:pPr>
            <w:r>
              <w:rPr>
                <w:rFonts w:hint="eastAsia" w:ascii="方正书宋_GBK" w:eastAsia="方正书宋_GBK" w:cs="方正书宋_GBK"/>
                <w:b/>
                <w:bCs/>
                <w:color w:val="auto"/>
              </w:rPr>
              <w:t>政府采购金额</w:t>
            </w:r>
          </w:p>
        </w:tc>
      </w:tr>
      <w:tr w14:paraId="0065D0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437" w:type="dxa"/>
            <w:vMerge w:val="restart"/>
            <w:vAlign w:val="center"/>
          </w:tcPr>
          <w:p w14:paraId="01CF8EA4">
            <w:pPr>
              <w:spacing w:line="300" w:lineRule="exact"/>
              <w:jc w:val="center"/>
              <w:rPr>
                <w:rFonts w:ascii="方正书宋_GBK" w:eastAsia="方正书宋_GBK" w:cs="Times New Roman"/>
                <w:b/>
                <w:bCs/>
                <w:color w:val="auto"/>
              </w:rPr>
            </w:pPr>
            <w:r>
              <w:rPr>
                <w:rFonts w:hint="eastAsia" w:ascii="方正书宋_GBK" w:eastAsia="方正书宋_GBK" w:cs="方正书宋_GBK"/>
                <w:b/>
                <w:bCs/>
                <w:color w:val="auto"/>
              </w:rPr>
              <w:t>项目名称</w:t>
            </w:r>
          </w:p>
        </w:tc>
        <w:tc>
          <w:tcPr>
            <w:tcW w:w="1088" w:type="dxa"/>
            <w:vMerge w:val="restart"/>
            <w:vAlign w:val="center"/>
          </w:tcPr>
          <w:p w14:paraId="30760F81">
            <w:pPr>
              <w:spacing w:line="300" w:lineRule="exact"/>
              <w:jc w:val="center"/>
              <w:rPr>
                <w:rFonts w:ascii="方正书宋_GBK" w:eastAsia="方正书宋_GBK" w:cs="Times New Roman"/>
                <w:b/>
                <w:bCs/>
                <w:color w:val="auto"/>
              </w:rPr>
            </w:pPr>
            <w:r>
              <w:rPr>
                <w:rFonts w:hint="eastAsia" w:ascii="方正书宋_GBK" w:eastAsia="方正书宋_GBK" w:cs="方正书宋_GBK"/>
                <w:b/>
                <w:bCs/>
                <w:color w:val="auto"/>
              </w:rPr>
              <w:t>预算资金</w:t>
            </w:r>
          </w:p>
        </w:tc>
        <w:tc>
          <w:tcPr>
            <w:tcW w:w="964" w:type="dxa"/>
            <w:vMerge w:val="continue"/>
            <w:vAlign w:val="center"/>
          </w:tcPr>
          <w:p w14:paraId="467714CF">
            <w:pPr>
              <w:spacing w:line="300" w:lineRule="exact"/>
              <w:jc w:val="center"/>
              <w:outlineLvl w:val="0"/>
              <w:rPr>
                <w:rFonts w:ascii="方正书宋_GBK" w:eastAsia="方正书宋_GBK" w:cs="Times New Roman"/>
                <w:b/>
                <w:bCs/>
                <w:color w:val="auto"/>
              </w:rPr>
            </w:pPr>
          </w:p>
        </w:tc>
        <w:tc>
          <w:tcPr>
            <w:tcW w:w="976" w:type="dxa"/>
            <w:vMerge w:val="continue"/>
            <w:vAlign w:val="center"/>
          </w:tcPr>
          <w:p w14:paraId="4AB02A7C">
            <w:pPr>
              <w:spacing w:line="300" w:lineRule="exact"/>
              <w:jc w:val="center"/>
              <w:outlineLvl w:val="0"/>
              <w:rPr>
                <w:rFonts w:ascii="方正书宋_GBK" w:eastAsia="方正书宋_GBK" w:cs="Times New Roman"/>
                <w:b/>
                <w:bCs/>
                <w:color w:val="auto"/>
              </w:rPr>
            </w:pPr>
          </w:p>
        </w:tc>
        <w:tc>
          <w:tcPr>
            <w:tcW w:w="751" w:type="dxa"/>
            <w:vMerge w:val="continue"/>
            <w:vAlign w:val="center"/>
          </w:tcPr>
          <w:p w14:paraId="3774986C">
            <w:pPr>
              <w:spacing w:line="300" w:lineRule="exact"/>
              <w:jc w:val="center"/>
              <w:outlineLvl w:val="0"/>
              <w:rPr>
                <w:rFonts w:ascii="方正书宋_GBK" w:eastAsia="方正书宋_GBK" w:cs="Times New Roman"/>
                <w:b/>
                <w:bCs/>
                <w:color w:val="auto"/>
              </w:rPr>
            </w:pPr>
          </w:p>
        </w:tc>
        <w:tc>
          <w:tcPr>
            <w:tcW w:w="883" w:type="dxa"/>
            <w:vMerge w:val="continue"/>
            <w:vAlign w:val="center"/>
          </w:tcPr>
          <w:p w14:paraId="16E770DA">
            <w:pPr>
              <w:spacing w:line="300" w:lineRule="exact"/>
              <w:jc w:val="center"/>
              <w:outlineLvl w:val="0"/>
              <w:rPr>
                <w:rFonts w:ascii="方正书宋_GBK" w:eastAsia="方正书宋_GBK" w:cs="Times New Roman"/>
                <w:b/>
                <w:bCs/>
                <w:color w:val="auto"/>
              </w:rPr>
            </w:pPr>
          </w:p>
        </w:tc>
        <w:tc>
          <w:tcPr>
            <w:tcW w:w="839" w:type="dxa"/>
            <w:vMerge w:val="continue"/>
            <w:vAlign w:val="center"/>
          </w:tcPr>
          <w:p w14:paraId="1D30CAB7">
            <w:pPr>
              <w:spacing w:line="300" w:lineRule="exact"/>
              <w:jc w:val="center"/>
              <w:outlineLvl w:val="0"/>
              <w:rPr>
                <w:rFonts w:ascii="方正书宋_GBK" w:eastAsia="方正书宋_GBK" w:cs="Times New Roman"/>
                <w:b/>
                <w:bCs/>
                <w:color w:val="auto"/>
              </w:rPr>
            </w:pPr>
          </w:p>
        </w:tc>
        <w:tc>
          <w:tcPr>
            <w:tcW w:w="952" w:type="dxa"/>
            <w:vMerge w:val="restart"/>
            <w:vAlign w:val="center"/>
          </w:tcPr>
          <w:p w14:paraId="625E7A32">
            <w:pPr>
              <w:spacing w:line="300" w:lineRule="exact"/>
              <w:jc w:val="center"/>
              <w:rPr>
                <w:rFonts w:ascii="方正书宋_GBK" w:eastAsia="方正书宋_GBK" w:cs="Times New Roman"/>
                <w:b/>
                <w:bCs/>
                <w:color w:val="auto"/>
              </w:rPr>
            </w:pPr>
            <w:r>
              <w:rPr>
                <w:rFonts w:hint="eastAsia" w:ascii="方正书宋_GBK" w:eastAsia="方正书宋_GBK" w:cs="方正书宋_GBK"/>
                <w:b/>
                <w:bCs/>
                <w:color w:val="auto"/>
              </w:rPr>
              <w:t>总计</w:t>
            </w:r>
          </w:p>
        </w:tc>
        <w:tc>
          <w:tcPr>
            <w:tcW w:w="4766" w:type="dxa"/>
            <w:gridSpan w:val="5"/>
            <w:vAlign w:val="center"/>
          </w:tcPr>
          <w:p w14:paraId="6D354930">
            <w:pPr>
              <w:spacing w:line="300" w:lineRule="exact"/>
              <w:jc w:val="center"/>
              <w:rPr>
                <w:rFonts w:ascii="方正书宋_GBK" w:eastAsia="方正书宋_GBK" w:cs="Times New Roman"/>
                <w:b/>
                <w:bCs/>
                <w:color w:val="auto"/>
              </w:rPr>
            </w:pPr>
            <w:r>
              <w:rPr>
                <w:rFonts w:hint="eastAsia" w:ascii="方正书宋_GBK" w:eastAsia="方正书宋_GBK" w:cs="方正书宋_GBK"/>
                <w:b/>
                <w:bCs/>
                <w:color w:val="auto"/>
              </w:rPr>
              <w:t>当年部门预算安排资金</w:t>
            </w:r>
          </w:p>
        </w:tc>
        <w:tc>
          <w:tcPr>
            <w:tcW w:w="912" w:type="dxa"/>
            <w:vMerge w:val="restart"/>
            <w:vAlign w:val="center"/>
          </w:tcPr>
          <w:p w14:paraId="3BB0630E">
            <w:pPr>
              <w:spacing w:line="300" w:lineRule="exact"/>
              <w:jc w:val="center"/>
              <w:rPr>
                <w:rFonts w:ascii="方正书宋_GBK" w:eastAsia="方正书宋_GBK" w:cs="Times New Roman"/>
                <w:b/>
                <w:bCs/>
                <w:color w:val="auto"/>
              </w:rPr>
            </w:pPr>
            <w:r>
              <w:rPr>
                <w:rFonts w:hint="eastAsia" w:ascii="方正书宋_GBK" w:eastAsia="方正书宋_GBK" w:cs="方正书宋_GBK"/>
                <w:b/>
                <w:bCs/>
                <w:color w:val="auto"/>
              </w:rPr>
              <w:t>其他渠道资金</w:t>
            </w:r>
          </w:p>
        </w:tc>
      </w:tr>
      <w:tr w14:paraId="4B194D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437" w:type="dxa"/>
            <w:vMerge w:val="continue"/>
            <w:vAlign w:val="center"/>
          </w:tcPr>
          <w:p w14:paraId="347E57ED">
            <w:pPr>
              <w:spacing w:line="300" w:lineRule="exact"/>
              <w:jc w:val="center"/>
              <w:rPr>
                <w:rFonts w:ascii="方正书宋_GBK" w:eastAsia="方正书宋_GBK" w:cs="Times New Roman"/>
                <w:b/>
                <w:bCs/>
                <w:color w:val="auto"/>
              </w:rPr>
            </w:pPr>
          </w:p>
        </w:tc>
        <w:tc>
          <w:tcPr>
            <w:tcW w:w="1088" w:type="dxa"/>
            <w:vMerge w:val="continue"/>
            <w:vAlign w:val="center"/>
          </w:tcPr>
          <w:p w14:paraId="646A63D7">
            <w:pPr>
              <w:spacing w:line="300" w:lineRule="exact"/>
              <w:jc w:val="center"/>
              <w:rPr>
                <w:rFonts w:ascii="方正书宋_GBK" w:eastAsia="方正书宋_GBK" w:cs="Times New Roman"/>
                <w:b/>
                <w:bCs/>
                <w:color w:val="auto"/>
              </w:rPr>
            </w:pPr>
          </w:p>
        </w:tc>
        <w:tc>
          <w:tcPr>
            <w:tcW w:w="964" w:type="dxa"/>
            <w:vMerge w:val="continue"/>
            <w:vAlign w:val="center"/>
          </w:tcPr>
          <w:p w14:paraId="6581CEB4">
            <w:pPr>
              <w:spacing w:line="300" w:lineRule="exact"/>
              <w:jc w:val="center"/>
              <w:rPr>
                <w:rFonts w:ascii="方正书宋_GBK" w:eastAsia="方正书宋_GBK" w:cs="Times New Roman"/>
                <w:b/>
                <w:bCs/>
                <w:color w:val="auto"/>
              </w:rPr>
            </w:pPr>
          </w:p>
        </w:tc>
        <w:tc>
          <w:tcPr>
            <w:tcW w:w="976" w:type="dxa"/>
            <w:vMerge w:val="continue"/>
            <w:vAlign w:val="center"/>
          </w:tcPr>
          <w:p w14:paraId="16C41743">
            <w:pPr>
              <w:spacing w:line="300" w:lineRule="exact"/>
              <w:jc w:val="center"/>
              <w:rPr>
                <w:rFonts w:ascii="方正书宋_GBK" w:eastAsia="方正书宋_GBK" w:cs="Times New Roman"/>
                <w:b/>
                <w:bCs/>
                <w:color w:val="auto"/>
              </w:rPr>
            </w:pPr>
          </w:p>
        </w:tc>
        <w:tc>
          <w:tcPr>
            <w:tcW w:w="751" w:type="dxa"/>
            <w:vMerge w:val="continue"/>
            <w:vAlign w:val="center"/>
          </w:tcPr>
          <w:p w14:paraId="73BA39A7">
            <w:pPr>
              <w:spacing w:line="300" w:lineRule="exact"/>
              <w:jc w:val="center"/>
              <w:rPr>
                <w:rFonts w:ascii="方正书宋_GBK" w:eastAsia="方正书宋_GBK" w:cs="Times New Roman"/>
                <w:b/>
                <w:bCs/>
                <w:color w:val="auto"/>
              </w:rPr>
            </w:pPr>
          </w:p>
        </w:tc>
        <w:tc>
          <w:tcPr>
            <w:tcW w:w="883" w:type="dxa"/>
            <w:vMerge w:val="continue"/>
            <w:vAlign w:val="center"/>
          </w:tcPr>
          <w:p w14:paraId="0EC5F1DA">
            <w:pPr>
              <w:spacing w:line="300" w:lineRule="exact"/>
              <w:jc w:val="center"/>
              <w:rPr>
                <w:rFonts w:ascii="方正书宋_GBK" w:eastAsia="方正书宋_GBK" w:cs="Times New Roman"/>
                <w:b/>
                <w:bCs/>
                <w:color w:val="auto"/>
              </w:rPr>
            </w:pPr>
          </w:p>
        </w:tc>
        <w:tc>
          <w:tcPr>
            <w:tcW w:w="839" w:type="dxa"/>
            <w:vMerge w:val="continue"/>
            <w:vAlign w:val="center"/>
          </w:tcPr>
          <w:p w14:paraId="553314FC">
            <w:pPr>
              <w:spacing w:line="300" w:lineRule="exact"/>
              <w:jc w:val="center"/>
              <w:rPr>
                <w:rFonts w:ascii="方正书宋_GBK" w:eastAsia="方正书宋_GBK" w:cs="Times New Roman"/>
                <w:b/>
                <w:bCs/>
                <w:color w:val="auto"/>
              </w:rPr>
            </w:pPr>
          </w:p>
        </w:tc>
        <w:tc>
          <w:tcPr>
            <w:tcW w:w="952" w:type="dxa"/>
            <w:vMerge w:val="continue"/>
            <w:vAlign w:val="center"/>
          </w:tcPr>
          <w:p w14:paraId="22AF5E11">
            <w:pPr>
              <w:spacing w:line="300" w:lineRule="exact"/>
              <w:jc w:val="center"/>
              <w:rPr>
                <w:rFonts w:ascii="方正书宋_GBK" w:eastAsia="方正书宋_GBK" w:cs="Times New Roman"/>
                <w:b/>
                <w:bCs/>
                <w:color w:val="auto"/>
              </w:rPr>
            </w:pPr>
          </w:p>
        </w:tc>
        <w:tc>
          <w:tcPr>
            <w:tcW w:w="952" w:type="dxa"/>
            <w:vAlign w:val="center"/>
          </w:tcPr>
          <w:p w14:paraId="4797A006">
            <w:pPr>
              <w:spacing w:line="300" w:lineRule="exact"/>
              <w:jc w:val="center"/>
              <w:rPr>
                <w:rFonts w:ascii="方正书宋_GBK" w:eastAsia="方正书宋_GBK" w:cs="Times New Roman"/>
                <w:b/>
                <w:bCs/>
                <w:color w:val="auto"/>
              </w:rPr>
            </w:pPr>
            <w:r>
              <w:rPr>
                <w:rFonts w:hint="eastAsia" w:ascii="方正书宋_GBK" w:eastAsia="方正书宋_GBK" w:cs="方正书宋_GBK"/>
                <w:b/>
                <w:bCs/>
                <w:color w:val="auto"/>
              </w:rPr>
              <w:t>合计</w:t>
            </w:r>
          </w:p>
        </w:tc>
        <w:tc>
          <w:tcPr>
            <w:tcW w:w="952" w:type="dxa"/>
            <w:vAlign w:val="center"/>
          </w:tcPr>
          <w:p w14:paraId="1B94D482">
            <w:pPr>
              <w:spacing w:line="300" w:lineRule="exact"/>
              <w:jc w:val="center"/>
              <w:rPr>
                <w:rFonts w:ascii="方正书宋_GBK" w:eastAsia="方正书宋_GBK" w:cs="Times New Roman"/>
                <w:b/>
                <w:bCs/>
                <w:color w:val="auto"/>
              </w:rPr>
            </w:pPr>
            <w:r>
              <w:rPr>
                <w:rFonts w:hint="eastAsia" w:ascii="方正书宋_GBK" w:eastAsia="方正书宋_GBK" w:cs="方正书宋_GBK"/>
                <w:b/>
                <w:bCs/>
                <w:color w:val="auto"/>
              </w:rPr>
              <w:t>一般公共预算拨款</w:t>
            </w:r>
          </w:p>
        </w:tc>
        <w:tc>
          <w:tcPr>
            <w:tcW w:w="952" w:type="dxa"/>
            <w:vAlign w:val="center"/>
          </w:tcPr>
          <w:p w14:paraId="5ED86DCA">
            <w:pPr>
              <w:spacing w:line="300" w:lineRule="exact"/>
              <w:jc w:val="center"/>
              <w:rPr>
                <w:rFonts w:ascii="方正书宋_GBK" w:eastAsia="方正书宋_GBK" w:cs="Times New Roman"/>
                <w:b/>
                <w:bCs/>
                <w:color w:val="auto"/>
              </w:rPr>
            </w:pPr>
            <w:r>
              <w:rPr>
                <w:rFonts w:hint="eastAsia" w:ascii="方正书宋_GBK" w:eastAsia="方正书宋_GBK" w:cs="方正书宋_GBK"/>
                <w:b/>
                <w:bCs/>
                <w:color w:val="auto"/>
              </w:rPr>
              <w:t>基金预算拨款</w:t>
            </w:r>
          </w:p>
        </w:tc>
        <w:tc>
          <w:tcPr>
            <w:tcW w:w="955" w:type="dxa"/>
            <w:vAlign w:val="center"/>
          </w:tcPr>
          <w:p w14:paraId="76C5F93A">
            <w:pPr>
              <w:spacing w:line="300" w:lineRule="exact"/>
              <w:jc w:val="center"/>
              <w:rPr>
                <w:rFonts w:ascii="方正书宋_GBK" w:eastAsia="方正书宋_GBK" w:cs="Times New Roman"/>
                <w:b/>
                <w:bCs/>
                <w:color w:val="auto"/>
              </w:rPr>
            </w:pPr>
            <w:r>
              <w:rPr>
                <w:rFonts w:hint="eastAsia" w:ascii="方正书宋_GBK" w:eastAsia="方正书宋_GBK" w:cs="方正书宋_GBK"/>
                <w:b/>
                <w:bCs/>
                <w:color w:val="auto"/>
              </w:rPr>
              <w:t>财政专户核拨</w:t>
            </w:r>
          </w:p>
        </w:tc>
        <w:tc>
          <w:tcPr>
            <w:tcW w:w="955" w:type="dxa"/>
            <w:vAlign w:val="center"/>
          </w:tcPr>
          <w:p w14:paraId="6504F505">
            <w:pPr>
              <w:spacing w:line="300" w:lineRule="exact"/>
              <w:jc w:val="center"/>
              <w:rPr>
                <w:rFonts w:ascii="方正书宋_GBK" w:eastAsia="方正书宋_GBK" w:cs="Times New Roman"/>
                <w:b/>
                <w:bCs/>
                <w:color w:val="auto"/>
              </w:rPr>
            </w:pPr>
            <w:r>
              <w:rPr>
                <w:rFonts w:hint="eastAsia" w:ascii="方正书宋_GBK" w:eastAsia="方正书宋_GBK" w:cs="方正书宋_GBK"/>
                <w:b/>
                <w:bCs/>
                <w:color w:val="auto"/>
              </w:rPr>
              <w:t>其他来源收入</w:t>
            </w:r>
          </w:p>
        </w:tc>
        <w:tc>
          <w:tcPr>
            <w:tcW w:w="912" w:type="dxa"/>
            <w:vMerge w:val="continue"/>
            <w:vAlign w:val="center"/>
          </w:tcPr>
          <w:p w14:paraId="1F398FF5">
            <w:pPr>
              <w:spacing w:line="300" w:lineRule="exact"/>
              <w:jc w:val="center"/>
              <w:rPr>
                <w:rFonts w:ascii="方正书宋_GBK" w:eastAsia="方正书宋_GBK" w:cs="Times New Roman"/>
                <w:b/>
                <w:bCs/>
                <w:color w:val="auto"/>
              </w:rPr>
            </w:pPr>
          </w:p>
        </w:tc>
      </w:tr>
      <w:tr w14:paraId="58E165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2437" w:type="dxa"/>
            <w:vAlign w:val="center"/>
          </w:tcPr>
          <w:p w14:paraId="29A912B2">
            <w:pPr>
              <w:spacing w:line="300" w:lineRule="exact"/>
              <w:jc w:val="center"/>
              <w:rPr>
                <w:rFonts w:ascii="方正书宋_GBK" w:eastAsia="方正书宋_GBK" w:cs="Times New Roman"/>
                <w:b/>
                <w:bCs/>
                <w:color w:val="auto"/>
              </w:rPr>
            </w:pPr>
            <w:r>
              <w:rPr>
                <w:rFonts w:hint="eastAsia" w:ascii="方正书宋_GBK" w:eastAsia="方正书宋_GBK" w:cs="方正书宋_GBK"/>
                <w:b/>
                <w:bCs/>
                <w:color w:val="auto"/>
              </w:rPr>
              <w:t>合　计</w:t>
            </w:r>
          </w:p>
        </w:tc>
        <w:tc>
          <w:tcPr>
            <w:tcW w:w="1088" w:type="dxa"/>
            <w:vAlign w:val="center"/>
          </w:tcPr>
          <w:p w14:paraId="2251C539">
            <w:pPr>
              <w:spacing w:line="300" w:lineRule="exact"/>
              <w:jc w:val="center"/>
              <w:rPr>
                <w:rFonts w:ascii="方正书宋_GBK" w:eastAsia="方正书宋_GBK" w:cs="Times New Roman"/>
                <w:b/>
                <w:bCs/>
                <w:color w:val="auto"/>
              </w:rPr>
            </w:pPr>
          </w:p>
        </w:tc>
        <w:tc>
          <w:tcPr>
            <w:tcW w:w="964" w:type="dxa"/>
            <w:vAlign w:val="center"/>
          </w:tcPr>
          <w:p w14:paraId="0400B7B8">
            <w:pPr>
              <w:spacing w:line="300" w:lineRule="exact"/>
              <w:jc w:val="center"/>
              <w:rPr>
                <w:rFonts w:ascii="方正书宋_GBK" w:eastAsia="方正书宋_GBK" w:cs="Times New Roman"/>
                <w:b/>
                <w:bCs/>
                <w:color w:val="auto"/>
              </w:rPr>
            </w:pPr>
          </w:p>
        </w:tc>
        <w:tc>
          <w:tcPr>
            <w:tcW w:w="976" w:type="dxa"/>
            <w:vAlign w:val="center"/>
          </w:tcPr>
          <w:p w14:paraId="7A1F15D4">
            <w:pPr>
              <w:spacing w:line="300" w:lineRule="exact"/>
              <w:jc w:val="center"/>
              <w:rPr>
                <w:rFonts w:ascii="方正书宋_GBK" w:eastAsia="方正书宋_GBK" w:cs="Times New Roman"/>
                <w:b/>
                <w:bCs/>
                <w:color w:val="auto"/>
              </w:rPr>
            </w:pPr>
          </w:p>
        </w:tc>
        <w:tc>
          <w:tcPr>
            <w:tcW w:w="751" w:type="dxa"/>
            <w:vAlign w:val="center"/>
          </w:tcPr>
          <w:p w14:paraId="347CA033">
            <w:pPr>
              <w:spacing w:line="300" w:lineRule="exact"/>
              <w:jc w:val="center"/>
              <w:rPr>
                <w:rFonts w:ascii="方正书宋_GBK" w:eastAsia="方正书宋_GBK" w:cs="Times New Roman"/>
                <w:b/>
                <w:bCs/>
                <w:color w:val="auto"/>
              </w:rPr>
            </w:pPr>
          </w:p>
        </w:tc>
        <w:tc>
          <w:tcPr>
            <w:tcW w:w="883" w:type="dxa"/>
            <w:vAlign w:val="center"/>
          </w:tcPr>
          <w:p w14:paraId="2A0B4E0D">
            <w:pPr>
              <w:spacing w:line="300" w:lineRule="exact"/>
              <w:jc w:val="center"/>
              <w:rPr>
                <w:rFonts w:ascii="方正书宋_GBK" w:eastAsia="方正书宋_GBK" w:cs="Times New Roman"/>
                <w:b/>
                <w:bCs/>
                <w:color w:val="auto"/>
              </w:rPr>
            </w:pPr>
          </w:p>
        </w:tc>
        <w:tc>
          <w:tcPr>
            <w:tcW w:w="839" w:type="dxa"/>
            <w:vAlign w:val="center"/>
          </w:tcPr>
          <w:p w14:paraId="19D3F924">
            <w:pPr>
              <w:spacing w:line="300" w:lineRule="exact"/>
              <w:jc w:val="center"/>
              <w:rPr>
                <w:rFonts w:ascii="方正书宋_GBK" w:eastAsia="方正书宋_GBK" w:cs="Times New Roman"/>
                <w:b/>
                <w:bCs/>
                <w:color w:val="auto"/>
              </w:rPr>
            </w:pPr>
          </w:p>
        </w:tc>
        <w:tc>
          <w:tcPr>
            <w:tcW w:w="952" w:type="dxa"/>
            <w:vAlign w:val="center"/>
          </w:tcPr>
          <w:p w14:paraId="6ED2FA50">
            <w:pPr>
              <w:spacing w:line="300" w:lineRule="exact"/>
              <w:jc w:val="center"/>
              <w:rPr>
                <w:rFonts w:ascii="方正书宋_GBK" w:eastAsia="方正书宋_GBK" w:cs="方正书宋_GBK"/>
                <w:b/>
                <w:bCs/>
                <w:color w:val="auto"/>
              </w:rPr>
            </w:pPr>
            <w:r>
              <w:rPr>
                <w:rFonts w:ascii="方正书宋_GBK" w:eastAsia="方正书宋_GBK" w:cs="方正书宋_GBK"/>
                <w:b/>
                <w:bCs/>
                <w:color w:val="auto"/>
              </w:rPr>
              <w:t>4.37</w:t>
            </w:r>
          </w:p>
        </w:tc>
        <w:tc>
          <w:tcPr>
            <w:tcW w:w="952" w:type="dxa"/>
            <w:vAlign w:val="center"/>
          </w:tcPr>
          <w:p w14:paraId="0218096D">
            <w:pPr>
              <w:spacing w:line="300" w:lineRule="exact"/>
              <w:jc w:val="center"/>
              <w:rPr>
                <w:rFonts w:ascii="方正书宋_GBK" w:eastAsia="方正书宋_GBK" w:cs="方正书宋_GBK"/>
                <w:b/>
                <w:bCs/>
                <w:color w:val="auto"/>
              </w:rPr>
            </w:pPr>
            <w:r>
              <w:rPr>
                <w:rFonts w:ascii="方正书宋_GBK" w:eastAsia="方正书宋_GBK" w:cs="方正书宋_GBK"/>
                <w:b/>
                <w:bCs/>
                <w:color w:val="auto"/>
              </w:rPr>
              <w:t>4.37</w:t>
            </w:r>
          </w:p>
        </w:tc>
        <w:tc>
          <w:tcPr>
            <w:tcW w:w="952" w:type="dxa"/>
            <w:vAlign w:val="center"/>
          </w:tcPr>
          <w:p w14:paraId="25BD6406">
            <w:pPr>
              <w:spacing w:line="300" w:lineRule="exact"/>
              <w:jc w:val="center"/>
              <w:rPr>
                <w:rFonts w:ascii="方正书宋_GBK" w:eastAsia="方正书宋_GBK" w:cs="方正书宋_GBK"/>
                <w:b/>
                <w:bCs/>
                <w:color w:val="auto"/>
              </w:rPr>
            </w:pPr>
            <w:r>
              <w:rPr>
                <w:rFonts w:ascii="方正书宋_GBK" w:eastAsia="方正书宋_GBK" w:cs="方正书宋_GBK"/>
                <w:b/>
                <w:bCs/>
                <w:color w:val="auto"/>
              </w:rPr>
              <w:t>4.37</w:t>
            </w:r>
          </w:p>
        </w:tc>
        <w:tc>
          <w:tcPr>
            <w:tcW w:w="952" w:type="dxa"/>
            <w:vAlign w:val="center"/>
          </w:tcPr>
          <w:p w14:paraId="0016C600">
            <w:pPr>
              <w:spacing w:line="300" w:lineRule="exact"/>
              <w:jc w:val="center"/>
              <w:rPr>
                <w:rFonts w:ascii="方正书宋_GBK" w:eastAsia="方正书宋_GBK" w:cs="方正书宋_GBK"/>
                <w:b/>
                <w:bCs/>
                <w:color w:val="auto"/>
              </w:rPr>
            </w:pPr>
          </w:p>
        </w:tc>
        <w:tc>
          <w:tcPr>
            <w:tcW w:w="955" w:type="dxa"/>
            <w:vAlign w:val="center"/>
          </w:tcPr>
          <w:p w14:paraId="401FA2C1">
            <w:pPr>
              <w:spacing w:line="300" w:lineRule="exact"/>
              <w:jc w:val="center"/>
              <w:rPr>
                <w:rFonts w:ascii="方正书宋_GBK" w:eastAsia="方正书宋_GBK" w:cs="方正书宋_GBK"/>
                <w:b/>
                <w:bCs/>
                <w:color w:val="auto"/>
              </w:rPr>
            </w:pPr>
          </w:p>
        </w:tc>
        <w:tc>
          <w:tcPr>
            <w:tcW w:w="955" w:type="dxa"/>
            <w:vAlign w:val="center"/>
          </w:tcPr>
          <w:p w14:paraId="1D521C79">
            <w:pPr>
              <w:spacing w:line="300" w:lineRule="exact"/>
              <w:jc w:val="center"/>
              <w:rPr>
                <w:rFonts w:ascii="方正书宋_GBK" w:eastAsia="方正书宋_GBK" w:cs="方正书宋_GBK"/>
                <w:b/>
                <w:bCs/>
                <w:color w:val="auto"/>
              </w:rPr>
            </w:pPr>
          </w:p>
        </w:tc>
        <w:tc>
          <w:tcPr>
            <w:tcW w:w="912" w:type="dxa"/>
            <w:vAlign w:val="center"/>
          </w:tcPr>
          <w:p w14:paraId="74DDD68E">
            <w:pPr>
              <w:spacing w:line="300" w:lineRule="exact"/>
              <w:jc w:val="center"/>
              <w:rPr>
                <w:rFonts w:ascii="方正书宋_GBK" w:eastAsia="方正书宋_GBK" w:cs="方正书宋_GBK"/>
                <w:b/>
                <w:bCs/>
                <w:color w:val="auto"/>
              </w:rPr>
            </w:pPr>
          </w:p>
        </w:tc>
      </w:tr>
      <w:tr w14:paraId="3C9423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2437" w:type="dxa"/>
            <w:vAlign w:val="center"/>
          </w:tcPr>
          <w:p w14:paraId="21D0545C">
            <w:pPr>
              <w:spacing w:line="300" w:lineRule="exact"/>
              <w:jc w:val="center"/>
              <w:rPr>
                <w:rFonts w:ascii="方正书宋_GBK" w:eastAsia="方正书宋_GBK" w:cs="Times New Roman"/>
                <w:b/>
                <w:bCs/>
                <w:color w:val="auto"/>
              </w:rPr>
            </w:pPr>
            <w:r>
              <w:rPr>
                <w:rFonts w:hint="eastAsia" w:ascii="方正书宋_GBK" w:eastAsia="方正书宋_GBK" w:cs="方正书宋_GBK"/>
                <w:b/>
                <w:bCs/>
                <w:color w:val="auto"/>
              </w:rPr>
              <w:t>曲阳县编办小计</w:t>
            </w:r>
          </w:p>
        </w:tc>
        <w:tc>
          <w:tcPr>
            <w:tcW w:w="1088" w:type="dxa"/>
            <w:vAlign w:val="center"/>
          </w:tcPr>
          <w:p w14:paraId="19B75605">
            <w:pPr>
              <w:spacing w:line="300" w:lineRule="exact"/>
              <w:jc w:val="center"/>
              <w:rPr>
                <w:rFonts w:ascii="方正书宋_GBK" w:eastAsia="方正书宋_GBK" w:cs="Times New Roman"/>
                <w:b/>
                <w:bCs/>
                <w:color w:val="auto"/>
              </w:rPr>
            </w:pPr>
          </w:p>
        </w:tc>
        <w:tc>
          <w:tcPr>
            <w:tcW w:w="964" w:type="dxa"/>
            <w:vAlign w:val="center"/>
          </w:tcPr>
          <w:p w14:paraId="542E524F">
            <w:pPr>
              <w:spacing w:line="300" w:lineRule="exact"/>
              <w:jc w:val="center"/>
              <w:rPr>
                <w:rFonts w:ascii="方正书宋_GBK" w:eastAsia="方正书宋_GBK" w:cs="Times New Roman"/>
                <w:b/>
                <w:bCs/>
                <w:color w:val="auto"/>
              </w:rPr>
            </w:pPr>
          </w:p>
        </w:tc>
        <w:tc>
          <w:tcPr>
            <w:tcW w:w="976" w:type="dxa"/>
            <w:vAlign w:val="center"/>
          </w:tcPr>
          <w:p w14:paraId="484FA5BD">
            <w:pPr>
              <w:spacing w:line="300" w:lineRule="exact"/>
              <w:jc w:val="center"/>
              <w:rPr>
                <w:rFonts w:ascii="方正书宋_GBK" w:eastAsia="方正书宋_GBK" w:cs="Times New Roman"/>
                <w:b/>
                <w:bCs/>
                <w:color w:val="auto"/>
              </w:rPr>
            </w:pPr>
          </w:p>
        </w:tc>
        <w:tc>
          <w:tcPr>
            <w:tcW w:w="751" w:type="dxa"/>
            <w:vAlign w:val="center"/>
          </w:tcPr>
          <w:p w14:paraId="14A696D9">
            <w:pPr>
              <w:spacing w:line="300" w:lineRule="exact"/>
              <w:jc w:val="center"/>
              <w:rPr>
                <w:rFonts w:ascii="方正书宋_GBK" w:eastAsia="方正书宋_GBK" w:cs="Times New Roman"/>
                <w:b/>
                <w:bCs/>
                <w:color w:val="auto"/>
              </w:rPr>
            </w:pPr>
          </w:p>
        </w:tc>
        <w:tc>
          <w:tcPr>
            <w:tcW w:w="883" w:type="dxa"/>
            <w:vAlign w:val="center"/>
          </w:tcPr>
          <w:p w14:paraId="584BDBDF">
            <w:pPr>
              <w:spacing w:line="300" w:lineRule="exact"/>
              <w:jc w:val="center"/>
              <w:rPr>
                <w:rFonts w:ascii="方正书宋_GBK" w:eastAsia="方正书宋_GBK" w:cs="Times New Roman"/>
                <w:b/>
                <w:bCs/>
                <w:color w:val="auto"/>
              </w:rPr>
            </w:pPr>
          </w:p>
        </w:tc>
        <w:tc>
          <w:tcPr>
            <w:tcW w:w="839" w:type="dxa"/>
            <w:vAlign w:val="center"/>
          </w:tcPr>
          <w:p w14:paraId="4801CED3">
            <w:pPr>
              <w:spacing w:line="300" w:lineRule="exact"/>
              <w:jc w:val="center"/>
              <w:rPr>
                <w:rFonts w:ascii="方正书宋_GBK" w:eastAsia="方正书宋_GBK" w:cs="Times New Roman"/>
                <w:b/>
                <w:bCs/>
                <w:color w:val="auto"/>
              </w:rPr>
            </w:pPr>
          </w:p>
        </w:tc>
        <w:tc>
          <w:tcPr>
            <w:tcW w:w="952" w:type="dxa"/>
            <w:vAlign w:val="center"/>
          </w:tcPr>
          <w:p w14:paraId="75679E3C">
            <w:pPr>
              <w:spacing w:line="300" w:lineRule="exact"/>
              <w:jc w:val="center"/>
              <w:rPr>
                <w:rFonts w:ascii="方正书宋_GBK" w:eastAsia="方正书宋_GBK" w:cs="方正书宋_GBK"/>
                <w:b/>
                <w:bCs/>
                <w:color w:val="auto"/>
              </w:rPr>
            </w:pPr>
            <w:r>
              <w:rPr>
                <w:rFonts w:ascii="方正书宋_GBK" w:eastAsia="方正书宋_GBK" w:cs="方正书宋_GBK"/>
                <w:b/>
                <w:bCs/>
                <w:color w:val="auto"/>
              </w:rPr>
              <w:t>4.37</w:t>
            </w:r>
          </w:p>
        </w:tc>
        <w:tc>
          <w:tcPr>
            <w:tcW w:w="952" w:type="dxa"/>
            <w:vAlign w:val="center"/>
          </w:tcPr>
          <w:p w14:paraId="4032F183">
            <w:pPr>
              <w:spacing w:line="300" w:lineRule="exact"/>
              <w:jc w:val="center"/>
              <w:rPr>
                <w:rFonts w:ascii="方正书宋_GBK" w:eastAsia="方正书宋_GBK" w:cs="方正书宋_GBK"/>
                <w:b/>
                <w:bCs/>
                <w:color w:val="auto"/>
              </w:rPr>
            </w:pPr>
            <w:r>
              <w:rPr>
                <w:rFonts w:ascii="方正书宋_GBK" w:eastAsia="方正书宋_GBK" w:cs="方正书宋_GBK"/>
                <w:b/>
                <w:bCs/>
                <w:color w:val="auto"/>
              </w:rPr>
              <w:t>4.37</w:t>
            </w:r>
          </w:p>
        </w:tc>
        <w:tc>
          <w:tcPr>
            <w:tcW w:w="952" w:type="dxa"/>
            <w:vAlign w:val="center"/>
          </w:tcPr>
          <w:p w14:paraId="5A21B09E">
            <w:pPr>
              <w:spacing w:line="300" w:lineRule="exact"/>
              <w:jc w:val="center"/>
              <w:rPr>
                <w:rFonts w:ascii="方正书宋_GBK" w:eastAsia="方正书宋_GBK" w:cs="方正书宋_GBK"/>
                <w:b/>
                <w:bCs/>
                <w:color w:val="auto"/>
              </w:rPr>
            </w:pPr>
            <w:r>
              <w:rPr>
                <w:rFonts w:ascii="方正书宋_GBK" w:eastAsia="方正书宋_GBK" w:cs="方正书宋_GBK"/>
                <w:b/>
                <w:bCs/>
                <w:color w:val="auto"/>
              </w:rPr>
              <w:t>4.37</w:t>
            </w:r>
          </w:p>
        </w:tc>
        <w:tc>
          <w:tcPr>
            <w:tcW w:w="952" w:type="dxa"/>
            <w:vAlign w:val="center"/>
          </w:tcPr>
          <w:p w14:paraId="714179B3">
            <w:pPr>
              <w:spacing w:line="300" w:lineRule="exact"/>
              <w:jc w:val="left"/>
              <w:rPr>
                <w:rFonts w:ascii="方正书宋_GBK" w:eastAsia="方正书宋_GBK" w:cs="Times New Roman"/>
                <w:color w:val="auto"/>
              </w:rPr>
            </w:pPr>
          </w:p>
        </w:tc>
        <w:tc>
          <w:tcPr>
            <w:tcW w:w="955" w:type="dxa"/>
            <w:vAlign w:val="center"/>
          </w:tcPr>
          <w:p w14:paraId="1268B8CB">
            <w:pPr>
              <w:spacing w:line="300" w:lineRule="exact"/>
              <w:jc w:val="left"/>
              <w:rPr>
                <w:rFonts w:ascii="方正书宋_GBK" w:eastAsia="方正书宋_GBK" w:cs="Times New Roman"/>
                <w:color w:val="auto"/>
              </w:rPr>
            </w:pPr>
          </w:p>
        </w:tc>
        <w:tc>
          <w:tcPr>
            <w:tcW w:w="955" w:type="dxa"/>
            <w:vAlign w:val="center"/>
          </w:tcPr>
          <w:p w14:paraId="7815427F">
            <w:pPr>
              <w:spacing w:line="300" w:lineRule="exact"/>
              <w:jc w:val="left"/>
              <w:rPr>
                <w:rFonts w:ascii="方正书宋_GBK" w:eastAsia="方正书宋_GBK" w:cs="Times New Roman"/>
                <w:color w:val="auto"/>
              </w:rPr>
            </w:pPr>
          </w:p>
        </w:tc>
        <w:tc>
          <w:tcPr>
            <w:tcW w:w="912" w:type="dxa"/>
            <w:vAlign w:val="center"/>
          </w:tcPr>
          <w:p w14:paraId="088D5B71">
            <w:pPr>
              <w:spacing w:line="300" w:lineRule="exact"/>
              <w:jc w:val="left"/>
              <w:rPr>
                <w:rFonts w:ascii="方正书宋_GBK" w:eastAsia="方正书宋_GBK" w:cs="Times New Roman"/>
                <w:color w:val="auto"/>
              </w:rPr>
            </w:pPr>
          </w:p>
        </w:tc>
      </w:tr>
      <w:tr w14:paraId="5FD3D7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2437" w:type="dxa"/>
            <w:vAlign w:val="center"/>
          </w:tcPr>
          <w:p w14:paraId="26383DA4">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行政审批制度改革工作</w:t>
            </w:r>
          </w:p>
        </w:tc>
        <w:tc>
          <w:tcPr>
            <w:tcW w:w="1088" w:type="dxa"/>
            <w:vAlign w:val="center"/>
          </w:tcPr>
          <w:p w14:paraId="0F75A4A1">
            <w:pPr>
              <w:spacing w:line="300" w:lineRule="exact"/>
              <w:jc w:val="right"/>
              <w:rPr>
                <w:rFonts w:ascii="方正书宋_GBK" w:eastAsia="方正书宋_GBK" w:cs="Times New Roman"/>
                <w:color w:val="auto"/>
              </w:rPr>
            </w:pPr>
            <w:r>
              <w:rPr>
                <w:rFonts w:ascii="方正书宋_GBK" w:eastAsia="方正书宋_GBK" w:cs="方正书宋_GBK"/>
                <w:color w:val="auto"/>
              </w:rPr>
              <w:t>2.75</w:t>
            </w:r>
          </w:p>
        </w:tc>
        <w:tc>
          <w:tcPr>
            <w:tcW w:w="964" w:type="dxa"/>
            <w:vAlign w:val="center"/>
          </w:tcPr>
          <w:p w14:paraId="11C89C76">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服务</w:t>
            </w:r>
          </w:p>
        </w:tc>
        <w:tc>
          <w:tcPr>
            <w:tcW w:w="976" w:type="dxa"/>
            <w:vAlign w:val="center"/>
          </w:tcPr>
          <w:p w14:paraId="08CB06BB">
            <w:pPr>
              <w:spacing w:line="300" w:lineRule="exact"/>
              <w:jc w:val="left"/>
              <w:rPr>
                <w:rFonts w:ascii="方正书宋_GBK" w:eastAsia="方正书宋_GBK" w:cs="Times New Roman"/>
                <w:color w:val="auto"/>
              </w:rPr>
            </w:pPr>
            <w:r>
              <w:rPr>
                <w:rFonts w:ascii="方正书宋_GBK" w:eastAsia="方正书宋_GBK" w:cs="方正书宋_GBK"/>
                <w:color w:val="auto"/>
              </w:rPr>
              <w:t>C</w:t>
            </w:r>
          </w:p>
        </w:tc>
        <w:tc>
          <w:tcPr>
            <w:tcW w:w="751" w:type="dxa"/>
            <w:vAlign w:val="center"/>
          </w:tcPr>
          <w:p w14:paraId="2FAB7E3A">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份</w:t>
            </w:r>
          </w:p>
        </w:tc>
        <w:tc>
          <w:tcPr>
            <w:tcW w:w="883" w:type="dxa"/>
            <w:vAlign w:val="center"/>
          </w:tcPr>
          <w:p w14:paraId="31751B83">
            <w:pPr>
              <w:spacing w:line="300" w:lineRule="exact"/>
              <w:jc w:val="right"/>
              <w:rPr>
                <w:rFonts w:ascii="方正书宋_GBK" w:eastAsia="方正书宋_GBK" w:cs="Times New Roman"/>
                <w:color w:val="auto"/>
              </w:rPr>
            </w:pPr>
            <w:r>
              <w:rPr>
                <w:rFonts w:ascii="方正书宋_GBK" w:eastAsia="方正书宋_GBK" w:cs="方正书宋_GBK"/>
                <w:color w:val="auto"/>
              </w:rPr>
              <w:t>120.00</w:t>
            </w:r>
          </w:p>
        </w:tc>
        <w:tc>
          <w:tcPr>
            <w:tcW w:w="839" w:type="dxa"/>
            <w:vAlign w:val="center"/>
          </w:tcPr>
          <w:p w14:paraId="7E410C7F">
            <w:pPr>
              <w:spacing w:line="300" w:lineRule="exact"/>
              <w:jc w:val="right"/>
              <w:rPr>
                <w:rFonts w:ascii="方正书宋_GBK" w:eastAsia="方正书宋_GBK" w:cs="Times New Roman"/>
                <w:color w:val="auto"/>
              </w:rPr>
            </w:pPr>
            <w:r>
              <w:rPr>
                <w:rFonts w:ascii="方正书宋_GBK" w:eastAsia="方正书宋_GBK" w:cs="方正书宋_GBK"/>
                <w:color w:val="auto"/>
              </w:rPr>
              <w:t>0.01</w:t>
            </w:r>
          </w:p>
        </w:tc>
        <w:tc>
          <w:tcPr>
            <w:tcW w:w="952" w:type="dxa"/>
            <w:vAlign w:val="center"/>
          </w:tcPr>
          <w:p w14:paraId="3A102DED">
            <w:pPr>
              <w:spacing w:line="300" w:lineRule="exact"/>
              <w:jc w:val="right"/>
              <w:rPr>
                <w:rFonts w:ascii="方正书宋_GBK" w:eastAsia="方正书宋_GBK" w:cs="方正书宋_GBK"/>
                <w:color w:val="auto"/>
              </w:rPr>
            </w:pPr>
            <w:r>
              <w:rPr>
                <w:rFonts w:ascii="方正书宋_GBK" w:eastAsia="方正书宋_GBK" w:cs="方正书宋_GBK"/>
                <w:color w:val="auto"/>
              </w:rPr>
              <w:t>1.20</w:t>
            </w:r>
          </w:p>
        </w:tc>
        <w:tc>
          <w:tcPr>
            <w:tcW w:w="952" w:type="dxa"/>
            <w:vAlign w:val="center"/>
          </w:tcPr>
          <w:p w14:paraId="62948999">
            <w:pPr>
              <w:spacing w:line="300" w:lineRule="exact"/>
              <w:jc w:val="right"/>
              <w:rPr>
                <w:rFonts w:ascii="方正书宋_GBK" w:eastAsia="方正书宋_GBK" w:cs="方正书宋_GBK"/>
                <w:color w:val="auto"/>
              </w:rPr>
            </w:pPr>
            <w:r>
              <w:rPr>
                <w:rFonts w:ascii="方正书宋_GBK" w:eastAsia="方正书宋_GBK" w:cs="方正书宋_GBK"/>
                <w:color w:val="auto"/>
              </w:rPr>
              <w:t>1.20</w:t>
            </w:r>
          </w:p>
        </w:tc>
        <w:tc>
          <w:tcPr>
            <w:tcW w:w="952" w:type="dxa"/>
            <w:vAlign w:val="center"/>
          </w:tcPr>
          <w:p w14:paraId="7F6FA88A">
            <w:pPr>
              <w:spacing w:line="300" w:lineRule="exact"/>
              <w:jc w:val="right"/>
              <w:rPr>
                <w:rFonts w:ascii="方正书宋_GBK" w:eastAsia="方正书宋_GBK" w:cs="方正书宋_GBK"/>
                <w:color w:val="auto"/>
              </w:rPr>
            </w:pPr>
            <w:r>
              <w:rPr>
                <w:rFonts w:ascii="方正书宋_GBK" w:eastAsia="方正书宋_GBK" w:cs="方正书宋_GBK"/>
                <w:color w:val="auto"/>
              </w:rPr>
              <w:t>1.20</w:t>
            </w:r>
          </w:p>
        </w:tc>
        <w:tc>
          <w:tcPr>
            <w:tcW w:w="952" w:type="dxa"/>
            <w:vAlign w:val="center"/>
          </w:tcPr>
          <w:p w14:paraId="54A2941F">
            <w:pPr>
              <w:spacing w:line="300" w:lineRule="exact"/>
              <w:jc w:val="right"/>
              <w:rPr>
                <w:rFonts w:ascii="方正书宋_GBK" w:eastAsia="方正书宋_GBK" w:cs="Times New Roman"/>
                <w:color w:val="auto"/>
              </w:rPr>
            </w:pPr>
          </w:p>
        </w:tc>
        <w:tc>
          <w:tcPr>
            <w:tcW w:w="955" w:type="dxa"/>
            <w:vAlign w:val="center"/>
          </w:tcPr>
          <w:p w14:paraId="1CE61D49">
            <w:pPr>
              <w:spacing w:line="300" w:lineRule="exact"/>
              <w:jc w:val="right"/>
              <w:rPr>
                <w:rFonts w:ascii="方正书宋_GBK" w:eastAsia="方正书宋_GBK" w:cs="Times New Roman"/>
                <w:color w:val="auto"/>
              </w:rPr>
            </w:pPr>
          </w:p>
        </w:tc>
        <w:tc>
          <w:tcPr>
            <w:tcW w:w="955" w:type="dxa"/>
            <w:vAlign w:val="center"/>
          </w:tcPr>
          <w:p w14:paraId="06605CD0">
            <w:pPr>
              <w:spacing w:line="300" w:lineRule="exact"/>
              <w:jc w:val="right"/>
              <w:rPr>
                <w:rFonts w:ascii="方正书宋_GBK" w:eastAsia="方正书宋_GBK" w:cs="Times New Roman"/>
                <w:color w:val="auto"/>
              </w:rPr>
            </w:pPr>
          </w:p>
        </w:tc>
        <w:tc>
          <w:tcPr>
            <w:tcW w:w="912" w:type="dxa"/>
            <w:vAlign w:val="center"/>
          </w:tcPr>
          <w:p w14:paraId="53896D17">
            <w:pPr>
              <w:spacing w:line="300" w:lineRule="exact"/>
              <w:jc w:val="right"/>
              <w:rPr>
                <w:rFonts w:ascii="方正书宋_GBK" w:eastAsia="方正书宋_GBK" w:cs="Times New Roman"/>
                <w:color w:val="auto"/>
              </w:rPr>
            </w:pPr>
          </w:p>
        </w:tc>
      </w:tr>
      <w:tr w14:paraId="2D838E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2437" w:type="dxa"/>
            <w:vAlign w:val="center"/>
          </w:tcPr>
          <w:p w14:paraId="4EC158F1">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行政、事业单位改革项目</w:t>
            </w:r>
          </w:p>
        </w:tc>
        <w:tc>
          <w:tcPr>
            <w:tcW w:w="1088" w:type="dxa"/>
            <w:vAlign w:val="center"/>
          </w:tcPr>
          <w:p w14:paraId="5F258803">
            <w:pPr>
              <w:spacing w:line="300" w:lineRule="exact"/>
              <w:jc w:val="right"/>
              <w:rPr>
                <w:rFonts w:ascii="方正书宋_GBK" w:eastAsia="方正书宋_GBK" w:cs="方正书宋_GBK"/>
                <w:color w:val="auto"/>
              </w:rPr>
            </w:pPr>
            <w:r>
              <w:rPr>
                <w:rFonts w:ascii="方正书宋_GBK" w:eastAsia="方正书宋_GBK" w:cs="方正书宋_GBK"/>
                <w:color w:val="auto"/>
              </w:rPr>
              <w:t>1.92</w:t>
            </w:r>
          </w:p>
        </w:tc>
        <w:tc>
          <w:tcPr>
            <w:tcW w:w="964" w:type="dxa"/>
            <w:vAlign w:val="center"/>
          </w:tcPr>
          <w:p w14:paraId="7854B3E6">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服务</w:t>
            </w:r>
          </w:p>
        </w:tc>
        <w:tc>
          <w:tcPr>
            <w:tcW w:w="976" w:type="dxa"/>
            <w:vAlign w:val="center"/>
          </w:tcPr>
          <w:p w14:paraId="0EAE7428">
            <w:pPr>
              <w:spacing w:line="300" w:lineRule="exact"/>
              <w:jc w:val="left"/>
              <w:rPr>
                <w:rFonts w:ascii="方正书宋_GBK" w:eastAsia="方正书宋_GBK" w:cs="方正书宋_GBK"/>
                <w:color w:val="auto"/>
              </w:rPr>
            </w:pPr>
            <w:r>
              <w:rPr>
                <w:rFonts w:ascii="方正书宋_GBK" w:eastAsia="方正书宋_GBK" w:cs="方正书宋_GBK"/>
                <w:color w:val="auto"/>
              </w:rPr>
              <w:t>C</w:t>
            </w:r>
          </w:p>
        </w:tc>
        <w:tc>
          <w:tcPr>
            <w:tcW w:w="751" w:type="dxa"/>
            <w:vAlign w:val="center"/>
          </w:tcPr>
          <w:p w14:paraId="3E8A7920">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份</w:t>
            </w:r>
          </w:p>
        </w:tc>
        <w:tc>
          <w:tcPr>
            <w:tcW w:w="883" w:type="dxa"/>
            <w:vAlign w:val="center"/>
          </w:tcPr>
          <w:p w14:paraId="5B5BDA7F">
            <w:pPr>
              <w:spacing w:line="300" w:lineRule="exact"/>
              <w:jc w:val="right"/>
              <w:rPr>
                <w:rFonts w:ascii="方正书宋_GBK" w:eastAsia="方正书宋_GBK" w:cs="方正书宋_GBK"/>
                <w:color w:val="auto"/>
              </w:rPr>
            </w:pPr>
            <w:r>
              <w:rPr>
                <w:rFonts w:ascii="方正书宋_GBK" w:eastAsia="方正书宋_GBK" w:cs="方正书宋_GBK"/>
                <w:color w:val="auto"/>
              </w:rPr>
              <w:t>117.00</w:t>
            </w:r>
          </w:p>
        </w:tc>
        <w:tc>
          <w:tcPr>
            <w:tcW w:w="839" w:type="dxa"/>
            <w:vAlign w:val="center"/>
          </w:tcPr>
          <w:p w14:paraId="6A389DD2">
            <w:pPr>
              <w:spacing w:line="300" w:lineRule="exact"/>
              <w:jc w:val="right"/>
              <w:rPr>
                <w:rFonts w:ascii="方正书宋_GBK" w:eastAsia="方正书宋_GBK" w:cs="方正书宋_GBK"/>
                <w:color w:val="auto"/>
              </w:rPr>
            </w:pPr>
            <w:r>
              <w:rPr>
                <w:rFonts w:ascii="方正书宋_GBK" w:eastAsia="方正书宋_GBK" w:cs="方正书宋_GBK"/>
                <w:color w:val="auto"/>
              </w:rPr>
              <w:t>0.01</w:t>
            </w:r>
          </w:p>
        </w:tc>
        <w:tc>
          <w:tcPr>
            <w:tcW w:w="952" w:type="dxa"/>
            <w:vAlign w:val="center"/>
          </w:tcPr>
          <w:p w14:paraId="7631B92F">
            <w:pPr>
              <w:spacing w:line="300" w:lineRule="exact"/>
              <w:jc w:val="right"/>
              <w:rPr>
                <w:rFonts w:ascii="方正书宋_GBK" w:eastAsia="方正书宋_GBK" w:cs="方正书宋_GBK"/>
                <w:color w:val="auto"/>
              </w:rPr>
            </w:pPr>
            <w:r>
              <w:rPr>
                <w:rFonts w:ascii="方正书宋_GBK" w:eastAsia="方正书宋_GBK" w:cs="方正书宋_GBK"/>
                <w:color w:val="auto"/>
              </w:rPr>
              <w:t>1.17</w:t>
            </w:r>
          </w:p>
        </w:tc>
        <w:tc>
          <w:tcPr>
            <w:tcW w:w="952" w:type="dxa"/>
            <w:vAlign w:val="center"/>
          </w:tcPr>
          <w:p w14:paraId="73B97480">
            <w:pPr>
              <w:spacing w:line="300" w:lineRule="exact"/>
              <w:jc w:val="right"/>
              <w:rPr>
                <w:rFonts w:ascii="方正书宋_GBK" w:eastAsia="方正书宋_GBK" w:cs="方正书宋_GBK"/>
                <w:color w:val="auto"/>
              </w:rPr>
            </w:pPr>
            <w:r>
              <w:rPr>
                <w:rFonts w:ascii="方正书宋_GBK" w:eastAsia="方正书宋_GBK" w:cs="方正书宋_GBK"/>
                <w:color w:val="auto"/>
              </w:rPr>
              <w:t>1.17</w:t>
            </w:r>
          </w:p>
        </w:tc>
        <w:tc>
          <w:tcPr>
            <w:tcW w:w="952" w:type="dxa"/>
            <w:vAlign w:val="center"/>
          </w:tcPr>
          <w:p w14:paraId="6D889D8E">
            <w:pPr>
              <w:spacing w:line="300" w:lineRule="exact"/>
              <w:jc w:val="right"/>
              <w:rPr>
                <w:rFonts w:ascii="方正书宋_GBK" w:eastAsia="方正书宋_GBK" w:cs="方正书宋_GBK"/>
                <w:color w:val="auto"/>
              </w:rPr>
            </w:pPr>
            <w:r>
              <w:rPr>
                <w:rFonts w:ascii="方正书宋_GBK" w:eastAsia="方正书宋_GBK" w:cs="方正书宋_GBK"/>
                <w:color w:val="auto"/>
              </w:rPr>
              <w:t>1.17</w:t>
            </w:r>
          </w:p>
        </w:tc>
        <w:tc>
          <w:tcPr>
            <w:tcW w:w="952" w:type="dxa"/>
            <w:vAlign w:val="center"/>
          </w:tcPr>
          <w:p w14:paraId="1071001C">
            <w:pPr>
              <w:spacing w:line="300" w:lineRule="exact"/>
              <w:jc w:val="right"/>
              <w:rPr>
                <w:rFonts w:ascii="方正书宋_GBK" w:eastAsia="方正书宋_GBK" w:cs="Times New Roman"/>
                <w:color w:val="auto"/>
              </w:rPr>
            </w:pPr>
          </w:p>
        </w:tc>
        <w:tc>
          <w:tcPr>
            <w:tcW w:w="955" w:type="dxa"/>
            <w:vAlign w:val="center"/>
          </w:tcPr>
          <w:p w14:paraId="0322C633">
            <w:pPr>
              <w:spacing w:line="300" w:lineRule="exact"/>
              <w:jc w:val="right"/>
              <w:rPr>
                <w:rFonts w:ascii="方正书宋_GBK" w:eastAsia="方正书宋_GBK" w:cs="Times New Roman"/>
                <w:color w:val="auto"/>
              </w:rPr>
            </w:pPr>
          </w:p>
        </w:tc>
        <w:tc>
          <w:tcPr>
            <w:tcW w:w="955" w:type="dxa"/>
            <w:vAlign w:val="center"/>
          </w:tcPr>
          <w:p w14:paraId="00003EC0">
            <w:pPr>
              <w:spacing w:line="300" w:lineRule="exact"/>
              <w:jc w:val="right"/>
              <w:rPr>
                <w:rFonts w:ascii="方正书宋_GBK" w:eastAsia="方正书宋_GBK" w:cs="Times New Roman"/>
                <w:color w:val="auto"/>
              </w:rPr>
            </w:pPr>
          </w:p>
        </w:tc>
        <w:tc>
          <w:tcPr>
            <w:tcW w:w="912" w:type="dxa"/>
            <w:vAlign w:val="center"/>
          </w:tcPr>
          <w:p w14:paraId="1AB7F961">
            <w:pPr>
              <w:spacing w:line="300" w:lineRule="exact"/>
              <w:jc w:val="right"/>
              <w:rPr>
                <w:rFonts w:ascii="方正书宋_GBK" w:eastAsia="方正书宋_GBK" w:cs="Times New Roman"/>
                <w:color w:val="auto"/>
              </w:rPr>
            </w:pPr>
          </w:p>
        </w:tc>
      </w:tr>
      <w:tr w14:paraId="575E8D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2437" w:type="dxa"/>
            <w:vAlign w:val="center"/>
          </w:tcPr>
          <w:p w14:paraId="51CD7942">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机构编制监督检查项目</w:t>
            </w:r>
          </w:p>
        </w:tc>
        <w:tc>
          <w:tcPr>
            <w:tcW w:w="1088" w:type="dxa"/>
            <w:vAlign w:val="center"/>
          </w:tcPr>
          <w:p w14:paraId="4D9C4F02">
            <w:pPr>
              <w:spacing w:line="300" w:lineRule="exact"/>
              <w:jc w:val="right"/>
              <w:rPr>
                <w:rFonts w:ascii="方正书宋_GBK" w:eastAsia="方正书宋_GBK" w:cs="方正书宋_GBK"/>
                <w:color w:val="auto"/>
              </w:rPr>
            </w:pPr>
            <w:r>
              <w:rPr>
                <w:rFonts w:ascii="方正书宋_GBK" w:eastAsia="方正书宋_GBK" w:cs="方正书宋_GBK"/>
                <w:color w:val="auto"/>
              </w:rPr>
              <w:t>2.59</w:t>
            </w:r>
          </w:p>
        </w:tc>
        <w:tc>
          <w:tcPr>
            <w:tcW w:w="964" w:type="dxa"/>
            <w:vAlign w:val="center"/>
          </w:tcPr>
          <w:p w14:paraId="713FAFEA">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服务</w:t>
            </w:r>
          </w:p>
        </w:tc>
        <w:tc>
          <w:tcPr>
            <w:tcW w:w="976" w:type="dxa"/>
            <w:vAlign w:val="center"/>
          </w:tcPr>
          <w:p w14:paraId="0D77011D">
            <w:pPr>
              <w:spacing w:line="300" w:lineRule="exact"/>
              <w:jc w:val="left"/>
              <w:rPr>
                <w:rFonts w:ascii="方正书宋_GBK" w:eastAsia="方正书宋_GBK" w:cs="方正书宋_GBK"/>
                <w:color w:val="auto"/>
              </w:rPr>
            </w:pPr>
            <w:r>
              <w:rPr>
                <w:rFonts w:ascii="方正书宋_GBK" w:eastAsia="方正书宋_GBK" w:cs="方正书宋_GBK"/>
                <w:color w:val="auto"/>
              </w:rPr>
              <w:t>C</w:t>
            </w:r>
          </w:p>
        </w:tc>
        <w:tc>
          <w:tcPr>
            <w:tcW w:w="751" w:type="dxa"/>
            <w:vAlign w:val="center"/>
          </w:tcPr>
          <w:p w14:paraId="3E7019C4">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升</w:t>
            </w:r>
          </w:p>
        </w:tc>
        <w:tc>
          <w:tcPr>
            <w:tcW w:w="883" w:type="dxa"/>
            <w:vAlign w:val="center"/>
          </w:tcPr>
          <w:p w14:paraId="6D0F336E">
            <w:pPr>
              <w:spacing w:line="300" w:lineRule="exact"/>
              <w:jc w:val="right"/>
              <w:rPr>
                <w:rFonts w:ascii="方正书宋_GBK" w:eastAsia="方正书宋_GBK" w:cs="方正书宋_GBK"/>
                <w:color w:val="auto"/>
              </w:rPr>
            </w:pPr>
            <w:r>
              <w:rPr>
                <w:rFonts w:ascii="方正书宋_GBK" w:eastAsia="方正书宋_GBK" w:cs="方正书宋_GBK"/>
                <w:color w:val="auto"/>
              </w:rPr>
              <w:t>90.00</w:t>
            </w:r>
          </w:p>
        </w:tc>
        <w:tc>
          <w:tcPr>
            <w:tcW w:w="839" w:type="dxa"/>
            <w:vAlign w:val="center"/>
          </w:tcPr>
          <w:p w14:paraId="62A050F8">
            <w:pPr>
              <w:spacing w:line="300" w:lineRule="exact"/>
              <w:jc w:val="right"/>
              <w:rPr>
                <w:rFonts w:ascii="方正书宋_GBK" w:eastAsia="方正书宋_GBK" w:cs="方正书宋_GBK"/>
                <w:color w:val="auto"/>
              </w:rPr>
            </w:pPr>
            <w:r>
              <w:rPr>
                <w:rFonts w:ascii="方正书宋_GBK" w:eastAsia="方正书宋_GBK" w:cs="方正书宋_GBK"/>
                <w:color w:val="auto"/>
              </w:rPr>
              <w:t>0.01</w:t>
            </w:r>
          </w:p>
        </w:tc>
        <w:tc>
          <w:tcPr>
            <w:tcW w:w="952" w:type="dxa"/>
            <w:vAlign w:val="center"/>
          </w:tcPr>
          <w:p w14:paraId="62D2C47E">
            <w:pPr>
              <w:spacing w:line="300" w:lineRule="exact"/>
              <w:jc w:val="right"/>
              <w:rPr>
                <w:rFonts w:ascii="方正书宋_GBK" w:eastAsia="方正书宋_GBK" w:cs="方正书宋_GBK"/>
                <w:color w:val="auto"/>
              </w:rPr>
            </w:pPr>
            <w:r>
              <w:rPr>
                <w:rFonts w:ascii="方正书宋_GBK" w:eastAsia="方正书宋_GBK" w:cs="方正书宋_GBK"/>
                <w:color w:val="auto"/>
              </w:rPr>
              <w:t>0.90</w:t>
            </w:r>
          </w:p>
        </w:tc>
        <w:tc>
          <w:tcPr>
            <w:tcW w:w="952" w:type="dxa"/>
            <w:vAlign w:val="center"/>
          </w:tcPr>
          <w:p w14:paraId="10A3E154">
            <w:pPr>
              <w:spacing w:line="300" w:lineRule="exact"/>
              <w:jc w:val="right"/>
              <w:rPr>
                <w:rFonts w:ascii="方正书宋_GBK" w:eastAsia="方正书宋_GBK" w:cs="方正书宋_GBK"/>
                <w:color w:val="auto"/>
              </w:rPr>
            </w:pPr>
            <w:r>
              <w:rPr>
                <w:rFonts w:ascii="方正书宋_GBK" w:eastAsia="方正书宋_GBK" w:cs="方正书宋_GBK"/>
                <w:color w:val="auto"/>
              </w:rPr>
              <w:t>0.90</w:t>
            </w:r>
          </w:p>
        </w:tc>
        <w:tc>
          <w:tcPr>
            <w:tcW w:w="952" w:type="dxa"/>
            <w:vAlign w:val="center"/>
          </w:tcPr>
          <w:p w14:paraId="1BA6C244">
            <w:pPr>
              <w:spacing w:line="300" w:lineRule="exact"/>
              <w:jc w:val="right"/>
              <w:rPr>
                <w:rFonts w:ascii="方正书宋_GBK" w:eastAsia="方正书宋_GBK" w:cs="方正书宋_GBK"/>
                <w:color w:val="auto"/>
              </w:rPr>
            </w:pPr>
            <w:r>
              <w:rPr>
                <w:rFonts w:ascii="方正书宋_GBK" w:eastAsia="方正书宋_GBK" w:cs="方正书宋_GBK"/>
                <w:color w:val="auto"/>
              </w:rPr>
              <w:t>0.90</w:t>
            </w:r>
          </w:p>
        </w:tc>
        <w:tc>
          <w:tcPr>
            <w:tcW w:w="952" w:type="dxa"/>
            <w:vAlign w:val="center"/>
          </w:tcPr>
          <w:p w14:paraId="6E14D6CE">
            <w:pPr>
              <w:spacing w:line="300" w:lineRule="exact"/>
              <w:jc w:val="right"/>
              <w:rPr>
                <w:rFonts w:ascii="方正书宋_GBK" w:eastAsia="方正书宋_GBK" w:cs="Times New Roman"/>
                <w:color w:val="auto"/>
              </w:rPr>
            </w:pPr>
          </w:p>
        </w:tc>
        <w:tc>
          <w:tcPr>
            <w:tcW w:w="955" w:type="dxa"/>
            <w:vAlign w:val="center"/>
          </w:tcPr>
          <w:p w14:paraId="5C4A31C0">
            <w:pPr>
              <w:spacing w:line="300" w:lineRule="exact"/>
              <w:jc w:val="right"/>
              <w:rPr>
                <w:rFonts w:ascii="方正书宋_GBK" w:eastAsia="方正书宋_GBK" w:cs="Times New Roman"/>
                <w:color w:val="auto"/>
              </w:rPr>
            </w:pPr>
          </w:p>
        </w:tc>
        <w:tc>
          <w:tcPr>
            <w:tcW w:w="955" w:type="dxa"/>
            <w:vAlign w:val="center"/>
          </w:tcPr>
          <w:p w14:paraId="5F44526B">
            <w:pPr>
              <w:spacing w:line="300" w:lineRule="exact"/>
              <w:jc w:val="right"/>
              <w:rPr>
                <w:rFonts w:ascii="方正书宋_GBK" w:eastAsia="方正书宋_GBK" w:cs="Times New Roman"/>
                <w:color w:val="auto"/>
              </w:rPr>
            </w:pPr>
          </w:p>
        </w:tc>
        <w:tc>
          <w:tcPr>
            <w:tcW w:w="912" w:type="dxa"/>
            <w:vAlign w:val="center"/>
          </w:tcPr>
          <w:p w14:paraId="00562238">
            <w:pPr>
              <w:spacing w:line="300" w:lineRule="exact"/>
              <w:jc w:val="right"/>
              <w:rPr>
                <w:rFonts w:ascii="方正书宋_GBK" w:eastAsia="方正书宋_GBK" w:cs="Times New Roman"/>
                <w:color w:val="auto"/>
              </w:rPr>
            </w:pPr>
          </w:p>
        </w:tc>
      </w:tr>
      <w:tr w14:paraId="059FCE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2437" w:type="dxa"/>
            <w:vAlign w:val="center"/>
          </w:tcPr>
          <w:p w14:paraId="14BB4E04">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机构编制监督检查项目</w:t>
            </w:r>
          </w:p>
        </w:tc>
        <w:tc>
          <w:tcPr>
            <w:tcW w:w="1088" w:type="dxa"/>
            <w:vAlign w:val="center"/>
          </w:tcPr>
          <w:p w14:paraId="50463974">
            <w:pPr>
              <w:spacing w:line="300" w:lineRule="exact"/>
              <w:jc w:val="right"/>
              <w:rPr>
                <w:rFonts w:ascii="方正书宋_GBK" w:eastAsia="方正书宋_GBK" w:cs="方正书宋_GBK"/>
                <w:color w:val="auto"/>
              </w:rPr>
            </w:pPr>
            <w:r>
              <w:rPr>
                <w:rFonts w:ascii="方正书宋_GBK" w:eastAsia="方正书宋_GBK" w:cs="方正书宋_GBK"/>
                <w:color w:val="auto"/>
              </w:rPr>
              <w:t>2.59</w:t>
            </w:r>
          </w:p>
        </w:tc>
        <w:tc>
          <w:tcPr>
            <w:tcW w:w="964" w:type="dxa"/>
            <w:vAlign w:val="center"/>
          </w:tcPr>
          <w:p w14:paraId="2C5FF6F3">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服务</w:t>
            </w:r>
          </w:p>
        </w:tc>
        <w:tc>
          <w:tcPr>
            <w:tcW w:w="976" w:type="dxa"/>
            <w:vAlign w:val="center"/>
          </w:tcPr>
          <w:p w14:paraId="745B169B">
            <w:pPr>
              <w:spacing w:line="300" w:lineRule="exact"/>
              <w:jc w:val="left"/>
              <w:rPr>
                <w:rFonts w:ascii="方正书宋_GBK" w:eastAsia="方正书宋_GBK" w:cs="方正书宋_GBK"/>
                <w:color w:val="auto"/>
              </w:rPr>
            </w:pPr>
            <w:r>
              <w:rPr>
                <w:rFonts w:ascii="方正书宋_GBK" w:eastAsia="方正书宋_GBK" w:cs="方正书宋_GBK"/>
                <w:color w:val="auto"/>
              </w:rPr>
              <w:t>C</w:t>
            </w:r>
          </w:p>
        </w:tc>
        <w:tc>
          <w:tcPr>
            <w:tcW w:w="751" w:type="dxa"/>
            <w:vAlign w:val="center"/>
          </w:tcPr>
          <w:p w14:paraId="53229ED2">
            <w:pPr>
              <w:spacing w:line="300" w:lineRule="exact"/>
              <w:jc w:val="left"/>
              <w:rPr>
                <w:rFonts w:ascii="方正书宋_GBK" w:eastAsia="方正书宋_GBK" w:cs="Times New Roman"/>
                <w:color w:val="auto"/>
              </w:rPr>
            </w:pPr>
            <w:r>
              <w:rPr>
                <w:rFonts w:hint="eastAsia" w:ascii="方正书宋_GBK" w:eastAsia="方正书宋_GBK" w:cs="方正书宋_GBK"/>
                <w:color w:val="auto"/>
              </w:rPr>
              <w:t>份</w:t>
            </w:r>
          </w:p>
        </w:tc>
        <w:tc>
          <w:tcPr>
            <w:tcW w:w="883" w:type="dxa"/>
            <w:vAlign w:val="center"/>
          </w:tcPr>
          <w:p w14:paraId="1E44831B">
            <w:pPr>
              <w:spacing w:line="300" w:lineRule="exact"/>
              <w:jc w:val="right"/>
              <w:rPr>
                <w:rFonts w:ascii="方正书宋_GBK" w:eastAsia="方正书宋_GBK" w:cs="方正书宋_GBK"/>
                <w:color w:val="auto"/>
              </w:rPr>
            </w:pPr>
            <w:r>
              <w:rPr>
                <w:rFonts w:ascii="方正书宋_GBK" w:eastAsia="方正书宋_GBK" w:cs="方正书宋_GBK"/>
                <w:color w:val="auto"/>
              </w:rPr>
              <w:t>110.00</w:t>
            </w:r>
          </w:p>
        </w:tc>
        <w:tc>
          <w:tcPr>
            <w:tcW w:w="839" w:type="dxa"/>
            <w:vAlign w:val="center"/>
          </w:tcPr>
          <w:p w14:paraId="347017F3">
            <w:pPr>
              <w:spacing w:line="300" w:lineRule="exact"/>
              <w:jc w:val="right"/>
              <w:rPr>
                <w:rFonts w:ascii="方正书宋_GBK" w:eastAsia="方正书宋_GBK" w:cs="方正书宋_GBK"/>
                <w:color w:val="auto"/>
              </w:rPr>
            </w:pPr>
            <w:r>
              <w:rPr>
                <w:rFonts w:ascii="方正书宋_GBK" w:eastAsia="方正书宋_GBK" w:cs="方正书宋_GBK"/>
                <w:color w:val="auto"/>
              </w:rPr>
              <w:t>0.01</w:t>
            </w:r>
          </w:p>
        </w:tc>
        <w:tc>
          <w:tcPr>
            <w:tcW w:w="952" w:type="dxa"/>
            <w:vAlign w:val="center"/>
          </w:tcPr>
          <w:p w14:paraId="4B7121E0">
            <w:pPr>
              <w:spacing w:line="300" w:lineRule="exact"/>
              <w:jc w:val="right"/>
              <w:rPr>
                <w:rFonts w:ascii="方正书宋_GBK" w:eastAsia="方正书宋_GBK" w:cs="方正书宋_GBK"/>
                <w:color w:val="auto"/>
              </w:rPr>
            </w:pPr>
            <w:r>
              <w:rPr>
                <w:rFonts w:ascii="方正书宋_GBK" w:eastAsia="方正书宋_GBK" w:cs="方正书宋_GBK"/>
                <w:color w:val="auto"/>
              </w:rPr>
              <w:t>1.10</w:t>
            </w:r>
          </w:p>
        </w:tc>
        <w:tc>
          <w:tcPr>
            <w:tcW w:w="952" w:type="dxa"/>
            <w:vAlign w:val="center"/>
          </w:tcPr>
          <w:p w14:paraId="1821E3E2">
            <w:pPr>
              <w:spacing w:line="300" w:lineRule="exact"/>
              <w:jc w:val="right"/>
              <w:rPr>
                <w:rFonts w:ascii="方正书宋_GBK" w:eastAsia="方正书宋_GBK" w:cs="方正书宋_GBK"/>
                <w:color w:val="auto"/>
              </w:rPr>
            </w:pPr>
            <w:r>
              <w:rPr>
                <w:rFonts w:ascii="方正书宋_GBK" w:eastAsia="方正书宋_GBK" w:cs="方正书宋_GBK"/>
                <w:color w:val="auto"/>
              </w:rPr>
              <w:t>1.10</w:t>
            </w:r>
          </w:p>
        </w:tc>
        <w:tc>
          <w:tcPr>
            <w:tcW w:w="952" w:type="dxa"/>
            <w:vAlign w:val="center"/>
          </w:tcPr>
          <w:p w14:paraId="453999BC">
            <w:pPr>
              <w:spacing w:line="300" w:lineRule="exact"/>
              <w:jc w:val="right"/>
              <w:rPr>
                <w:rFonts w:ascii="方正书宋_GBK" w:eastAsia="方正书宋_GBK" w:cs="方正书宋_GBK"/>
                <w:color w:val="auto"/>
              </w:rPr>
            </w:pPr>
            <w:r>
              <w:rPr>
                <w:rFonts w:ascii="方正书宋_GBK" w:eastAsia="方正书宋_GBK" w:cs="方正书宋_GBK"/>
                <w:color w:val="auto"/>
              </w:rPr>
              <w:t>1.10</w:t>
            </w:r>
          </w:p>
        </w:tc>
        <w:tc>
          <w:tcPr>
            <w:tcW w:w="952" w:type="dxa"/>
            <w:vAlign w:val="center"/>
          </w:tcPr>
          <w:p w14:paraId="1B7A240A">
            <w:pPr>
              <w:spacing w:line="300" w:lineRule="exact"/>
              <w:jc w:val="right"/>
              <w:rPr>
                <w:rFonts w:ascii="方正书宋_GBK" w:eastAsia="方正书宋_GBK" w:cs="Times New Roman"/>
                <w:color w:val="auto"/>
              </w:rPr>
            </w:pPr>
          </w:p>
        </w:tc>
        <w:tc>
          <w:tcPr>
            <w:tcW w:w="955" w:type="dxa"/>
            <w:vAlign w:val="center"/>
          </w:tcPr>
          <w:p w14:paraId="4B9BD39F">
            <w:pPr>
              <w:spacing w:line="300" w:lineRule="exact"/>
              <w:jc w:val="right"/>
              <w:rPr>
                <w:rFonts w:ascii="方正书宋_GBK" w:eastAsia="方正书宋_GBK" w:cs="Times New Roman"/>
                <w:color w:val="auto"/>
              </w:rPr>
            </w:pPr>
          </w:p>
        </w:tc>
        <w:tc>
          <w:tcPr>
            <w:tcW w:w="955" w:type="dxa"/>
            <w:vAlign w:val="center"/>
          </w:tcPr>
          <w:p w14:paraId="6C25875E">
            <w:pPr>
              <w:spacing w:line="300" w:lineRule="exact"/>
              <w:jc w:val="right"/>
              <w:rPr>
                <w:rFonts w:ascii="方正书宋_GBK" w:eastAsia="方正书宋_GBK" w:cs="Times New Roman"/>
                <w:color w:val="auto"/>
              </w:rPr>
            </w:pPr>
          </w:p>
        </w:tc>
        <w:tc>
          <w:tcPr>
            <w:tcW w:w="912" w:type="dxa"/>
            <w:vAlign w:val="center"/>
          </w:tcPr>
          <w:p w14:paraId="3047E771">
            <w:pPr>
              <w:spacing w:line="300" w:lineRule="exact"/>
              <w:jc w:val="right"/>
              <w:rPr>
                <w:rFonts w:ascii="方正书宋_GBK" w:eastAsia="方正书宋_GBK" w:cs="Times New Roman"/>
                <w:color w:val="auto"/>
              </w:rPr>
            </w:pPr>
          </w:p>
        </w:tc>
      </w:tr>
    </w:tbl>
    <w:p w14:paraId="52C98D55">
      <w:pPr>
        <w:spacing w:line="300" w:lineRule="exact"/>
        <w:jc w:val="left"/>
        <w:outlineLvl w:val="0"/>
        <w:rPr>
          <w:rFonts w:cs="Times New Roman"/>
          <w:color w:val="auto"/>
        </w:rPr>
        <w:sectPr>
          <w:pgSz w:w="16839" w:h="11907" w:orient="landscape"/>
          <w:pgMar w:top="1361" w:right="1020" w:bottom="1361" w:left="1020" w:header="851" w:footer="992" w:gutter="0"/>
          <w:cols w:space="425" w:num="1"/>
          <w:docGrid w:type="lines" w:linePitch="312" w:charSpace="0"/>
        </w:sectPr>
      </w:pPr>
    </w:p>
    <w:bookmarkEnd w:id="5"/>
    <w:p w14:paraId="733EBA44">
      <w:pPr>
        <w:autoSpaceDE w:val="0"/>
        <w:autoSpaceDN w:val="0"/>
        <w:adjustRightInd w:val="0"/>
        <w:ind w:firstLine="640" w:firstLineChars="200"/>
        <w:jc w:val="left"/>
        <w:rPr>
          <w:rFonts w:ascii="黑体" w:hAnsi="黑体" w:eastAsia="黑体" w:cs="Times New Roman"/>
          <w:color w:val="auto"/>
          <w:sz w:val="32"/>
          <w:szCs w:val="32"/>
        </w:rPr>
      </w:pPr>
      <w:r>
        <w:rPr>
          <w:rFonts w:hint="eastAsia" w:ascii="黑体" w:hAnsi="黑体" w:eastAsia="黑体" w:cs="黑体"/>
          <w:color w:val="auto"/>
          <w:sz w:val="32"/>
          <w:szCs w:val="32"/>
        </w:rPr>
        <w:t>七、国有资产信息</w:t>
      </w:r>
    </w:p>
    <w:p w14:paraId="5CC14568">
      <w:pPr>
        <w:ind w:firstLine="640"/>
        <w:rPr>
          <w:rFonts w:ascii="仿宋" w:hAnsi="仿宋" w:eastAsia="仿宋" w:cs="Times New Roman"/>
          <w:color w:val="auto"/>
          <w:sz w:val="32"/>
          <w:szCs w:val="32"/>
        </w:rPr>
      </w:pPr>
      <w:r>
        <w:rPr>
          <w:rFonts w:hint="eastAsia" w:ascii="仿宋" w:hAnsi="仿宋" w:eastAsia="仿宋" w:cs="仿宋"/>
          <w:color w:val="auto"/>
          <w:sz w:val="32"/>
          <w:szCs w:val="32"/>
        </w:rPr>
        <w:t>曲阳县机构编制委员会办公室上年末固定资产金额为</w:t>
      </w:r>
      <w:r>
        <w:rPr>
          <w:rFonts w:ascii="仿宋" w:hAnsi="仿宋" w:eastAsia="仿宋" w:cs="仿宋"/>
          <w:color w:val="auto"/>
          <w:sz w:val="32"/>
          <w:szCs w:val="32"/>
        </w:rPr>
        <w:t>16.81</w:t>
      </w:r>
      <w:r>
        <w:rPr>
          <w:rFonts w:hint="eastAsia" w:ascii="仿宋" w:hAnsi="仿宋" w:eastAsia="仿宋" w:cs="仿宋"/>
          <w:color w:val="auto"/>
          <w:sz w:val="32"/>
          <w:szCs w:val="32"/>
        </w:rPr>
        <w:t>万元（详见下表），本年度我单位无资产购置计划。</w:t>
      </w:r>
    </w:p>
    <w:tbl>
      <w:tblPr>
        <w:tblStyle w:val="7"/>
        <w:tblW w:w="13482" w:type="dxa"/>
        <w:tblInd w:w="-106" w:type="dxa"/>
        <w:tblLayout w:type="fixed"/>
        <w:tblCellMar>
          <w:top w:w="0" w:type="dxa"/>
          <w:left w:w="108" w:type="dxa"/>
          <w:bottom w:w="0" w:type="dxa"/>
          <w:right w:w="108" w:type="dxa"/>
        </w:tblCellMar>
      </w:tblPr>
      <w:tblGrid>
        <w:gridCol w:w="5224"/>
        <w:gridCol w:w="3155"/>
        <w:gridCol w:w="5103"/>
      </w:tblGrid>
      <w:tr w14:paraId="7865F693">
        <w:tblPrEx>
          <w:tblCellMar>
            <w:top w:w="0" w:type="dxa"/>
            <w:left w:w="108" w:type="dxa"/>
            <w:bottom w:w="0" w:type="dxa"/>
            <w:right w:w="108" w:type="dxa"/>
          </w:tblCellMar>
        </w:tblPrEx>
        <w:trPr>
          <w:trHeight w:val="705" w:hRule="atLeast"/>
        </w:trPr>
        <w:tc>
          <w:tcPr>
            <w:tcW w:w="13482" w:type="dxa"/>
            <w:gridSpan w:val="3"/>
            <w:tcBorders>
              <w:top w:val="nil"/>
              <w:left w:val="nil"/>
              <w:bottom w:val="nil"/>
              <w:right w:val="nil"/>
            </w:tcBorders>
            <w:vAlign w:val="center"/>
          </w:tcPr>
          <w:p w14:paraId="4274CF29">
            <w:pPr>
              <w:widowControl/>
              <w:jc w:val="center"/>
              <w:rPr>
                <w:rFonts w:ascii="宋体" w:cs="Times New Roman"/>
                <w:b/>
                <w:bCs/>
                <w:color w:val="auto"/>
                <w:kern w:val="0"/>
                <w:sz w:val="32"/>
                <w:szCs w:val="32"/>
              </w:rPr>
            </w:pPr>
            <w:r>
              <w:rPr>
                <w:rFonts w:hint="eastAsia" w:ascii="宋体" w:hAnsi="宋体" w:cs="宋体"/>
                <w:b/>
                <w:bCs/>
                <w:color w:val="auto"/>
                <w:kern w:val="0"/>
                <w:sz w:val="32"/>
                <w:szCs w:val="32"/>
              </w:rPr>
              <w:t>县编委办固定资产占用情况表</w:t>
            </w:r>
          </w:p>
        </w:tc>
      </w:tr>
      <w:tr w14:paraId="681C1056">
        <w:tblPrEx>
          <w:tblCellMar>
            <w:top w:w="0" w:type="dxa"/>
            <w:left w:w="108" w:type="dxa"/>
            <w:bottom w:w="0" w:type="dxa"/>
            <w:right w:w="108" w:type="dxa"/>
          </w:tblCellMar>
        </w:tblPrEx>
        <w:trPr>
          <w:trHeight w:val="510" w:hRule="atLeast"/>
        </w:trPr>
        <w:tc>
          <w:tcPr>
            <w:tcW w:w="8379" w:type="dxa"/>
            <w:gridSpan w:val="2"/>
            <w:tcBorders>
              <w:top w:val="nil"/>
              <w:left w:val="nil"/>
              <w:bottom w:val="nil"/>
              <w:right w:val="nil"/>
            </w:tcBorders>
            <w:vAlign w:val="center"/>
          </w:tcPr>
          <w:p w14:paraId="4CA6E982">
            <w:pPr>
              <w:widowControl/>
              <w:jc w:val="center"/>
              <w:rPr>
                <w:rFonts w:ascii="Times New Roman" w:hAnsi="Times New Roman" w:eastAsia="仿宋" w:cs="Times New Roman"/>
                <w:color w:val="auto"/>
                <w:kern w:val="0"/>
                <w:sz w:val="22"/>
                <w:szCs w:val="22"/>
              </w:rPr>
            </w:pPr>
            <w:r>
              <w:rPr>
                <w:rFonts w:hint="eastAsia" w:ascii="Times New Roman" w:hAnsi="Times New Roman" w:eastAsia="仿宋" w:cs="仿宋"/>
                <w:color w:val="auto"/>
                <w:kern w:val="0"/>
                <w:sz w:val="22"/>
                <w:szCs w:val="22"/>
              </w:rPr>
              <w:t>编制部门：县编委办</w:t>
            </w:r>
          </w:p>
        </w:tc>
        <w:tc>
          <w:tcPr>
            <w:tcW w:w="5103" w:type="dxa"/>
            <w:tcBorders>
              <w:top w:val="nil"/>
              <w:left w:val="nil"/>
              <w:bottom w:val="nil"/>
              <w:right w:val="nil"/>
            </w:tcBorders>
            <w:vAlign w:val="center"/>
          </w:tcPr>
          <w:p w14:paraId="4651523B">
            <w:pPr>
              <w:widowControl/>
              <w:ind w:firstLine="1320" w:firstLineChars="600"/>
              <w:jc w:val="center"/>
              <w:rPr>
                <w:rFonts w:ascii="Times New Roman" w:hAnsi="Times New Roman" w:eastAsia="仿宋" w:cs="Times New Roman"/>
                <w:color w:val="auto"/>
                <w:kern w:val="0"/>
                <w:sz w:val="22"/>
                <w:szCs w:val="22"/>
              </w:rPr>
            </w:pPr>
            <w:r>
              <w:rPr>
                <w:rFonts w:hint="eastAsia" w:ascii="Times New Roman" w:hAnsi="Times New Roman" w:eastAsia="仿宋" w:cs="仿宋"/>
                <w:color w:val="auto"/>
                <w:kern w:val="0"/>
                <w:sz w:val="22"/>
                <w:szCs w:val="22"/>
              </w:rPr>
              <w:t>截止时间：</w:t>
            </w:r>
            <w:r>
              <w:rPr>
                <w:rFonts w:ascii="Times New Roman" w:hAnsi="Times New Roman" w:eastAsia="仿宋" w:cs="Times New Roman"/>
                <w:color w:val="auto"/>
                <w:kern w:val="0"/>
                <w:sz w:val="22"/>
                <w:szCs w:val="22"/>
              </w:rPr>
              <w:t>2018</w:t>
            </w:r>
            <w:r>
              <w:rPr>
                <w:rFonts w:hint="eastAsia" w:ascii="Times New Roman" w:hAnsi="Times New Roman" w:eastAsia="仿宋" w:cs="仿宋"/>
                <w:color w:val="auto"/>
                <w:kern w:val="0"/>
                <w:sz w:val="22"/>
                <w:szCs w:val="22"/>
              </w:rPr>
              <w:t>年</w:t>
            </w:r>
            <w:r>
              <w:rPr>
                <w:rFonts w:ascii="Times New Roman" w:hAnsi="Times New Roman" w:eastAsia="仿宋" w:cs="Times New Roman"/>
                <w:color w:val="auto"/>
                <w:kern w:val="0"/>
                <w:sz w:val="22"/>
                <w:szCs w:val="22"/>
              </w:rPr>
              <w:t>12</w:t>
            </w:r>
            <w:r>
              <w:rPr>
                <w:rFonts w:hint="eastAsia" w:ascii="Times New Roman" w:hAnsi="Times New Roman" w:eastAsia="仿宋" w:cs="仿宋"/>
                <w:color w:val="auto"/>
                <w:kern w:val="0"/>
                <w:sz w:val="22"/>
                <w:szCs w:val="22"/>
              </w:rPr>
              <w:t>月</w:t>
            </w:r>
            <w:r>
              <w:rPr>
                <w:rFonts w:ascii="Times New Roman" w:hAnsi="Times New Roman" w:eastAsia="仿宋" w:cs="Times New Roman"/>
                <w:color w:val="auto"/>
                <w:kern w:val="0"/>
                <w:sz w:val="22"/>
                <w:szCs w:val="22"/>
              </w:rPr>
              <w:t>31</w:t>
            </w:r>
            <w:r>
              <w:rPr>
                <w:rFonts w:hint="eastAsia" w:ascii="Times New Roman" w:hAnsi="Times New Roman" w:eastAsia="仿宋" w:cs="仿宋"/>
                <w:color w:val="auto"/>
                <w:kern w:val="0"/>
                <w:sz w:val="22"/>
                <w:szCs w:val="22"/>
              </w:rPr>
              <w:t>日</w:t>
            </w:r>
          </w:p>
        </w:tc>
      </w:tr>
      <w:tr w14:paraId="358BBFD9">
        <w:tblPrEx>
          <w:tblCellMar>
            <w:top w:w="0" w:type="dxa"/>
            <w:left w:w="108" w:type="dxa"/>
            <w:bottom w:w="0" w:type="dxa"/>
            <w:right w:w="108" w:type="dxa"/>
          </w:tblCellMar>
        </w:tblPrEx>
        <w:trPr>
          <w:trHeight w:val="645" w:hRule="atLeast"/>
        </w:trPr>
        <w:tc>
          <w:tcPr>
            <w:tcW w:w="5224" w:type="dxa"/>
            <w:tcBorders>
              <w:top w:val="single" w:color="auto" w:sz="4" w:space="0"/>
              <w:left w:val="single" w:color="auto" w:sz="4" w:space="0"/>
              <w:bottom w:val="single" w:color="auto" w:sz="4" w:space="0"/>
              <w:right w:val="single" w:color="auto" w:sz="4" w:space="0"/>
            </w:tcBorders>
            <w:vAlign w:val="center"/>
          </w:tcPr>
          <w:p w14:paraId="747DEB0E">
            <w:pPr>
              <w:widowControl/>
              <w:jc w:val="center"/>
              <w:rPr>
                <w:rFonts w:ascii="宋体" w:cs="Times New Roman"/>
                <w:b/>
                <w:bCs/>
                <w:color w:val="auto"/>
                <w:kern w:val="0"/>
                <w:sz w:val="22"/>
                <w:szCs w:val="22"/>
              </w:rPr>
            </w:pPr>
            <w:r>
              <w:rPr>
                <w:rFonts w:hint="eastAsia" w:ascii="宋体" w:hAnsi="宋体" w:cs="宋体"/>
                <w:b/>
                <w:bCs/>
                <w:color w:val="auto"/>
                <w:kern w:val="0"/>
                <w:sz w:val="22"/>
                <w:szCs w:val="22"/>
              </w:rPr>
              <w:t>项目</w:t>
            </w:r>
          </w:p>
        </w:tc>
        <w:tc>
          <w:tcPr>
            <w:tcW w:w="3155" w:type="dxa"/>
            <w:tcBorders>
              <w:top w:val="single" w:color="auto" w:sz="4" w:space="0"/>
              <w:left w:val="nil"/>
              <w:bottom w:val="single" w:color="auto" w:sz="4" w:space="0"/>
              <w:right w:val="single" w:color="auto" w:sz="4" w:space="0"/>
            </w:tcBorders>
            <w:vAlign w:val="center"/>
          </w:tcPr>
          <w:p w14:paraId="0DFBF8E6">
            <w:pPr>
              <w:widowControl/>
              <w:jc w:val="center"/>
              <w:rPr>
                <w:rFonts w:ascii="宋体" w:cs="Times New Roman"/>
                <w:b/>
                <w:bCs/>
                <w:color w:val="auto"/>
                <w:kern w:val="0"/>
                <w:sz w:val="22"/>
                <w:szCs w:val="22"/>
              </w:rPr>
            </w:pPr>
            <w:r>
              <w:rPr>
                <w:rFonts w:hint="eastAsia" w:ascii="宋体" w:hAnsi="宋体" w:cs="宋体"/>
                <w:b/>
                <w:bCs/>
                <w:color w:val="auto"/>
                <w:kern w:val="0"/>
                <w:sz w:val="22"/>
                <w:szCs w:val="22"/>
              </w:rPr>
              <w:t>数量</w:t>
            </w:r>
          </w:p>
        </w:tc>
        <w:tc>
          <w:tcPr>
            <w:tcW w:w="5103" w:type="dxa"/>
            <w:tcBorders>
              <w:top w:val="single" w:color="auto" w:sz="4" w:space="0"/>
              <w:left w:val="nil"/>
              <w:bottom w:val="single" w:color="auto" w:sz="4" w:space="0"/>
              <w:right w:val="single" w:color="auto" w:sz="4" w:space="0"/>
            </w:tcBorders>
            <w:vAlign w:val="center"/>
          </w:tcPr>
          <w:p w14:paraId="4F503993">
            <w:pPr>
              <w:widowControl/>
              <w:jc w:val="center"/>
              <w:rPr>
                <w:rFonts w:ascii="宋体" w:cs="Times New Roman"/>
                <w:b/>
                <w:bCs/>
                <w:color w:val="auto"/>
                <w:kern w:val="0"/>
                <w:sz w:val="22"/>
                <w:szCs w:val="22"/>
              </w:rPr>
            </w:pPr>
            <w:r>
              <w:rPr>
                <w:rFonts w:hint="eastAsia" w:ascii="宋体" w:hAnsi="宋体" w:cs="宋体"/>
                <w:b/>
                <w:bCs/>
                <w:color w:val="auto"/>
                <w:kern w:val="0"/>
                <w:sz w:val="22"/>
                <w:szCs w:val="22"/>
              </w:rPr>
              <w:t>价值（金额单位：万元）</w:t>
            </w:r>
          </w:p>
        </w:tc>
      </w:tr>
      <w:tr w14:paraId="45823430">
        <w:tblPrEx>
          <w:tblCellMar>
            <w:top w:w="0" w:type="dxa"/>
            <w:left w:w="108" w:type="dxa"/>
            <w:bottom w:w="0" w:type="dxa"/>
            <w:right w:w="108" w:type="dxa"/>
          </w:tblCellMar>
        </w:tblPrEx>
        <w:trPr>
          <w:trHeight w:val="645" w:hRule="atLeast"/>
        </w:trPr>
        <w:tc>
          <w:tcPr>
            <w:tcW w:w="5224" w:type="dxa"/>
            <w:tcBorders>
              <w:top w:val="nil"/>
              <w:left w:val="single" w:color="auto" w:sz="4" w:space="0"/>
              <w:bottom w:val="single" w:color="auto" w:sz="4" w:space="0"/>
              <w:right w:val="single" w:color="auto" w:sz="4" w:space="0"/>
            </w:tcBorders>
            <w:vAlign w:val="center"/>
          </w:tcPr>
          <w:p w14:paraId="29CE51DA">
            <w:pPr>
              <w:widowControl/>
              <w:jc w:val="center"/>
              <w:rPr>
                <w:rFonts w:ascii="Times New Roman" w:hAnsi="Times New Roman" w:eastAsia="仿宋" w:cs="Times New Roman"/>
                <w:color w:val="auto"/>
                <w:kern w:val="0"/>
                <w:sz w:val="22"/>
                <w:szCs w:val="22"/>
              </w:rPr>
            </w:pPr>
            <w:r>
              <w:rPr>
                <w:rFonts w:hint="eastAsia" w:ascii="Times New Roman" w:hAnsi="Times New Roman" w:eastAsia="仿宋" w:cs="仿宋"/>
                <w:color w:val="auto"/>
                <w:kern w:val="0"/>
                <w:sz w:val="22"/>
                <w:szCs w:val="22"/>
              </w:rPr>
              <w:t>资产总额</w:t>
            </w:r>
          </w:p>
        </w:tc>
        <w:tc>
          <w:tcPr>
            <w:tcW w:w="3155" w:type="dxa"/>
            <w:tcBorders>
              <w:top w:val="nil"/>
              <w:left w:val="nil"/>
              <w:bottom w:val="single" w:color="auto" w:sz="4" w:space="0"/>
              <w:right w:val="single" w:color="auto" w:sz="4" w:space="0"/>
            </w:tcBorders>
            <w:vAlign w:val="center"/>
          </w:tcPr>
          <w:p w14:paraId="10C6C37E">
            <w:pPr>
              <w:widowControl/>
              <w:jc w:val="center"/>
              <w:rPr>
                <w:rFonts w:ascii="Times New Roman" w:hAnsi="Times New Roman" w:eastAsia="仿宋" w:cs="Times New Roman"/>
                <w:color w:val="auto"/>
                <w:kern w:val="0"/>
                <w:sz w:val="22"/>
                <w:szCs w:val="22"/>
              </w:rPr>
            </w:pPr>
            <w:r>
              <w:rPr>
                <w:rFonts w:ascii="Times New Roman" w:hAnsi="Times New Roman" w:eastAsia="仿宋" w:cs="Times New Roman"/>
                <w:color w:val="auto"/>
                <w:kern w:val="0"/>
                <w:sz w:val="22"/>
                <w:szCs w:val="22"/>
              </w:rPr>
              <w:t>——</w:t>
            </w:r>
          </w:p>
        </w:tc>
        <w:tc>
          <w:tcPr>
            <w:tcW w:w="5103" w:type="dxa"/>
            <w:tcBorders>
              <w:top w:val="nil"/>
              <w:left w:val="nil"/>
              <w:bottom w:val="single" w:color="auto" w:sz="4" w:space="0"/>
              <w:right w:val="single" w:color="auto" w:sz="4" w:space="0"/>
            </w:tcBorders>
            <w:vAlign w:val="center"/>
          </w:tcPr>
          <w:p w14:paraId="5B8E365F">
            <w:pPr>
              <w:widowControl/>
              <w:jc w:val="center"/>
              <w:rPr>
                <w:rFonts w:ascii="Times New Roman" w:hAnsi="Times New Roman" w:eastAsia="仿宋" w:cs="Times New Roman"/>
                <w:color w:val="auto"/>
                <w:kern w:val="0"/>
                <w:sz w:val="22"/>
                <w:szCs w:val="22"/>
              </w:rPr>
            </w:pPr>
            <w:r>
              <w:rPr>
                <w:rFonts w:ascii="Times New Roman" w:hAnsi="Times New Roman" w:eastAsia="仿宋" w:cs="Times New Roman"/>
                <w:color w:val="auto"/>
                <w:kern w:val="0"/>
                <w:sz w:val="22"/>
                <w:szCs w:val="22"/>
              </w:rPr>
              <w:t>16.81</w:t>
            </w:r>
          </w:p>
        </w:tc>
      </w:tr>
      <w:tr w14:paraId="715D2A10">
        <w:tblPrEx>
          <w:tblCellMar>
            <w:top w:w="0" w:type="dxa"/>
            <w:left w:w="108" w:type="dxa"/>
            <w:bottom w:w="0" w:type="dxa"/>
            <w:right w:w="108" w:type="dxa"/>
          </w:tblCellMar>
        </w:tblPrEx>
        <w:trPr>
          <w:trHeight w:val="645" w:hRule="atLeast"/>
        </w:trPr>
        <w:tc>
          <w:tcPr>
            <w:tcW w:w="5224" w:type="dxa"/>
            <w:tcBorders>
              <w:top w:val="nil"/>
              <w:left w:val="single" w:color="auto" w:sz="4" w:space="0"/>
              <w:bottom w:val="single" w:color="auto" w:sz="4" w:space="0"/>
              <w:right w:val="single" w:color="auto" w:sz="4" w:space="0"/>
            </w:tcBorders>
            <w:vAlign w:val="center"/>
          </w:tcPr>
          <w:p w14:paraId="58651822">
            <w:pPr>
              <w:widowControl/>
              <w:jc w:val="center"/>
              <w:rPr>
                <w:rFonts w:ascii="Times New Roman" w:hAnsi="Times New Roman" w:eastAsia="仿宋" w:cs="Times New Roman"/>
                <w:color w:val="auto"/>
                <w:kern w:val="0"/>
                <w:sz w:val="22"/>
                <w:szCs w:val="22"/>
              </w:rPr>
            </w:pPr>
            <w:r>
              <w:rPr>
                <w:rFonts w:ascii="Times New Roman" w:hAnsi="Times New Roman" w:eastAsia="仿宋" w:cs="Times New Roman"/>
                <w:color w:val="auto"/>
                <w:kern w:val="0"/>
                <w:sz w:val="22"/>
                <w:szCs w:val="22"/>
              </w:rPr>
              <w:t>1</w:t>
            </w:r>
            <w:r>
              <w:rPr>
                <w:rFonts w:hint="eastAsia" w:ascii="Times New Roman" w:hAnsi="Times New Roman" w:eastAsia="仿宋" w:cs="仿宋"/>
                <w:color w:val="auto"/>
                <w:kern w:val="0"/>
                <w:sz w:val="22"/>
                <w:szCs w:val="22"/>
              </w:rPr>
              <w:t>、房屋（平方米）</w:t>
            </w:r>
          </w:p>
        </w:tc>
        <w:tc>
          <w:tcPr>
            <w:tcW w:w="3155" w:type="dxa"/>
            <w:tcBorders>
              <w:top w:val="nil"/>
              <w:left w:val="nil"/>
              <w:bottom w:val="single" w:color="auto" w:sz="4" w:space="0"/>
              <w:right w:val="single" w:color="auto" w:sz="4" w:space="0"/>
            </w:tcBorders>
            <w:vAlign w:val="center"/>
          </w:tcPr>
          <w:p w14:paraId="5FAF28D4">
            <w:pPr>
              <w:widowControl/>
              <w:jc w:val="center"/>
              <w:rPr>
                <w:rFonts w:ascii="Times New Roman" w:hAnsi="Times New Roman" w:eastAsia="仿宋" w:cs="Times New Roman"/>
                <w:color w:val="auto"/>
                <w:kern w:val="0"/>
                <w:sz w:val="22"/>
                <w:szCs w:val="22"/>
              </w:rPr>
            </w:pPr>
          </w:p>
        </w:tc>
        <w:tc>
          <w:tcPr>
            <w:tcW w:w="5103" w:type="dxa"/>
            <w:tcBorders>
              <w:top w:val="nil"/>
              <w:left w:val="nil"/>
              <w:bottom w:val="single" w:color="auto" w:sz="4" w:space="0"/>
              <w:right w:val="single" w:color="auto" w:sz="4" w:space="0"/>
            </w:tcBorders>
            <w:vAlign w:val="center"/>
          </w:tcPr>
          <w:p w14:paraId="7E4445D4">
            <w:pPr>
              <w:widowControl/>
              <w:jc w:val="center"/>
              <w:rPr>
                <w:rFonts w:ascii="Times New Roman" w:hAnsi="Times New Roman" w:eastAsia="仿宋" w:cs="Times New Roman"/>
                <w:color w:val="auto"/>
                <w:kern w:val="0"/>
                <w:sz w:val="22"/>
                <w:szCs w:val="22"/>
              </w:rPr>
            </w:pPr>
          </w:p>
        </w:tc>
      </w:tr>
      <w:tr w14:paraId="3FD59633">
        <w:tblPrEx>
          <w:tblCellMar>
            <w:top w:w="0" w:type="dxa"/>
            <w:left w:w="108" w:type="dxa"/>
            <w:bottom w:w="0" w:type="dxa"/>
            <w:right w:w="108" w:type="dxa"/>
          </w:tblCellMar>
        </w:tblPrEx>
        <w:trPr>
          <w:trHeight w:val="645" w:hRule="atLeast"/>
        </w:trPr>
        <w:tc>
          <w:tcPr>
            <w:tcW w:w="5224" w:type="dxa"/>
            <w:tcBorders>
              <w:top w:val="nil"/>
              <w:left w:val="single" w:color="auto" w:sz="4" w:space="0"/>
              <w:bottom w:val="single" w:color="auto" w:sz="4" w:space="0"/>
              <w:right w:val="single" w:color="auto" w:sz="4" w:space="0"/>
            </w:tcBorders>
            <w:vAlign w:val="center"/>
          </w:tcPr>
          <w:p w14:paraId="292B0A46">
            <w:pPr>
              <w:widowControl/>
              <w:jc w:val="center"/>
              <w:rPr>
                <w:rFonts w:ascii="Times New Roman" w:hAnsi="Times New Roman" w:eastAsia="仿宋" w:cs="Times New Roman"/>
                <w:color w:val="auto"/>
                <w:kern w:val="0"/>
                <w:sz w:val="22"/>
                <w:szCs w:val="22"/>
              </w:rPr>
            </w:pPr>
            <w:r>
              <w:rPr>
                <w:rFonts w:hint="eastAsia" w:ascii="Times New Roman" w:hAnsi="Times New Roman" w:eastAsia="仿宋" w:cs="仿宋"/>
                <w:color w:val="auto"/>
                <w:kern w:val="0"/>
                <w:sz w:val="22"/>
                <w:szCs w:val="22"/>
              </w:rPr>
              <w:t>其中：办公用房（平方米）</w:t>
            </w:r>
          </w:p>
        </w:tc>
        <w:tc>
          <w:tcPr>
            <w:tcW w:w="3155" w:type="dxa"/>
            <w:tcBorders>
              <w:top w:val="nil"/>
              <w:left w:val="nil"/>
              <w:bottom w:val="single" w:color="auto" w:sz="4" w:space="0"/>
              <w:right w:val="single" w:color="auto" w:sz="4" w:space="0"/>
            </w:tcBorders>
            <w:vAlign w:val="center"/>
          </w:tcPr>
          <w:p w14:paraId="11E0D2B0">
            <w:pPr>
              <w:widowControl/>
              <w:jc w:val="center"/>
              <w:rPr>
                <w:rFonts w:ascii="Times New Roman" w:hAnsi="Times New Roman" w:eastAsia="仿宋" w:cs="Times New Roman"/>
                <w:color w:val="auto"/>
                <w:kern w:val="0"/>
                <w:sz w:val="22"/>
                <w:szCs w:val="22"/>
              </w:rPr>
            </w:pPr>
          </w:p>
        </w:tc>
        <w:tc>
          <w:tcPr>
            <w:tcW w:w="5103" w:type="dxa"/>
            <w:tcBorders>
              <w:top w:val="nil"/>
              <w:left w:val="nil"/>
              <w:bottom w:val="single" w:color="auto" w:sz="4" w:space="0"/>
              <w:right w:val="single" w:color="auto" w:sz="4" w:space="0"/>
            </w:tcBorders>
            <w:vAlign w:val="center"/>
          </w:tcPr>
          <w:p w14:paraId="397F0124">
            <w:pPr>
              <w:widowControl/>
              <w:jc w:val="center"/>
              <w:rPr>
                <w:rFonts w:ascii="Times New Roman" w:hAnsi="Times New Roman" w:eastAsia="仿宋" w:cs="Times New Roman"/>
                <w:color w:val="auto"/>
                <w:kern w:val="0"/>
                <w:sz w:val="22"/>
                <w:szCs w:val="22"/>
              </w:rPr>
            </w:pPr>
          </w:p>
        </w:tc>
      </w:tr>
      <w:tr w14:paraId="70B0EB85">
        <w:tblPrEx>
          <w:tblCellMar>
            <w:top w:w="0" w:type="dxa"/>
            <w:left w:w="108" w:type="dxa"/>
            <w:bottom w:w="0" w:type="dxa"/>
            <w:right w:w="108" w:type="dxa"/>
          </w:tblCellMar>
        </w:tblPrEx>
        <w:trPr>
          <w:trHeight w:val="645" w:hRule="atLeast"/>
        </w:trPr>
        <w:tc>
          <w:tcPr>
            <w:tcW w:w="5224" w:type="dxa"/>
            <w:tcBorders>
              <w:top w:val="nil"/>
              <w:left w:val="single" w:color="auto" w:sz="4" w:space="0"/>
              <w:bottom w:val="single" w:color="auto" w:sz="4" w:space="0"/>
              <w:right w:val="single" w:color="auto" w:sz="4" w:space="0"/>
            </w:tcBorders>
            <w:vAlign w:val="center"/>
          </w:tcPr>
          <w:p w14:paraId="1BFCBC9E">
            <w:pPr>
              <w:widowControl/>
              <w:jc w:val="center"/>
              <w:rPr>
                <w:rFonts w:ascii="Times New Roman" w:hAnsi="Times New Roman" w:eastAsia="仿宋" w:cs="Times New Roman"/>
                <w:color w:val="auto"/>
                <w:kern w:val="0"/>
                <w:sz w:val="22"/>
                <w:szCs w:val="22"/>
              </w:rPr>
            </w:pPr>
            <w:r>
              <w:rPr>
                <w:rFonts w:ascii="Times New Roman" w:hAnsi="Times New Roman" w:eastAsia="仿宋" w:cs="Times New Roman"/>
                <w:color w:val="auto"/>
                <w:kern w:val="0"/>
                <w:sz w:val="22"/>
                <w:szCs w:val="22"/>
              </w:rPr>
              <w:t>2</w:t>
            </w:r>
            <w:r>
              <w:rPr>
                <w:rFonts w:hint="eastAsia" w:ascii="Times New Roman" w:hAnsi="Times New Roman" w:eastAsia="仿宋" w:cs="仿宋"/>
                <w:color w:val="auto"/>
                <w:kern w:val="0"/>
                <w:sz w:val="22"/>
                <w:szCs w:val="22"/>
              </w:rPr>
              <w:t>、车辆（台、辆）</w:t>
            </w:r>
          </w:p>
        </w:tc>
        <w:tc>
          <w:tcPr>
            <w:tcW w:w="3155" w:type="dxa"/>
            <w:tcBorders>
              <w:top w:val="nil"/>
              <w:left w:val="nil"/>
              <w:bottom w:val="single" w:color="auto" w:sz="4" w:space="0"/>
              <w:right w:val="single" w:color="auto" w:sz="4" w:space="0"/>
            </w:tcBorders>
            <w:vAlign w:val="center"/>
          </w:tcPr>
          <w:p w14:paraId="4A289889">
            <w:pPr>
              <w:widowControl/>
              <w:jc w:val="center"/>
              <w:rPr>
                <w:rFonts w:ascii="Times New Roman" w:hAnsi="Times New Roman" w:eastAsia="仿宋" w:cs="Times New Roman"/>
                <w:color w:val="auto"/>
                <w:kern w:val="0"/>
                <w:sz w:val="22"/>
                <w:szCs w:val="22"/>
              </w:rPr>
            </w:pPr>
            <w:r>
              <w:rPr>
                <w:rFonts w:ascii="Times New Roman" w:hAnsi="Times New Roman" w:eastAsia="仿宋" w:cs="Times New Roman"/>
                <w:color w:val="auto"/>
                <w:kern w:val="0"/>
                <w:sz w:val="22"/>
                <w:szCs w:val="22"/>
              </w:rPr>
              <w:t>1</w:t>
            </w:r>
          </w:p>
        </w:tc>
        <w:tc>
          <w:tcPr>
            <w:tcW w:w="5103" w:type="dxa"/>
            <w:tcBorders>
              <w:top w:val="nil"/>
              <w:left w:val="nil"/>
              <w:bottom w:val="single" w:color="auto" w:sz="4" w:space="0"/>
              <w:right w:val="single" w:color="auto" w:sz="4" w:space="0"/>
            </w:tcBorders>
            <w:vAlign w:val="center"/>
          </w:tcPr>
          <w:p w14:paraId="6F36517D">
            <w:pPr>
              <w:widowControl/>
              <w:jc w:val="center"/>
              <w:rPr>
                <w:rFonts w:ascii="Times New Roman" w:hAnsi="Times New Roman" w:eastAsia="仿宋" w:cs="Times New Roman"/>
                <w:color w:val="auto"/>
                <w:kern w:val="0"/>
                <w:sz w:val="22"/>
                <w:szCs w:val="22"/>
              </w:rPr>
            </w:pPr>
            <w:r>
              <w:rPr>
                <w:rFonts w:ascii="Times New Roman" w:hAnsi="Times New Roman" w:eastAsia="仿宋" w:cs="Times New Roman"/>
                <w:color w:val="auto"/>
                <w:kern w:val="0"/>
                <w:sz w:val="22"/>
                <w:szCs w:val="22"/>
              </w:rPr>
              <w:t>8.8</w:t>
            </w:r>
          </w:p>
        </w:tc>
      </w:tr>
      <w:tr w14:paraId="7C7B3A2B">
        <w:tblPrEx>
          <w:tblCellMar>
            <w:top w:w="0" w:type="dxa"/>
            <w:left w:w="108" w:type="dxa"/>
            <w:bottom w:w="0" w:type="dxa"/>
            <w:right w:w="108" w:type="dxa"/>
          </w:tblCellMar>
        </w:tblPrEx>
        <w:trPr>
          <w:trHeight w:val="645" w:hRule="atLeast"/>
        </w:trPr>
        <w:tc>
          <w:tcPr>
            <w:tcW w:w="5224" w:type="dxa"/>
            <w:tcBorders>
              <w:top w:val="nil"/>
              <w:left w:val="single" w:color="auto" w:sz="4" w:space="0"/>
              <w:bottom w:val="single" w:color="auto" w:sz="4" w:space="0"/>
              <w:right w:val="single" w:color="auto" w:sz="4" w:space="0"/>
            </w:tcBorders>
            <w:vAlign w:val="center"/>
          </w:tcPr>
          <w:p w14:paraId="58BE48FD">
            <w:pPr>
              <w:widowControl/>
              <w:jc w:val="center"/>
              <w:rPr>
                <w:rFonts w:ascii="Times New Roman" w:hAnsi="Times New Roman" w:eastAsia="仿宋" w:cs="Times New Roman"/>
                <w:color w:val="auto"/>
                <w:kern w:val="0"/>
                <w:sz w:val="22"/>
                <w:szCs w:val="22"/>
              </w:rPr>
            </w:pPr>
            <w:r>
              <w:rPr>
                <w:rFonts w:ascii="Times New Roman" w:hAnsi="Times New Roman" w:eastAsia="仿宋" w:cs="Times New Roman"/>
                <w:color w:val="auto"/>
                <w:kern w:val="0"/>
                <w:sz w:val="22"/>
                <w:szCs w:val="22"/>
              </w:rPr>
              <w:t>3</w:t>
            </w:r>
            <w:r>
              <w:rPr>
                <w:rFonts w:hint="eastAsia" w:ascii="Times New Roman" w:hAnsi="Times New Roman" w:eastAsia="仿宋" w:cs="仿宋"/>
                <w:color w:val="auto"/>
                <w:kern w:val="0"/>
                <w:sz w:val="22"/>
                <w:szCs w:val="22"/>
              </w:rPr>
              <w:t>、单价在</w:t>
            </w:r>
            <w:r>
              <w:rPr>
                <w:rFonts w:ascii="Times New Roman" w:hAnsi="Times New Roman" w:eastAsia="仿宋" w:cs="Times New Roman"/>
                <w:color w:val="auto"/>
                <w:kern w:val="0"/>
                <w:sz w:val="22"/>
                <w:szCs w:val="22"/>
              </w:rPr>
              <w:t>20</w:t>
            </w:r>
            <w:r>
              <w:rPr>
                <w:rFonts w:hint="eastAsia" w:ascii="Times New Roman" w:hAnsi="Times New Roman" w:eastAsia="仿宋" w:cs="仿宋"/>
                <w:color w:val="auto"/>
                <w:kern w:val="0"/>
                <w:sz w:val="22"/>
                <w:szCs w:val="22"/>
              </w:rPr>
              <w:t>万元以上设备</w:t>
            </w:r>
          </w:p>
        </w:tc>
        <w:tc>
          <w:tcPr>
            <w:tcW w:w="3155" w:type="dxa"/>
            <w:tcBorders>
              <w:top w:val="nil"/>
              <w:left w:val="nil"/>
              <w:bottom w:val="single" w:color="auto" w:sz="4" w:space="0"/>
              <w:right w:val="single" w:color="auto" w:sz="4" w:space="0"/>
            </w:tcBorders>
            <w:vAlign w:val="center"/>
          </w:tcPr>
          <w:p w14:paraId="563CEAFF">
            <w:pPr>
              <w:widowControl/>
              <w:jc w:val="center"/>
              <w:rPr>
                <w:rFonts w:ascii="Times New Roman" w:hAnsi="Times New Roman" w:eastAsia="仿宋" w:cs="Times New Roman"/>
                <w:color w:val="auto"/>
                <w:kern w:val="0"/>
                <w:sz w:val="22"/>
                <w:szCs w:val="22"/>
              </w:rPr>
            </w:pPr>
            <w:r>
              <w:rPr>
                <w:rFonts w:ascii="Times New Roman" w:hAnsi="Times New Roman" w:eastAsia="仿宋" w:cs="Times New Roman"/>
                <w:color w:val="auto"/>
                <w:kern w:val="0"/>
                <w:sz w:val="22"/>
                <w:szCs w:val="22"/>
              </w:rPr>
              <w:t>——</w:t>
            </w:r>
          </w:p>
        </w:tc>
        <w:tc>
          <w:tcPr>
            <w:tcW w:w="5103" w:type="dxa"/>
            <w:tcBorders>
              <w:top w:val="nil"/>
              <w:left w:val="nil"/>
              <w:bottom w:val="single" w:color="auto" w:sz="4" w:space="0"/>
              <w:right w:val="single" w:color="auto" w:sz="4" w:space="0"/>
            </w:tcBorders>
            <w:vAlign w:val="center"/>
          </w:tcPr>
          <w:p w14:paraId="258A9D9E">
            <w:pPr>
              <w:widowControl/>
              <w:jc w:val="center"/>
              <w:rPr>
                <w:rFonts w:ascii="Times New Roman" w:hAnsi="Times New Roman" w:eastAsia="仿宋" w:cs="Times New Roman"/>
                <w:color w:val="auto"/>
                <w:kern w:val="0"/>
                <w:sz w:val="22"/>
                <w:szCs w:val="22"/>
              </w:rPr>
            </w:pPr>
          </w:p>
        </w:tc>
      </w:tr>
      <w:tr w14:paraId="5CFB7348">
        <w:tblPrEx>
          <w:tblCellMar>
            <w:top w:w="0" w:type="dxa"/>
            <w:left w:w="108" w:type="dxa"/>
            <w:bottom w:w="0" w:type="dxa"/>
            <w:right w:w="108" w:type="dxa"/>
          </w:tblCellMar>
        </w:tblPrEx>
        <w:trPr>
          <w:trHeight w:val="645" w:hRule="atLeast"/>
        </w:trPr>
        <w:tc>
          <w:tcPr>
            <w:tcW w:w="5224" w:type="dxa"/>
            <w:tcBorders>
              <w:top w:val="nil"/>
              <w:left w:val="single" w:color="auto" w:sz="4" w:space="0"/>
              <w:bottom w:val="single" w:color="auto" w:sz="4" w:space="0"/>
              <w:right w:val="single" w:color="auto" w:sz="4" w:space="0"/>
            </w:tcBorders>
            <w:vAlign w:val="center"/>
          </w:tcPr>
          <w:p w14:paraId="1AFB0CE8">
            <w:pPr>
              <w:widowControl/>
              <w:jc w:val="center"/>
              <w:rPr>
                <w:rFonts w:ascii="Times New Roman" w:hAnsi="Times New Roman" w:eastAsia="仿宋" w:cs="Times New Roman"/>
                <w:color w:val="auto"/>
                <w:kern w:val="0"/>
                <w:sz w:val="22"/>
                <w:szCs w:val="22"/>
              </w:rPr>
            </w:pPr>
            <w:r>
              <w:rPr>
                <w:rFonts w:ascii="Times New Roman" w:hAnsi="Times New Roman" w:eastAsia="仿宋" w:cs="Times New Roman"/>
                <w:color w:val="auto"/>
                <w:kern w:val="0"/>
                <w:sz w:val="22"/>
                <w:szCs w:val="22"/>
              </w:rPr>
              <w:t>4</w:t>
            </w:r>
            <w:r>
              <w:rPr>
                <w:rFonts w:hint="eastAsia" w:ascii="Times New Roman" w:hAnsi="Times New Roman" w:eastAsia="仿宋" w:cs="仿宋"/>
                <w:color w:val="auto"/>
                <w:kern w:val="0"/>
                <w:sz w:val="22"/>
                <w:szCs w:val="22"/>
              </w:rPr>
              <w:t>、其他固定资产</w:t>
            </w:r>
          </w:p>
        </w:tc>
        <w:tc>
          <w:tcPr>
            <w:tcW w:w="3155" w:type="dxa"/>
            <w:tcBorders>
              <w:top w:val="nil"/>
              <w:left w:val="nil"/>
              <w:bottom w:val="single" w:color="auto" w:sz="4" w:space="0"/>
              <w:right w:val="single" w:color="auto" w:sz="4" w:space="0"/>
            </w:tcBorders>
            <w:vAlign w:val="center"/>
          </w:tcPr>
          <w:p w14:paraId="363C1CF8">
            <w:pPr>
              <w:widowControl/>
              <w:jc w:val="center"/>
              <w:rPr>
                <w:rFonts w:ascii="Times New Roman" w:hAnsi="Times New Roman" w:eastAsia="仿宋" w:cs="Times New Roman"/>
                <w:color w:val="auto"/>
                <w:kern w:val="0"/>
                <w:sz w:val="22"/>
                <w:szCs w:val="22"/>
              </w:rPr>
            </w:pPr>
            <w:r>
              <w:rPr>
                <w:rFonts w:ascii="Times New Roman" w:hAnsi="Times New Roman" w:eastAsia="仿宋" w:cs="Times New Roman"/>
                <w:color w:val="auto"/>
                <w:kern w:val="0"/>
                <w:sz w:val="22"/>
                <w:szCs w:val="22"/>
              </w:rPr>
              <w:t>——</w:t>
            </w:r>
          </w:p>
        </w:tc>
        <w:tc>
          <w:tcPr>
            <w:tcW w:w="5103" w:type="dxa"/>
            <w:tcBorders>
              <w:top w:val="nil"/>
              <w:left w:val="nil"/>
              <w:bottom w:val="single" w:color="auto" w:sz="4" w:space="0"/>
              <w:right w:val="single" w:color="auto" w:sz="4" w:space="0"/>
            </w:tcBorders>
            <w:vAlign w:val="center"/>
          </w:tcPr>
          <w:p w14:paraId="22C49BB4">
            <w:pPr>
              <w:widowControl/>
              <w:jc w:val="center"/>
              <w:rPr>
                <w:rFonts w:ascii="Times New Roman" w:hAnsi="Times New Roman" w:eastAsia="仿宋" w:cs="Times New Roman"/>
                <w:color w:val="auto"/>
                <w:kern w:val="0"/>
                <w:sz w:val="22"/>
                <w:szCs w:val="22"/>
              </w:rPr>
            </w:pPr>
            <w:r>
              <w:rPr>
                <w:rFonts w:ascii="Times New Roman" w:hAnsi="Times New Roman" w:eastAsia="仿宋" w:cs="Times New Roman"/>
                <w:color w:val="auto"/>
                <w:kern w:val="0"/>
                <w:sz w:val="22"/>
                <w:szCs w:val="22"/>
              </w:rPr>
              <w:t>8.01</w:t>
            </w:r>
          </w:p>
        </w:tc>
      </w:tr>
    </w:tbl>
    <w:p w14:paraId="2E79AE88">
      <w:pPr>
        <w:autoSpaceDE w:val="0"/>
        <w:autoSpaceDN w:val="0"/>
        <w:adjustRightInd w:val="0"/>
        <w:ind w:firstLine="640" w:firstLineChars="200"/>
        <w:jc w:val="left"/>
        <w:rPr>
          <w:rFonts w:ascii="黑体" w:hAnsi="黑体" w:eastAsia="黑体" w:cs="Times New Roman"/>
          <w:color w:val="auto"/>
          <w:sz w:val="32"/>
          <w:szCs w:val="32"/>
        </w:rPr>
      </w:pPr>
    </w:p>
    <w:p w14:paraId="3784E0A3">
      <w:pPr>
        <w:autoSpaceDE w:val="0"/>
        <w:autoSpaceDN w:val="0"/>
        <w:adjustRightInd w:val="0"/>
        <w:ind w:firstLine="640" w:firstLineChars="200"/>
        <w:jc w:val="left"/>
        <w:rPr>
          <w:rFonts w:ascii="黑体" w:hAnsi="黑体" w:eastAsia="黑体" w:cs="Times New Roman"/>
          <w:color w:val="auto"/>
          <w:sz w:val="32"/>
          <w:szCs w:val="32"/>
        </w:rPr>
      </w:pPr>
    </w:p>
    <w:p w14:paraId="07CA559D">
      <w:pPr>
        <w:autoSpaceDE w:val="0"/>
        <w:autoSpaceDN w:val="0"/>
        <w:adjustRightInd w:val="0"/>
        <w:ind w:firstLine="640" w:firstLineChars="200"/>
        <w:jc w:val="left"/>
        <w:rPr>
          <w:rFonts w:ascii="黑体" w:hAnsi="黑体" w:eastAsia="黑体" w:cs="Times New Roman"/>
          <w:color w:val="auto"/>
          <w:sz w:val="32"/>
          <w:szCs w:val="32"/>
        </w:rPr>
      </w:pPr>
    </w:p>
    <w:p w14:paraId="634C67DD">
      <w:pPr>
        <w:autoSpaceDE w:val="0"/>
        <w:autoSpaceDN w:val="0"/>
        <w:adjustRightInd w:val="0"/>
        <w:ind w:firstLine="640" w:firstLineChars="200"/>
        <w:jc w:val="left"/>
        <w:rPr>
          <w:rFonts w:ascii="黑体" w:hAnsi="黑体" w:eastAsia="黑体" w:cs="Times New Roman"/>
          <w:color w:val="auto"/>
          <w:sz w:val="32"/>
          <w:szCs w:val="32"/>
        </w:rPr>
      </w:pPr>
      <w:r>
        <w:rPr>
          <w:rFonts w:hint="eastAsia" w:ascii="黑体" w:hAnsi="黑体" w:eastAsia="黑体" w:cs="黑体"/>
          <w:color w:val="auto"/>
          <w:sz w:val="32"/>
          <w:szCs w:val="32"/>
        </w:rPr>
        <w:t>八、名词解释</w:t>
      </w:r>
    </w:p>
    <w:p w14:paraId="789A258A">
      <w:pPr>
        <w:ind w:firstLine="640" w:firstLineChars="200"/>
        <w:rPr>
          <w:rFonts w:ascii="Times New Roman" w:hAnsi="Times New Roman" w:eastAsia="仿宋" w:cs="Times New Roman"/>
          <w:color w:val="auto"/>
          <w:sz w:val="32"/>
          <w:szCs w:val="32"/>
        </w:rPr>
      </w:pPr>
      <w:r>
        <w:rPr>
          <w:rFonts w:ascii="Times New Roman" w:hAnsi="Times New Roman" w:eastAsia="仿宋" w:cs="Times New Roman"/>
          <w:color w:val="auto"/>
          <w:sz w:val="32"/>
          <w:szCs w:val="32"/>
        </w:rPr>
        <w:t>1</w:t>
      </w:r>
      <w:r>
        <w:rPr>
          <w:rFonts w:hint="eastAsia" w:ascii="Times New Roman" w:hAnsi="Times New Roman" w:eastAsia="仿宋" w:cs="仿宋"/>
          <w:color w:val="auto"/>
          <w:sz w:val="32"/>
          <w:szCs w:val="32"/>
        </w:rPr>
        <w:t>、一般预算收入：</w:t>
      </w:r>
      <w:r>
        <w:rPr>
          <w:rFonts w:hint="eastAsia" w:ascii="Times New Roman" w:hAnsi="Times New Roman" w:eastAsia="仿宋" w:cs="仿宋"/>
          <w:color w:val="auto"/>
          <w:sz w:val="32"/>
          <w:szCs w:val="32"/>
          <w:lang w:eastAsia="zh-CN"/>
        </w:rPr>
        <w:t>县</w:t>
      </w:r>
      <w:r>
        <w:rPr>
          <w:rFonts w:hint="eastAsia" w:ascii="Times New Roman" w:hAnsi="Times New Roman" w:eastAsia="仿宋" w:cs="仿宋"/>
          <w:color w:val="auto"/>
          <w:sz w:val="32"/>
          <w:szCs w:val="32"/>
        </w:rPr>
        <w:t>级财政当年拨付的资金。</w:t>
      </w:r>
    </w:p>
    <w:p w14:paraId="14EF76B1">
      <w:pPr>
        <w:ind w:firstLine="640" w:firstLineChars="200"/>
        <w:rPr>
          <w:rFonts w:ascii="Times New Roman" w:hAnsi="Times New Roman" w:eastAsia="仿宋" w:cs="Times New Roman"/>
          <w:color w:val="auto"/>
          <w:sz w:val="32"/>
          <w:szCs w:val="32"/>
        </w:rPr>
      </w:pPr>
      <w:r>
        <w:rPr>
          <w:rFonts w:ascii="Times New Roman" w:hAnsi="Times New Roman" w:eastAsia="仿宋" w:cs="Times New Roman"/>
          <w:color w:val="auto"/>
          <w:sz w:val="32"/>
          <w:szCs w:val="32"/>
        </w:rPr>
        <w:t>2</w:t>
      </w:r>
      <w:r>
        <w:rPr>
          <w:rFonts w:hint="eastAsia" w:ascii="Times New Roman" w:hAnsi="Times New Roman" w:eastAsia="仿宋" w:cs="仿宋"/>
          <w:color w:val="auto"/>
          <w:sz w:val="32"/>
          <w:szCs w:val="32"/>
        </w:rPr>
        <w:t>、基本支出：为保障机构正常运转，完成日常工作任务，而发生的人员支出和公用支出。</w:t>
      </w:r>
    </w:p>
    <w:p w14:paraId="2197F14A">
      <w:pPr>
        <w:ind w:firstLine="640" w:firstLineChars="200"/>
        <w:rPr>
          <w:rFonts w:ascii="Times New Roman" w:hAnsi="Times New Roman" w:eastAsia="仿宋" w:cs="Times New Roman"/>
          <w:color w:val="auto"/>
          <w:sz w:val="32"/>
          <w:szCs w:val="32"/>
        </w:rPr>
      </w:pPr>
      <w:r>
        <w:rPr>
          <w:rFonts w:ascii="Times New Roman" w:hAnsi="Times New Roman" w:eastAsia="仿宋" w:cs="Times New Roman"/>
          <w:color w:val="auto"/>
          <w:sz w:val="32"/>
          <w:szCs w:val="32"/>
        </w:rPr>
        <w:t>3</w:t>
      </w:r>
      <w:r>
        <w:rPr>
          <w:rFonts w:hint="eastAsia" w:ascii="Times New Roman" w:hAnsi="Times New Roman" w:eastAsia="仿宋" w:cs="仿宋"/>
          <w:color w:val="auto"/>
          <w:sz w:val="32"/>
          <w:szCs w:val="32"/>
        </w:rPr>
        <w:t>、项目支出：是指在基本支出之外，为完成特定行政任务和事业发展目标，而发生的支出。</w:t>
      </w:r>
    </w:p>
    <w:p w14:paraId="151F2BCB">
      <w:pPr>
        <w:ind w:firstLine="640" w:firstLineChars="200"/>
        <w:rPr>
          <w:rFonts w:ascii="Times New Roman" w:hAnsi="Times New Roman" w:eastAsia="仿宋" w:cs="Times New Roman"/>
          <w:color w:val="auto"/>
          <w:sz w:val="32"/>
          <w:szCs w:val="32"/>
        </w:rPr>
      </w:pPr>
      <w:r>
        <w:rPr>
          <w:rFonts w:ascii="Times New Roman" w:hAnsi="Times New Roman" w:eastAsia="仿宋" w:cs="Times New Roman"/>
          <w:color w:val="auto"/>
          <w:sz w:val="32"/>
          <w:szCs w:val="32"/>
        </w:rPr>
        <w:t>4</w:t>
      </w:r>
      <w:r>
        <w:rPr>
          <w:rFonts w:hint="eastAsia" w:ascii="Times New Roman" w:hAnsi="Times New Roman" w:eastAsia="仿宋" w:cs="仿宋"/>
          <w:color w:val="auto"/>
          <w:sz w:val="32"/>
          <w:szCs w:val="32"/>
        </w:rPr>
        <w:t>、机关运行费：是指各部门的公用经费，包括办公及印刷费、邮电费、差旅费、会议费、福利费、日常维修费、专用材料及一般设备购置费、办公用房水电费、办公用房取暖费、办公用房物业管理费、公务用车运行维护费以及其他费用。</w:t>
      </w:r>
    </w:p>
    <w:p w14:paraId="30322EE2">
      <w:pPr>
        <w:ind w:firstLine="643" w:firstLineChars="200"/>
        <w:rPr>
          <w:rFonts w:ascii="宋体-方正超大字符集" w:hAnsi="宋体-方正超大字符集" w:eastAsia="宋体-方正超大字符集" w:cs="Times New Roman"/>
          <w:b/>
          <w:bCs/>
          <w:color w:val="auto"/>
          <w:sz w:val="32"/>
          <w:szCs w:val="32"/>
        </w:rPr>
      </w:pPr>
      <w:r>
        <w:rPr>
          <w:rFonts w:hint="eastAsia" w:ascii="宋体-方正超大字符集" w:hAnsi="宋体-方正超大字符集" w:eastAsia="宋体-方正超大字符集" w:cs="宋体-方正超大字符集"/>
          <w:b/>
          <w:bCs/>
          <w:color w:val="auto"/>
          <w:sz w:val="32"/>
          <w:szCs w:val="32"/>
        </w:rPr>
        <w:t>九、其他需要说明的事项</w:t>
      </w:r>
    </w:p>
    <w:p w14:paraId="64476633">
      <w:pPr>
        <w:autoSpaceDE w:val="0"/>
        <w:autoSpaceDN w:val="0"/>
        <w:adjustRightInd w:val="0"/>
        <w:jc w:val="left"/>
        <w:rPr>
          <w:rFonts w:ascii="Times New Roman" w:hAnsi="Times New Roman" w:eastAsia="仿宋" w:cs="Times New Roman"/>
          <w:color w:val="auto"/>
          <w:sz w:val="32"/>
          <w:szCs w:val="32"/>
        </w:rPr>
      </w:pPr>
      <w:r>
        <w:rPr>
          <w:rFonts w:hint="eastAsia" w:ascii="Times New Roman" w:hAnsi="Times New Roman" w:eastAsia="仿宋" w:cs="仿宋"/>
          <w:color w:val="auto"/>
          <w:sz w:val="32"/>
          <w:szCs w:val="32"/>
        </w:rPr>
        <w:t>我部门无其他需要说明的事项。</w:t>
      </w:r>
    </w:p>
    <w:sectPr>
      <w:pgSz w:w="16838" w:h="11906" w:orient="landscape"/>
      <w:pgMar w:top="1800" w:right="1440" w:bottom="1800" w:left="144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方正小标宋_GBK">
    <w:altName w:val="微软雅黑"/>
    <w:panose1 w:val="00000000000000000000"/>
    <w:charset w:val="86"/>
    <w:family w:val="script"/>
    <w:pitch w:val="default"/>
    <w:sig w:usb0="00000000" w:usb1="00000000" w:usb2="00000010" w:usb3="00000000" w:csb0="00040000" w:csb1="00000000"/>
  </w:font>
  <w:font w:name="微软雅黑">
    <w:panose1 w:val="020B0503020204020204"/>
    <w:charset w:val="86"/>
    <w:family w:val="auto"/>
    <w:pitch w:val="default"/>
    <w:sig w:usb0="80000287" w:usb1="280F3C52" w:usb2="00000016" w:usb3="00000000" w:csb0="0004001F" w:csb1="00000000"/>
  </w:font>
  <w:font w:name="仿宋">
    <w:panose1 w:val="02010609060101010101"/>
    <w:charset w:val="86"/>
    <w:family w:val="modern"/>
    <w:pitch w:val="default"/>
    <w:sig w:usb0="800002BF" w:usb1="38CF7CFA" w:usb2="00000016" w:usb3="00000000" w:csb0="00040001" w:csb1="00000000"/>
  </w:font>
  <w:font w:name="方正书宋_GBK">
    <w:altName w:val="微软雅黑"/>
    <w:panose1 w:val="00000000000000000000"/>
    <w:charset w:val="86"/>
    <w:family w:val="script"/>
    <w:pitch w:val="default"/>
    <w:sig w:usb0="00000000" w:usb1="00000000" w:usb2="00000010" w:usb3="00000000" w:csb0="00040000" w:csb1="00000000"/>
  </w:font>
  <w:font w:name="宋体-方正超大字符集">
    <w:altName w:val="宋体"/>
    <w:panose1 w:val="03000509000000000000"/>
    <w:charset w:val="86"/>
    <w:family w:val="script"/>
    <w:pitch w:val="default"/>
    <w:sig w:usb0="00000000" w:usb1="00000000" w:usb2="00000010" w:usb3="00000000" w:csb0="0004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2">
    <w:p>
      <w:r>
        <w:separator/>
      </w:r>
    </w:p>
  </w:footnote>
  <w:footnote w:type="continuationSeparator" w:id="3">
    <w:p>
      <w:r>
        <w:continuationSeparator/>
      </w:r>
    </w:p>
  </w:footnote>
  <w:footnote w:id="0">
    <w:p w14:paraId="46AD5DB8">
      <w:pPr>
        <w:pStyle w:val="5"/>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oNotHyphenateCaps/>
  <w:drawingGridHorizontalSpacing w:val="105"/>
  <w:drawingGridVerticalSpacing w:val="156"/>
  <w:displayHorizontalDrawingGridEvery w:val="0"/>
  <w:displayVerticalDrawingGridEvery w:val="2"/>
  <w:characterSpacingControl w:val="compressPunctuation"/>
  <w:noLineBreaksAfter w:lang="zh-CN" w:val="$([{£¥·‘“〈《「『【〔〖〝﹙﹛﹝＄（．［｛￡￥"/>
  <w:noLineBreaksBefore w:lang="zh-CN" w:val="!%),.:;&gt;?]}¢¨°·ˇˉ―‖’”…‰′″›℃∶、。〃〉》」』】〕〗〞︶︺︾﹀﹄﹚﹜﹞！＂％＇），．：；？］｀｜｝～￠"/>
  <w:doNotValidateAgainstSchema/>
  <w:doNotDemarcateInvalidXml/>
  <w:footnotePr>
    <w:footnote w:id="2"/>
    <w:footnote w:id="3"/>
  </w:foot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7733F"/>
    <w:rsid w:val="00002C9D"/>
    <w:rsid w:val="00003CA9"/>
    <w:rsid w:val="00040FBA"/>
    <w:rsid w:val="0004490B"/>
    <w:rsid w:val="000604DF"/>
    <w:rsid w:val="000B6658"/>
    <w:rsid w:val="0013228E"/>
    <w:rsid w:val="0027733F"/>
    <w:rsid w:val="002E4731"/>
    <w:rsid w:val="003277EC"/>
    <w:rsid w:val="00362C55"/>
    <w:rsid w:val="003F2E5D"/>
    <w:rsid w:val="00456D84"/>
    <w:rsid w:val="004B1248"/>
    <w:rsid w:val="004B3F70"/>
    <w:rsid w:val="00522254"/>
    <w:rsid w:val="00540F12"/>
    <w:rsid w:val="00621DB1"/>
    <w:rsid w:val="00657CF5"/>
    <w:rsid w:val="006D59C3"/>
    <w:rsid w:val="006D7083"/>
    <w:rsid w:val="007B0F2A"/>
    <w:rsid w:val="008003BA"/>
    <w:rsid w:val="00813CE6"/>
    <w:rsid w:val="00817B30"/>
    <w:rsid w:val="00841461"/>
    <w:rsid w:val="0085745B"/>
    <w:rsid w:val="008C091D"/>
    <w:rsid w:val="008C70BF"/>
    <w:rsid w:val="00A169EE"/>
    <w:rsid w:val="00AE1A4F"/>
    <w:rsid w:val="00B30B78"/>
    <w:rsid w:val="00B76ACD"/>
    <w:rsid w:val="00C16277"/>
    <w:rsid w:val="00C62C21"/>
    <w:rsid w:val="00C83F40"/>
    <w:rsid w:val="00C84F47"/>
    <w:rsid w:val="00C92C3B"/>
    <w:rsid w:val="00C96B0E"/>
    <w:rsid w:val="00CF2E25"/>
    <w:rsid w:val="00D12AFA"/>
    <w:rsid w:val="00DC55D2"/>
    <w:rsid w:val="00DC631B"/>
    <w:rsid w:val="00DE1BA5"/>
    <w:rsid w:val="00E06C95"/>
    <w:rsid w:val="00E57005"/>
    <w:rsid w:val="00E64936"/>
    <w:rsid w:val="00ED2931"/>
    <w:rsid w:val="00ED37FA"/>
    <w:rsid w:val="00F03494"/>
    <w:rsid w:val="00F171F2"/>
    <w:rsid w:val="00FC112A"/>
    <w:rsid w:val="13B63AAF"/>
    <w:rsid w:val="180A3C26"/>
    <w:rsid w:val="2B762364"/>
    <w:rsid w:val="71136F96"/>
    <w:rsid w:val="714A23B6"/>
    <w:rsid w:val="7F757E39"/>
  </w:rsids>
  <m:mathPr>
    <m:mathFont m:val="Cambria Math"/>
    <m:brkBin m:val="before"/>
    <m:brkBinSub m:val="--"/>
    <m:smallFrac m:val="0"/>
    <m:dispDef/>
    <m:lMargin m:val="0"/>
    <m:rMargin m:val="0"/>
    <m:defJc m:val="centerGroup"/>
    <m:wrapIndent m:val="1440"/>
    <m:intLim m:val="subSup"/>
    <m:naryLim m:val="undOvr"/>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ocked="1"/>
    <w:lsdException w:qFormat="1" w:uiPriority="0" w:name="heading 2" w:locked="1"/>
    <w:lsdException w:qFormat="1" w:uiPriority="0" w:name="heading 3" w:locked="1"/>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99" w:name="toc 1"/>
    <w:lsdException w:qFormat="1" w:unhideWhenUsed="0" w:uiPriority="99" w:name="toc 2"/>
    <w:lsdException w:unhideWhenUsed="0" w:uiPriority="0" w:semiHidden="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uiPriority="99" w:name="Normal Indent"/>
    <w:lsdException w:qFormat="1" w:unhideWhenUsed="0" w:uiPriority="99" w:name="footnote text"/>
    <w:lsdException w:uiPriority="99" w:name="annotation text"/>
    <w:lsdException w:qFormat="1" w:unhideWhenUsed="0" w:uiPriority="99" w:semiHidden="0" w:name="header"/>
    <w:lsdException w:qFormat="1" w:unhideWhenUsed="0" w:uiPriority="99" w:semiHidden="0"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qFormat="1" w:unhideWhenUsed="0"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unhideWhenUsed="0" w:uiPriority="99"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0" w:semiHidden="0" w:name="Strong" w:locked="1"/>
    <w:lsdException w:qFormat="1" w:unhideWhenUsed="0" w:uiPriority="0" w:semiHidden="0" w:name="Emphasis" w:locked="1"/>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0" w:semiHidden="0" w:name="Table Grid" w:locked="1"/>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Calibri"/>
      <w:kern w:val="2"/>
      <w:sz w:val="21"/>
      <w:szCs w:val="21"/>
      <w:lang w:val="en-US" w:eastAsia="zh-CN" w:bidi="ar-SA"/>
    </w:rPr>
  </w:style>
  <w:style w:type="character" w:default="1" w:styleId="8">
    <w:name w:val="Default Paragraph Font"/>
    <w:semiHidden/>
    <w:uiPriority w:val="99"/>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10"/>
    <w:qFormat/>
    <w:uiPriority w:val="99"/>
    <w:pPr>
      <w:tabs>
        <w:tab w:val="center" w:pos="4153"/>
        <w:tab w:val="right" w:pos="8306"/>
      </w:tabs>
      <w:snapToGrid w:val="0"/>
      <w:jc w:val="left"/>
    </w:pPr>
    <w:rPr>
      <w:rFonts w:ascii="Times New Roman" w:hAnsi="Times New Roman" w:cs="Times New Roman"/>
      <w:kern w:val="0"/>
      <w:sz w:val="18"/>
      <w:szCs w:val="18"/>
    </w:rPr>
  </w:style>
  <w:style w:type="paragraph" w:styleId="3">
    <w:name w:val="header"/>
    <w:basedOn w:val="1"/>
    <w:link w:val="11"/>
    <w:qFormat/>
    <w:uiPriority w:val="99"/>
    <w:pPr>
      <w:pBdr>
        <w:bottom w:val="single" w:color="auto" w:sz="6" w:space="1"/>
      </w:pBdr>
      <w:tabs>
        <w:tab w:val="center" w:pos="4153"/>
        <w:tab w:val="right" w:pos="8306"/>
      </w:tabs>
      <w:snapToGrid w:val="0"/>
      <w:jc w:val="center"/>
    </w:pPr>
    <w:rPr>
      <w:rFonts w:ascii="Times New Roman" w:hAnsi="Times New Roman" w:cs="Times New Roman"/>
      <w:kern w:val="0"/>
      <w:sz w:val="18"/>
      <w:szCs w:val="18"/>
    </w:rPr>
  </w:style>
  <w:style w:type="paragraph" w:styleId="4">
    <w:name w:val="toc 1"/>
    <w:basedOn w:val="1"/>
    <w:next w:val="1"/>
    <w:semiHidden/>
    <w:qFormat/>
    <w:uiPriority w:val="99"/>
    <w:rPr>
      <w:rFonts w:ascii="Times New Roman" w:hAnsi="Times New Roman" w:cs="Times New Roman"/>
    </w:rPr>
  </w:style>
  <w:style w:type="paragraph" w:styleId="5">
    <w:name w:val="footnote text"/>
    <w:basedOn w:val="1"/>
    <w:link w:val="13"/>
    <w:semiHidden/>
    <w:qFormat/>
    <w:uiPriority w:val="99"/>
    <w:pPr>
      <w:snapToGrid w:val="0"/>
      <w:jc w:val="left"/>
    </w:pPr>
    <w:rPr>
      <w:rFonts w:ascii="Times New Roman" w:hAnsi="Times New Roman" w:cs="Times New Roman"/>
      <w:sz w:val="18"/>
      <w:szCs w:val="18"/>
    </w:rPr>
  </w:style>
  <w:style w:type="paragraph" w:styleId="6">
    <w:name w:val="toc 2"/>
    <w:basedOn w:val="1"/>
    <w:next w:val="1"/>
    <w:semiHidden/>
    <w:qFormat/>
    <w:uiPriority w:val="99"/>
    <w:pPr>
      <w:ind w:left="420" w:leftChars="200"/>
    </w:pPr>
    <w:rPr>
      <w:rFonts w:ascii="Times New Roman" w:hAnsi="Times New Roman" w:cs="Times New Roman"/>
    </w:rPr>
  </w:style>
  <w:style w:type="character" w:styleId="9">
    <w:name w:val="footnote reference"/>
    <w:basedOn w:val="8"/>
    <w:semiHidden/>
    <w:qFormat/>
    <w:uiPriority w:val="99"/>
    <w:rPr>
      <w:vertAlign w:val="superscript"/>
    </w:rPr>
  </w:style>
  <w:style w:type="character" w:customStyle="1" w:styleId="10">
    <w:name w:val="Footer Char"/>
    <w:basedOn w:val="8"/>
    <w:link w:val="2"/>
    <w:semiHidden/>
    <w:locked/>
    <w:uiPriority w:val="99"/>
    <w:rPr>
      <w:rFonts w:ascii="Times New Roman" w:hAnsi="Times New Roman" w:eastAsia="宋体" w:cs="Times New Roman"/>
      <w:sz w:val="18"/>
      <w:szCs w:val="18"/>
    </w:rPr>
  </w:style>
  <w:style w:type="character" w:customStyle="1" w:styleId="11">
    <w:name w:val="Header Char"/>
    <w:basedOn w:val="8"/>
    <w:link w:val="3"/>
    <w:semiHidden/>
    <w:qFormat/>
    <w:locked/>
    <w:uiPriority w:val="99"/>
    <w:rPr>
      <w:rFonts w:ascii="Times New Roman" w:hAnsi="Times New Roman" w:eastAsia="宋体" w:cs="Times New Roman"/>
      <w:sz w:val="18"/>
      <w:szCs w:val="18"/>
    </w:rPr>
  </w:style>
  <w:style w:type="paragraph" w:customStyle="1" w:styleId="12">
    <w:name w:val="Char"/>
    <w:basedOn w:val="1"/>
    <w:qFormat/>
    <w:uiPriority w:val="99"/>
    <w:rPr>
      <w:rFonts w:ascii="Times New Roman" w:hAnsi="Times New Roman" w:cs="Times New Roman"/>
    </w:rPr>
  </w:style>
  <w:style w:type="character" w:customStyle="1" w:styleId="13">
    <w:name w:val="Footnote Text Char"/>
    <w:basedOn w:val="8"/>
    <w:link w:val="5"/>
    <w:semiHidden/>
    <w:qFormat/>
    <w:locked/>
    <w:uiPriority w:val="99"/>
    <w:rPr>
      <w:kern w:val="2"/>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Normal_Wordconv.dotm</Template>
  <Company>Microsoft</Company>
  <Pages>12</Pages>
  <Words>5167</Words>
  <Characters>5532</Characters>
  <Lines>0</Lines>
  <Paragraphs>0</Paragraphs>
  <TotalTime>133</TotalTime>
  <ScaleCrop>false</ScaleCrop>
  <LinksUpToDate>false</LinksUpToDate>
  <CharactersWithSpaces>5557</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2018-08-10T10:24:00Z</dcterms:created>
  <dc:creator>guest</dc:creator>
  <cp:lastModifiedBy>苦苦的烟味</cp:lastModifiedBy>
  <cp:lastPrinted>2017-02-09T01:57:00Z</cp:lastPrinted>
  <dcterms:modified xsi:type="dcterms:W3CDTF">2025-08-08T02:21:07Z</dcterms:modified>
  <dc:title>Administrator</dc:title>
  <cp:revision>20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KSOTemplateDocerSaveRecord">
    <vt:lpwstr>eyJoZGlkIjoiYjA4YmMwYzdkZWMyMDE4ZDg0YWVjYWVkYjQ5ZGNkN2YiLCJ1c2VySWQiOiI0MzU4MTEzNTAifQ==</vt:lpwstr>
  </property>
  <property fmtid="{D5CDD505-2E9C-101B-9397-08002B2CF9AE}" pid="4" name="ICV">
    <vt:lpwstr>5AF1AF989BF647C88E74E30274F855CC_12</vt:lpwstr>
  </property>
</Properties>
</file>