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8047C">
      <w:pPr>
        <w:ind w:firstLine="1767" w:firstLineChars="400"/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 w14:paraId="36F0A9BB">
      <w:pPr>
        <w:ind w:firstLine="1767" w:firstLineChars="400"/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曲阳县教体育和体育局</w:t>
      </w:r>
    </w:p>
    <w:p w14:paraId="71596F19">
      <w:pPr>
        <w:ind w:left="4859" w:hanging="4859" w:hangingChars="110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2025年度跨部门“双随机、一公开”检查</w:t>
      </w:r>
    </w:p>
    <w:p w14:paraId="4885C9B9">
      <w:pPr>
        <w:ind w:left="4848" w:leftChars="1467" w:hanging="1767" w:hangingChars="400"/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公示结果</w:t>
      </w:r>
    </w:p>
    <w:p w14:paraId="2F4EDC87">
      <w:pPr>
        <w:ind w:left="2200" w:hanging="2209" w:hangingChars="500"/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 w14:paraId="783DD066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按照2025年曲阳县教育和体育局跨部门联合抽查方案，由曲阳县教育和体育局牵头，市监局配合，对系统随机抽取的2个检查对象进行了各领域的相关检查。检查结果如下：</w:t>
      </w:r>
    </w:p>
    <w:p w14:paraId="1FF96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经检查，2个高危体育场所，均未发现问题，抽查结果已全部录入河北省双随机监管平台，对外公示。</w:t>
      </w:r>
    </w:p>
    <w:p w14:paraId="07F9D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CF369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C6C46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AA33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曲阳县教育和体育局</w:t>
      </w:r>
    </w:p>
    <w:p w14:paraId="2A05FE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2025年10月</w:t>
      </w:r>
    </w:p>
    <w:p w14:paraId="453DE2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CE3802"/>
    <w:rsid w:val="48CE3802"/>
    <w:rsid w:val="79FFE0C2"/>
    <w:rsid w:val="E43FE085"/>
    <w:rsid w:val="FFDE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2024-12-19T09:39:00Z</dcterms:created>
  <dc:creator>烈酒烧心</dc:creator>
  <cp:lastModifiedBy>WPS_1758163818</cp:lastModifiedBy>
  <dcterms:modified xsi:type="dcterms:W3CDTF">2026-09-16T10:47:05Z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BCCCA57F190931BF2903AA6ADB109E3A_43</vt:lpwstr>
  </property>
</Properties>
</file>