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90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599"/>
        <w:gridCol w:w="1282"/>
        <w:gridCol w:w="3412"/>
        <w:gridCol w:w="37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wAfter w:w="0" w:type="auto"/>
          <w:trHeight w:val="90" w:hRule="atLeast"/>
        </w:trPr>
        <w:tc>
          <w:tcPr>
            <w:tcW w:w="9077" w:type="dxa"/>
            <w:gridSpan w:val="4"/>
            <w:tcBorders>
              <w:top w:val="nil"/>
              <w:left w:val="nil"/>
              <w:bottom w:val="nil"/>
              <w:right w:val="nil"/>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bdr w:val="none" w:color="auto" w:sz="0" w:space="0"/>
                <w:lang w:val="en-US" w:eastAsia="zh-CN" w:bidi="ar"/>
              </w:rPr>
              <w:t>《</w:t>
            </w:r>
            <w:bookmarkStart w:id="0" w:name="_GoBack"/>
            <w:r>
              <w:rPr>
                <w:rFonts w:hint="eastAsia" w:ascii="宋体" w:hAnsi="宋体" w:eastAsia="宋体" w:cs="宋体"/>
                <w:b/>
                <w:bCs/>
                <w:i w:val="0"/>
                <w:iCs w:val="0"/>
                <w:color w:val="000000"/>
                <w:kern w:val="0"/>
                <w:sz w:val="44"/>
                <w:szCs w:val="44"/>
                <w:u w:val="none"/>
                <w:bdr w:val="none" w:color="auto" w:sz="0" w:space="0"/>
                <w:lang w:val="en-US" w:eastAsia="zh-CN" w:bidi="ar"/>
              </w:rPr>
              <w:t>文德镇行政处罚事项清单（2024年版）</w:t>
            </w:r>
            <w:bookmarkEnd w:id="0"/>
            <w:r>
              <w:rPr>
                <w:rFonts w:hint="eastAsia" w:ascii="宋体" w:hAnsi="宋体" w:eastAsia="宋体" w:cs="宋体"/>
                <w:b/>
                <w:bCs/>
                <w:i w:val="0"/>
                <w:iCs w:val="0"/>
                <w:color w:val="000000"/>
                <w:kern w:val="0"/>
                <w:sz w:val="44"/>
                <w:szCs w:val="44"/>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tcBorders>
              <w:top w:val="single" w:color="000000" w:sz="8" w:space="0"/>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none" w:color="auto" w:sz="0" w:space="0"/>
                <w:lang w:val="en-US" w:eastAsia="zh-CN" w:bidi="ar"/>
              </w:rPr>
              <w:t>序号</w:t>
            </w:r>
          </w:p>
        </w:tc>
        <w:tc>
          <w:tcPr>
            <w:tcW w:w="1282"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none" w:color="auto" w:sz="0" w:space="0"/>
                <w:lang w:val="en-US" w:eastAsia="zh-CN" w:bidi="ar"/>
              </w:rPr>
              <w:t>领域类别</w:t>
            </w:r>
          </w:p>
        </w:tc>
        <w:tc>
          <w:tcPr>
            <w:tcW w:w="3412"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none" w:color="auto" w:sz="0" w:space="0"/>
                <w:lang w:val="en-US" w:eastAsia="zh-CN" w:bidi="ar"/>
              </w:rPr>
              <w:t>事项名称</w:t>
            </w:r>
          </w:p>
        </w:tc>
        <w:tc>
          <w:tcPr>
            <w:tcW w:w="3784"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none" w:color="auto" w:sz="0" w:space="0"/>
                <w:lang w:val="en-US" w:eastAsia="zh-CN" w:bidi="ar"/>
              </w:rPr>
              <w:t>设定依据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53" w:hRule="atLeast"/>
        </w:trPr>
        <w:tc>
          <w:tcPr>
            <w:tcW w:w="599" w:type="dxa"/>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w:t>
            </w:r>
          </w:p>
        </w:tc>
        <w:tc>
          <w:tcPr>
            <w:tcW w:w="1282" w:type="dxa"/>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城市管理</w:t>
            </w:r>
          </w:p>
        </w:tc>
        <w:tc>
          <w:tcPr>
            <w:tcW w:w="3412"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对栽培、整修或者其他作业遗留的渣土、枝叶等杂物，临街树木、绿篱、花坛（池）、草坪等管理单位或者个人逾期未清除的行政处罚</w:t>
            </w:r>
          </w:p>
        </w:tc>
        <w:tc>
          <w:tcPr>
            <w:tcW w:w="3784"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《河北省城市市容和环境卫生条例》（2023年11月30日修正）第十五条第二款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96" w:hRule="atLeast"/>
        </w:trPr>
        <w:tc>
          <w:tcPr>
            <w:tcW w:w="599" w:type="dxa"/>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2</w:t>
            </w:r>
          </w:p>
        </w:tc>
        <w:tc>
          <w:tcPr>
            <w:tcW w:w="1282" w:type="dxa"/>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城市管理</w:t>
            </w:r>
          </w:p>
        </w:tc>
        <w:tc>
          <w:tcPr>
            <w:tcW w:w="3412"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对未按规定利用悬挂物、充气装置、实物造型等载体设置广告或期满后未及时撤除，或者不及时整修、清洗、更换影响市容的户外广告牌或不予加固、拆除有安全隐患的广告牌、招牌的行政处罚</w:t>
            </w:r>
          </w:p>
        </w:tc>
        <w:tc>
          <w:tcPr>
            <w:tcW w:w="3784"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《河北省城市市容和环境卫生条例》（2023年11月30日修正）第十八条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3</w:t>
            </w:r>
          </w:p>
        </w:tc>
        <w:tc>
          <w:tcPr>
            <w:tcW w:w="1282" w:type="dxa"/>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城市管理</w:t>
            </w:r>
          </w:p>
        </w:tc>
        <w:tc>
          <w:tcPr>
            <w:tcW w:w="3412"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对擅自在城市的道路两侧和公共场地堆放物料等行为的行政处罚</w:t>
            </w:r>
          </w:p>
        </w:tc>
        <w:tc>
          <w:tcPr>
            <w:tcW w:w="3784"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《河北省城市市容和环境卫生条例》（2023年11月30日修正）第二十二条第二款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4</w:t>
            </w:r>
          </w:p>
        </w:tc>
        <w:tc>
          <w:tcPr>
            <w:tcW w:w="1282" w:type="dxa"/>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城市管理</w:t>
            </w:r>
          </w:p>
        </w:tc>
        <w:tc>
          <w:tcPr>
            <w:tcW w:w="3412"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对不按照规定清理垃圾、粪便、积雪的行政处罚</w:t>
            </w:r>
          </w:p>
        </w:tc>
        <w:tc>
          <w:tcPr>
            <w:tcW w:w="3784"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《河北省城市市容和环境卫生条例》（2023年11月30日修正）第三十二条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5</w:t>
            </w:r>
          </w:p>
        </w:tc>
        <w:tc>
          <w:tcPr>
            <w:tcW w:w="1282" w:type="dxa"/>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城市管理</w:t>
            </w:r>
          </w:p>
        </w:tc>
        <w:tc>
          <w:tcPr>
            <w:tcW w:w="3412"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对从事车辆清洗、维修经营活动，未在室内进行，占用道路、绿地、公共场所等的行政处罚</w:t>
            </w:r>
          </w:p>
        </w:tc>
        <w:tc>
          <w:tcPr>
            <w:tcW w:w="3784"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《河北省城市市容和环境卫生条例》（2023年11月30日修正）第三十八条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6</w:t>
            </w:r>
          </w:p>
        </w:tc>
        <w:tc>
          <w:tcPr>
            <w:tcW w:w="1282" w:type="dxa"/>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城市管理</w:t>
            </w:r>
          </w:p>
        </w:tc>
        <w:tc>
          <w:tcPr>
            <w:tcW w:w="3412"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对影响环境卫生行为的行政处罚</w:t>
            </w:r>
          </w:p>
        </w:tc>
        <w:tc>
          <w:tcPr>
            <w:tcW w:w="3784"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《河北省城市市容和环境卫生条例》（2023年11月30日修正）第四十条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7</w:t>
            </w:r>
          </w:p>
        </w:tc>
        <w:tc>
          <w:tcPr>
            <w:tcW w:w="1282" w:type="dxa"/>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城市管理</w:t>
            </w:r>
          </w:p>
        </w:tc>
        <w:tc>
          <w:tcPr>
            <w:tcW w:w="3412"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对在树木上设置广告牌、标语牌或者牵拉绳索、架设电线，以树承重等行为的行政处罚</w:t>
            </w:r>
          </w:p>
        </w:tc>
        <w:tc>
          <w:tcPr>
            <w:tcW w:w="3784"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《河北省城市园林绿化管理办法》（2023年1月20日修正）第四十九条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8</w:t>
            </w:r>
          </w:p>
        </w:tc>
        <w:tc>
          <w:tcPr>
            <w:tcW w:w="1282" w:type="dxa"/>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文化旅游</w:t>
            </w:r>
          </w:p>
        </w:tc>
        <w:tc>
          <w:tcPr>
            <w:tcW w:w="3412"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对单位、个人擅自安装和使用卫星地面接收设施的行政处罚</w:t>
            </w:r>
          </w:p>
        </w:tc>
        <w:tc>
          <w:tcPr>
            <w:tcW w:w="3784"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《卫星电视广播地面接收设施管理规定》（2018年9月18日修订）第十条第三款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9</w:t>
            </w:r>
          </w:p>
        </w:tc>
        <w:tc>
          <w:tcPr>
            <w:tcW w:w="1282" w:type="dxa"/>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文化旅游</w:t>
            </w:r>
          </w:p>
        </w:tc>
        <w:tc>
          <w:tcPr>
            <w:tcW w:w="3412"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对擅自从事营业性演出经营活动等行为的行政处罚</w:t>
            </w:r>
          </w:p>
        </w:tc>
        <w:tc>
          <w:tcPr>
            <w:tcW w:w="3784"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《营业性演出管理条例》（2020年11月29日修订）第四十三条第一款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vMerge w:val="restart"/>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10</w:t>
            </w:r>
          </w:p>
        </w:tc>
        <w:tc>
          <w:tcPr>
            <w:tcW w:w="1282" w:type="dxa"/>
            <w:vMerge w:val="restart"/>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文化旅游</w:t>
            </w:r>
          </w:p>
        </w:tc>
        <w:tc>
          <w:tcPr>
            <w:tcW w:w="3412" w:type="dxa"/>
            <w:vMerge w:val="restart"/>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对在长城上取土、取砖（石）或者种植作物等行为的行政处罚</w:t>
            </w:r>
          </w:p>
        </w:tc>
        <w:tc>
          <w:tcPr>
            <w:tcW w:w="3784" w:type="dxa"/>
            <w:tcBorders>
              <w:top w:val="nil"/>
              <w:left w:val="nil"/>
              <w:bottom w:val="single" w:color="000000" w:sz="8" w:space="0"/>
              <w:right w:val="single" w:color="000000" w:sz="8" w:space="0"/>
            </w:tcBorders>
            <w:shd w:val="clear"/>
            <w:vAlign w:val="center"/>
          </w:tcPr>
          <w:p>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《长城保护条例》（2006年10月11日公布）第二十八条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vMerge w:val="continue"/>
            <w:tcBorders>
              <w:top w:val="nil"/>
              <w:left w:val="single" w:color="000000" w:sz="8" w:space="0"/>
              <w:bottom w:val="single" w:color="000000" w:sz="8" w:space="0"/>
              <w:right w:val="single" w:color="000000" w:sz="8" w:space="0"/>
            </w:tcBorders>
            <w:shd w:val="clear"/>
            <w:vAlign w:val="center"/>
          </w:tcPr>
          <w:p>
            <w:pPr>
              <w:jc w:val="center"/>
              <w:rPr>
                <w:rFonts w:hint="eastAsia" w:ascii="仿宋" w:hAnsi="仿宋" w:eastAsia="仿宋" w:cs="仿宋"/>
                <w:i w:val="0"/>
                <w:iCs w:val="0"/>
                <w:color w:val="000000"/>
                <w:sz w:val="22"/>
                <w:szCs w:val="22"/>
                <w:u w:val="none"/>
              </w:rPr>
            </w:pPr>
          </w:p>
        </w:tc>
        <w:tc>
          <w:tcPr>
            <w:tcW w:w="1282" w:type="dxa"/>
            <w:vMerge w:val="continue"/>
            <w:tcBorders>
              <w:top w:val="nil"/>
              <w:left w:val="nil"/>
              <w:bottom w:val="single" w:color="000000" w:sz="8" w:space="0"/>
              <w:right w:val="single" w:color="000000" w:sz="8" w:space="0"/>
            </w:tcBorders>
            <w:shd w:val="clear"/>
            <w:vAlign w:val="center"/>
          </w:tcPr>
          <w:p>
            <w:pPr>
              <w:jc w:val="center"/>
              <w:rPr>
                <w:rFonts w:hint="eastAsia" w:ascii="仿宋" w:hAnsi="仿宋" w:eastAsia="仿宋" w:cs="仿宋"/>
                <w:i w:val="0"/>
                <w:iCs w:val="0"/>
                <w:color w:val="000000"/>
                <w:sz w:val="22"/>
                <w:szCs w:val="22"/>
                <w:u w:val="none"/>
              </w:rPr>
            </w:pPr>
          </w:p>
        </w:tc>
        <w:tc>
          <w:tcPr>
            <w:tcW w:w="3412" w:type="dxa"/>
            <w:vMerge w:val="continue"/>
            <w:tcBorders>
              <w:top w:val="nil"/>
              <w:left w:val="nil"/>
              <w:bottom w:val="single" w:color="000000" w:sz="8" w:space="0"/>
              <w:right w:val="single" w:color="000000" w:sz="8" w:space="0"/>
            </w:tcBorders>
            <w:shd w:val="clear"/>
            <w:vAlign w:val="center"/>
          </w:tcPr>
          <w:p>
            <w:pPr>
              <w:jc w:val="left"/>
              <w:rPr>
                <w:rFonts w:hint="eastAsia" w:ascii="仿宋" w:hAnsi="仿宋" w:eastAsia="仿宋" w:cs="仿宋"/>
                <w:i w:val="0"/>
                <w:iCs w:val="0"/>
                <w:color w:val="000000"/>
                <w:sz w:val="22"/>
                <w:szCs w:val="22"/>
                <w:u w:val="none"/>
              </w:rPr>
            </w:pPr>
          </w:p>
        </w:tc>
        <w:tc>
          <w:tcPr>
            <w:tcW w:w="3784"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《河北省长城保护条例》（2021年3月31日公布）第六十条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tcBorders>
              <w:top w:val="single" w:color="000000" w:sz="8" w:space="0"/>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11</w:t>
            </w:r>
          </w:p>
        </w:tc>
        <w:tc>
          <w:tcPr>
            <w:tcW w:w="1282"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文化旅游</w:t>
            </w:r>
          </w:p>
        </w:tc>
        <w:tc>
          <w:tcPr>
            <w:tcW w:w="3412"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对擅自从事电影摄制、发行、放映活动的行政处罚</w:t>
            </w:r>
          </w:p>
        </w:tc>
        <w:tc>
          <w:tcPr>
            <w:tcW w:w="3784"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《中华人民共和国电影产业促进法》（2016年11月7日公布）第四十七条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vMerge w:val="restart"/>
            <w:tcBorders>
              <w:top w:val="single" w:color="000000" w:sz="8" w:space="0"/>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12</w:t>
            </w:r>
          </w:p>
        </w:tc>
        <w:tc>
          <w:tcPr>
            <w:tcW w:w="1282" w:type="dxa"/>
            <w:vMerge w:val="restart"/>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生态环境</w:t>
            </w:r>
          </w:p>
        </w:tc>
        <w:tc>
          <w:tcPr>
            <w:tcW w:w="3412" w:type="dxa"/>
            <w:vMerge w:val="restart"/>
            <w:tcBorders>
              <w:top w:val="single" w:color="000000" w:sz="8" w:space="0"/>
              <w:left w:val="nil"/>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对露天焚烧秸秆、落叶、枯草等产生烟尘污染的行政处罚</w:t>
            </w:r>
          </w:p>
        </w:tc>
        <w:tc>
          <w:tcPr>
            <w:tcW w:w="3784" w:type="dxa"/>
            <w:tcBorders>
              <w:top w:val="single" w:color="000000" w:sz="8" w:space="0"/>
              <w:left w:val="nil"/>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《中华人民共和国大气污染防治法》（2018年10月26日修正）第一百一十九条第一款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vMerge w:val="continue"/>
            <w:tcBorders>
              <w:top w:val="single" w:color="000000" w:sz="8" w:space="0"/>
              <w:left w:val="single" w:color="000000" w:sz="8" w:space="0"/>
              <w:bottom w:val="single" w:color="000000" w:sz="8" w:space="0"/>
              <w:right w:val="single" w:color="000000" w:sz="8" w:space="0"/>
            </w:tcBorders>
            <w:shd w:val="clear"/>
            <w:vAlign w:val="center"/>
          </w:tcPr>
          <w:p>
            <w:pPr>
              <w:jc w:val="center"/>
              <w:rPr>
                <w:rFonts w:hint="eastAsia" w:ascii="仿宋" w:hAnsi="仿宋" w:eastAsia="仿宋" w:cs="仿宋"/>
                <w:i w:val="0"/>
                <w:iCs w:val="0"/>
                <w:color w:val="000000"/>
                <w:sz w:val="22"/>
                <w:szCs w:val="22"/>
                <w:u w:val="none"/>
              </w:rPr>
            </w:pPr>
          </w:p>
        </w:tc>
        <w:tc>
          <w:tcPr>
            <w:tcW w:w="1282" w:type="dxa"/>
            <w:vMerge w:val="continue"/>
            <w:tcBorders>
              <w:top w:val="single" w:color="000000" w:sz="8" w:space="0"/>
              <w:left w:val="nil"/>
              <w:bottom w:val="single" w:color="000000" w:sz="8" w:space="0"/>
              <w:right w:val="single" w:color="000000" w:sz="8" w:space="0"/>
            </w:tcBorders>
            <w:shd w:val="clear"/>
            <w:vAlign w:val="center"/>
          </w:tcPr>
          <w:p>
            <w:pPr>
              <w:jc w:val="center"/>
              <w:rPr>
                <w:rFonts w:hint="eastAsia" w:ascii="仿宋" w:hAnsi="仿宋" w:eastAsia="仿宋" w:cs="仿宋"/>
                <w:i w:val="0"/>
                <w:iCs w:val="0"/>
                <w:color w:val="000000"/>
                <w:sz w:val="22"/>
                <w:szCs w:val="22"/>
                <w:u w:val="none"/>
              </w:rPr>
            </w:pPr>
          </w:p>
        </w:tc>
        <w:tc>
          <w:tcPr>
            <w:tcW w:w="3412" w:type="dxa"/>
            <w:vMerge w:val="continue"/>
            <w:tcBorders>
              <w:top w:val="single" w:color="000000" w:sz="8" w:space="0"/>
              <w:left w:val="nil"/>
              <w:bottom w:val="single" w:color="000000" w:sz="8" w:space="0"/>
              <w:right w:val="single" w:color="000000" w:sz="8" w:space="0"/>
            </w:tcBorders>
            <w:shd w:val="clear" w:color="auto" w:fill="FFFFFF"/>
            <w:vAlign w:val="center"/>
          </w:tcPr>
          <w:p>
            <w:pPr>
              <w:jc w:val="left"/>
              <w:rPr>
                <w:rFonts w:hint="eastAsia" w:ascii="仿宋" w:hAnsi="仿宋" w:eastAsia="仿宋" w:cs="仿宋"/>
                <w:i w:val="0"/>
                <w:iCs w:val="0"/>
                <w:color w:val="000000"/>
                <w:sz w:val="22"/>
                <w:szCs w:val="22"/>
                <w:u w:val="none"/>
              </w:rPr>
            </w:pPr>
          </w:p>
        </w:tc>
        <w:tc>
          <w:tcPr>
            <w:tcW w:w="3784" w:type="dxa"/>
            <w:tcBorders>
              <w:top w:val="single" w:color="000000" w:sz="8" w:space="0"/>
              <w:left w:val="nil"/>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 xml:space="preserve">《河北省大气污染防治条例》（2021年9月29日修正）第八十七条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32" w:hRule="atLeast"/>
        </w:trPr>
        <w:tc>
          <w:tcPr>
            <w:tcW w:w="599" w:type="dxa"/>
            <w:vMerge w:val="continue"/>
            <w:tcBorders>
              <w:top w:val="single" w:color="000000" w:sz="8" w:space="0"/>
              <w:left w:val="single" w:color="000000" w:sz="8" w:space="0"/>
              <w:bottom w:val="single" w:color="000000" w:sz="8" w:space="0"/>
              <w:right w:val="single" w:color="000000" w:sz="8" w:space="0"/>
            </w:tcBorders>
            <w:shd w:val="clear"/>
            <w:vAlign w:val="center"/>
          </w:tcPr>
          <w:p>
            <w:pPr>
              <w:jc w:val="center"/>
              <w:rPr>
                <w:rFonts w:hint="eastAsia" w:ascii="仿宋" w:hAnsi="仿宋" w:eastAsia="仿宋" w:cs="仿宋"/>
                <w:i w:val="0"/>
                <w:iCs w:val="0"/>
                <w:color w:val="000000"/>
                <w:sz w:val="22"/>
                <w:szCs w:val="22"/>
                <w:u w:val="none"/>
              </w:rPr>
            </w:pPr>
          </w:p>
        </w:tc>
        <w:tc>
          <w:tcPr>
            <w:tcW w:w="1282" w:type="dxa"/>
            <w:vMerge w:val="continue"/>
            <w:tcBorders>
              <w:top w:val="single" w:color="000000" w:sz="8" w:space="0"/>
              <w:left w:val="nil"/>
              <w:bottom w:val="single" w:color="000000" w:sz="8" w:space="0"/>
              <w:right w:val="single" w:color="000000" w:sz="8" w:space="0"/>
            </w:tcBorders>
            <w:shd w:val="clear"/>
            <w:vAlign w:val="center"/>
          </w:tcPr>
          <w:p>
            <w:pPr>
              <w:jc w:val="center"/>
              <w:rPr>
                <w:rFonts w:hint="eastAsia" w:ascii="仿宋" w:hAnsi="仿宋" w:eastAsia="仿宋" w:cs="仿宋"/>
                <w:i w:val="0"/>
                <w:iCs w:val="0"/>
                <w:color w:val="000000"/>
                <w:sz w:val="22"/>
                <w:szCs w:val="22"/>
                <w:u w:val="none"/>
              </w:rPr>
            </w:pPr>
          </w:p>
        </w:tc>
        <w:tc>
          <w:tcPr>
            <w:tcW w:w="3412" w:type="dxa"/>
            <w:vMerge w:val="continue"/>
            <w:tcBorders>
              <w:top w:val="single" w:color="000000" w:sz="8" w:space="0"/>
              <w:left w:val="nil"/>
              <w:bottom w:val="single" w:color="000000" w:sz="8" w:space="0"/>
              <w:right w:val="single" w:color="000000" w:sz="8" w:space="0"/>
            </w:tcBorders>
            <w:shd w:val="clear" w:color="auto" w:fill="FFFFFF"/>
            <w:vAlign w:val="center"/>
          </w:tcPr>
          <w:p>
            <w:pPr>
              <w:jc w:val="left"/>
              <w:rPr>
                <w:rFonts w:hint="eastAsia" w:ascii="仿宋" w:hAnsi="仿宋" w:eastAsia="仿宋" w:cs="仿宋"/>
                <w:i w:val="0"/>
                <w:iCs w:val="0"/>
                <w:color w:val="000000"/>
                <w:sz w:val="22"/>
                <w:szCs w:val="22"/>
                <w:u w:val="none"/>
              </w:rPr>
            </w:pPr>
          </w:p>
        </w:tc>
        <w:tc>
          <w:tcPr>
            <w:tcW w:w="3784" w:type="dxa"/>
            <w:tcBorders>
              <w:top w:val="single" w:color="000000" w:sz="8" w:space="0"/>
              <w:left w:val="nil"/>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《河北省人民代表大会常务委员会关于促进农作物秸秆综合利用和禁止露天焚烧的决定》（2018年7月27日修订）第二十四条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32" w:hRule="atLeast"/>
        </w:trPr>
        <w:tc>
          <w:tcPr>
            <w:tcW w:w="599" w:type="dxa"/>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13</w:t>
            </w:r>
          </w:p>
        </w:tc>
        <w:tc>
          <w:tcPr>
            <w:tcW w:w="1282" w:type="dxa"/>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生态环境</w:t>
            </w:r>
          </w:p>
        </w:tc>
        <w:tc>
          <w:tcPr>
            <w:tcW w:w="3412"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对农业经营主体因未妥善采取综合利用措施，对农产品采收后的秸秆及树叶、荒草予以处理，致使露天焚烧的行政处罚</w:t>
            </w:r>
          </w:p>
        </w:tc>
        <w:tc>
          <w:tcPr>
            <w:tcW w:w="3784"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《河北省人民代表大会常务委员会关于促进农作物秸秆综合利用和禁止露天焚烧的决定》（2018年7月27日修订）第二十五条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vMerge w:val="restart"/>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14</w:t>
            </w:r>
          </w:p>
        </w:tc>
        <w:tc>
          <w:tcPr>
            <w:tcW w:w="1282" w:type="dxa"/>
            <w:vMerge w:val="restart"/>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水利</w:t>
            </w:r>
          </w:p>
        </w:tc>
        <w:tc>
          <w:tcPr>
            <w:tcW w:w="3412" w:type="dxa"/>
            <w:vMerge w:val="restart"/>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对未经批准擅自取水、未依照批准的取水许可规定条件取水的行政处罚</w:t>
            </w:r>
          </w:p>
        </w:tc>
        <w:tc>
          <w:tcPr>
            <w:tcW w:w="3784"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《中华人民共和国水法》（2016年7月2日修正）第六十九条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7" w:hRule="atLeast"/>
        </w:trPr>
        <w:tc>
          <w:tcPr>
            <w:tcW w:w="599" w:type="dxa"/>
            <w:vMerge w:val="continue"/>
            <w:tcBorders>
              <w:top w:val="nil"/>
              <w:left w:val="single" w:color="000000" w:sz="8" w:space="0"/>
              <w:bottom w:val="single" w:color="000000" w:sz="8" w:space="0"/>
              <w:right w:val="single" w:color="000000" w:sz="8" w:space="0"/>
            </w:tcBorders>
            <w:shd w:val="clear"/>
            <w:vAlign w:val="center"/>
          </w:tcPr>
          <w:p>
            <w:pPr>
              <w:jc w:val="center"/>
              <w:rPr>
                <w:rFonts w:hint="eastAsia" w:ascii="仿宋" w:hAnsi="仿宋" w:eastAsia="仿宋" w:cs="仿宋"/>
                <w:i w:val="0"/>
                <w:iCs w:val="0"/>
                <w:color w:val="000000"/>
                <w:sz w:val="22"/>
                <w:szCs w:val="22"/>
                <w:u w:val="none"/>
              </w:rPr>
            </w:pPr>
          </w:p>
        </w:tc>
        <w:tc>
          <w:tcPr>
            <w:tcW w:w="1282" w:type="dxa"/>
            <w:vMerge w:val="continue"/>
            <w:tcBorders>
              <w:top w:val="nil"/>
              <w:left w:val="nil"/>
              <w:bottom w:val="single" w:color="000000" w:sz="8" w:space="0"/>
              <w:right w:val="single" w:color="000000" w:sz="8" w:space="0"/>
            </w:tcBorders>
            <w:shd w:val="clear"/>
            <w:vAlign w:val="center"/>
          </w:tcPr>
          <w:p>
            <w:pPr>
              <w:jc w:val="center"/>
              <w:rPr>
                <w:rFonts w:hint="eastAsia" w:ascii="仿宋" w:hAnsi="仿宋" w:eastAsia="仿宋" w:cs="仿宋"/>
                <w:i w:val="0"/>
                <w:iCs w:val="0"/>
                <w:color w:val="000000"/>
                <w:sz w:val="22"/>
                <w:szCs w:val="22"/>
                <w:u w:val="none"/>
              </w:rPr>
            </w:pPr>
          </w:p>
        </w:tc>
        <w:tc>
          <w:tcPr>
            <w:tcW w:w="3412" w:type="dxa"/>
            <w:vMerge w:val="continue"/>
            <w:tcBorders>
              <w:top w:val="nil"/>
              <w:left w:val="nil"/>
              <w:bottom w:val="single" w:color="000000" w:sz="8" w:space="0"/>
              <w:right w:val="single" w:color="000000" w:sz="8" w:space="0"/>
            </w:tcBorders>
            <w:shd w:val="clear"/>
            <w:vAlign w:val="center"/>
          </w:tcPr>
          <w:p>
            <w:pPr>
              <w:jc w:val="left"/>
              <w:rPr>
                <w:rFonts w:hint="eastAsia" w:ascii="仿宋" w:hAnsi="仿宋" w:eastAsia="仿宋" w:cs="仿宋"/>
                <w:i w:val="0"/>
                <w:iCs w:val="0"/>
                <w:color w:val="000000"/>
                <w:sz w:val="22"/>
                <w:szCs w:val="22"/>
                <w:u w:val="none"/>
              </w:rPr>
            </w:pPr>
          </w:p>
        </w:tc>
        <w:tc>
          <w:tcPr>
            <w:tcW w:w="3784"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《取水许可和水资源费征收管理条例》（2017年3月1日修订）第二十四条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15</w:t>
            </w:r>
          </w:p>
        </w:tc>
        <w:tc>
          <w:tcPr>
            <w:tcW w:w="1282" w:type="dxa"/>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水利</w:t>
            </w:r>
          </w:p>
        </w:tc>
        <w:tc>
          <w:tcPr>
            <w:tcW w:w="3412"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对凿井施工等单位承揽未取得取水申请批准文件的取水井工程或者为其建设取水配套设施的行政处罚</w:t>
            </w:r>
          </w:p>
        </w:tc>
        <w:tc>
          <w:tcPr>
            <w:tcW w:w="3784"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《河北省地下水管理条例》（ 2018年9月20日修订）第五十七条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18" w:hRule="atLeast"/>
        </w:trPr>
        <w:tc>
          <w:tcPr>
            <w:tcW w:w="599" w:type="dxa"/>
            <w:vMerge w:val="restart"/>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16</w:t>
            </w:r>
          </w:p>
        </w:tc>
        <w:tc>
          <w:tcPr>
            <w:tcW w:w="1282" w:type="dxa"/>
            <w:vMerge w:val="restart"/>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农业农村</w:t>
            </w:r>
          </w:p>
        </w:tc>
        <w:tc>
          <w:tcPr>
            <w:tcW w:w="3412" w:type="dxa"/>
            <w:vMerge w:val="restart"/>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对农村村民未经批准或者采取欺骗手段骗取批准非法占用土地建住宅的行政处罚</w:t>
            </w:r>
          </w:p>
        </w:tc>
        <w:tc>
          <w:tcPr>
            <w:tcW w:w="3784"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《中华人民共和国土地管理法》（2019年8月26日修正）第七十八条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 w:hRule="atLeast"/>
        </w:trPr>
        <w:tc>
          <w:tcPr>
            <w:tcW w:w="599" w:type="dxa"/>
            <w:vMerge w:val="continue"/>
            <w:tcBorders>
              <w:top w:val="nil"/>
              <w:left w:val="single" w:color="000000" w:sz="8" w:space="0"/>
              <w:bottom w:val="single" w:color="000000" w:sz="8" w:space="0"/>
              <w:right w:val="single" w:color="000000" w:sz="8" w:space="0"/>
            </w:tcBorders>
            <w:shd w:val="clear"/>
            <w:vAlign w:val="center"/>
          </w:tcPr>
          <w:p>
            <w:pPr>
              <w:jc w:val="center"/>
              <w:rPr>
                <w:rFonts w:hint="eastAsia" w:ascii="仿宋" w:hAnsi="仿宋" w:eastAsia="仿宋" w:cs="仿宋"/>
                <w:i w:val="0"/>
                <w:iCs w:val="0"/>
                <w:color w:val="000000"/>
                <w:sz w:val="22"/>
                <w:szCs w:val="22"/>
                <w:u w:val="none"/>
              </w:rPr>
            </w:pPr>
          </w:p>
        </w:tc>
        <w:tc>
          <w:tcPr>
            <w:tcW w:w="1282" w:type="dxa"/>
            <w:vMerge w:val="continue"/>
            <w:tcBorders>
              <w:top w:val="nil"/>
              <w:left w:val="nil"/>
              <w:bottom w:val="single" w:color="000000" w:sz="8" w:space="0"/>
              <w:right w:val="single" w:color="000000" w:sz="8" w:space="0"/>
            </w:tcBorders>
            <w:shd w:val="clear"/>
            <w:vAlign w:val="center"/>
          </w:tcPr>
          <w:p>
            <w:pPr>
              <w:jc w:val="center"/>
              <w:rPr>
                <w:rFonts w:hint="eastAsia" w:ascii="仿宋" w:hAnsi="仿宋" w:eastAsia="仿宋" w:cs="仿宋"/>
                <w:i w:val="0"/>
                <w:iCs w:val="0"/>
                <w:color w:val="000000"/>
                <w:sz w:val="22"/>
                <w:szCs w:val="22"/>
                <w:u w:val="none"/>
              </w:rPr>
            </w:pPr>
          </w:p>
        </w:tc>
        <w:tc>
          <w:tcPr>
            <w:tcW w:w="3412" w:type="dxa"/>
            <w:vMerge w:val="continue"/>
            <w:tcBorders>
              <w:top w:val="nil"/>
              <w:left w:val="nil"/>
              <w:bottom w:val="single" w:color="000000" w:sz="8" w:space="0"/>
              <w:right w:val="single" w:color="000000" w:sz="8" w:space="0"/>
            </w:tcBorders>
            <w:shd w:val="clear"/>
            <w:vAlign w:val="center"/>
          </w:tcPr>
          <w:p>
            <w:pPr>
              <w:jc w:val="left"/>
              <w:rPr>
                <w:rFonts w:hint="eastAsia" w:ascii="仿宋" w:hAnsi="仿宋" w:eastAsia="仿宋" w:cs="仿宋"/>
                <w:i w:val="0"/>
                <w:iCs w:val="0"/>
                <w:color w:val="000000"/>
                <w:sz w:val="22"/>
                <w:szCs w:val="22"/>
                <w:u w:val="none"/>
              </w:rPr>
            </w:pPr>
          </w:p>
        </w:tc>
        <w:tc>
          <w:tcPr>
            <w:tcW w:w="3784"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《河北省土地管理条例》（2022年3月30日修订）第六十八条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 w:hRule="atLeast"/>
        </w:trPr>
        <w:tc>
          <w:tcPr>
            <w:tcW w:w="599" w:type="dxa"/>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17</w:t>
            </w:r>
          </w:p>
        </w:tc>
        <w:tc>
          <w:tcPr>
            <w:tcW w:w="1282" w:type="dxa"/>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民族事务</w:t>
            </w:r>
          </w:p>
        </w:tc>
        <w:tc>
          <w:tcPr>
            <w:tcW w:w="3412"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对未按照要求生产、经营清真食品的行政处罚</w:t>
            </w:r>
          </w:p>
        </w:tc>
        <w:tc>
          <w:tcPr>
            <w:tcW w:w="3784"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《河北省清真食品管理条例》（1999年11月29日公布）第十七条第（一）（二）（三）（四）（六）（七）（八）项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 w:hRule="atLeast"/>
        </w:trPr>
        <w:tc>
          <w:tcPr>
            <w:tcW w:w="599" w:type="dxa"/>
            <w:tcBorders>
              <w:top w:val="nil"/>
              <w:left w:val="single" w:color="000000" w:sz="8" w:space="0"/>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18</w:t>
            </w:r>
          </w:p>
        </w:tc>
        <w:tc>
          <w:tcPr>
            <w:tcW w:w="1282" w:type="dxa"/>
            <w:tcBorders>
              <w:top w:val="nil"/>
              <w:left w:val="nil"/>
              <w:bottom w:val="single" w:color="000000" w:sz="8" w:space="0"/>
              <w:right w:val="single" w:color="000000" w:sz="8"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宗教事务</w:t>
            </w:r>
          </w:p>
        </w:tc>
        <w:tc>
          <w:tcPr>
            <w:tcW w:w="3412"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对假冒宗教教职人员进行宗教活动或者骗取钱财等违法活动的行政处罚</w:t>
            </w:r>
          </w:p>
        </w:tc>
        <w:tc>
          <w:tcPr>
            <w:tcW w:w="3784"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bdr w:val="none" w:color="auto" w:sz="0" w:space="0"/>
                <w:lang w:val="en-US" w:eastAsia="zh-CN" w:bidi="ar"/>
              </w:rPr>
              <w:t>《宗教事务条例》（2017年8月26日修订）第七十四条</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2NGI0MWQ1ZWJhNWIwZWZmOGZlZmI5YTU1MGVkYzIifQ=="/>
  </w:docVars>
  <w:rsids>
    <w:rsidRoot w:val="00000000"/>
    <w:rsid w:val="656A3D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2025-01-04T01:49:57Z</dcterms:created>
  <dc:creator>Administrator</dc:creator>
  <cp:lastModifiedBy>Administrator</cp:lastModifiedBy>
  <dcterms:modified xsi:type="dcterms:W3CDTF">2025-01-04T01:54:05Z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D6F7D8C038A746888E1F44B93FFF0409_12</vt:lpwstr>
  </property>
</Properties>
</file>