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8BADE2">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30AD9D0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425D3E5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eastAsia="zh-CN"/>
        </w:rPr>
      </w:pPr>
    </w:p>
    <w:p w14:paraId="38C23040">
      <w:pPr>
        <w:pStyle w:val="4"/>
        <w:widowControl w:val="0"/>
        <w:shd w:val="clear" w:color="auto" w:fill="FFFFFF"/>
        <w:spacing w:before="0" w:beforeAutospacing="0" w:after="0" w:afterAutospacing="0" w:line="560" w:lineRule="exact"/>
        <w:ind w:firstLine="732" w:firstLineChars="200"/>
        <w:jc w:val="center"/>
        <w:rPr>
          <w:rFonts w:hint="eastAsia" w:ascii="仿宋" w:hAnsi="仿宋" w:eastAsia="仿宋"/>
          <w:spacing w:val="23"/>
          <w:sz w:val="32"/>
          <w:szCs w:val="32"/>
          <w:lang w:val="en-US" w:eastAsia="zh-CN"/>
        </w:rPr>
      </w:pPr>
      <w:r>
        <w:rPr>
          <w:rFonts w:hint="eastAsia" w:ascii="仿宋" w:hAnsi="仿宋" w:eastAsia="仿宋"/>
          <w:spacing w:val="23"/>
          <w:sz w:val="32"/>
          <w:szCs w:val="32"/>
          <w:lang w:eastAsia="zh-CN"/>
        </w:rPr>
        <w:t>曲双随机办</w:t>
      </w:r>
      <w:r>
        <w:rPr>
          <w:rFonts w:hint="eastAsia" w:ascii="仿宋" w:hAnsi="仿宋" w:eastAsia="仿宋"/>
          <w:spacing w:val="23"/>
          <w:sz w:val="32"/>
          <w:szCs w:val="32"/>
          <w:lang w:val="en-US" w:eastAsia="zh-CN"/>
        </w:rPr>
        <w:t>〔2022〕6号</w:t>
      </w:r>
    </w:p>
    <w:p w14:paraId="6E69EB7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lang w:val="en-US" w:eastAsia="zh-CN"/>
        </w:rPr>
      </w:pPr>
    </w:p>
    <w:p w14:paraId="7CE409E5">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r>
        <w:rPr>
          <w:rStyle w:val="7"/>
          <w:rFonts w:hint="eastAsia" w:asciiTheme="majorEastAsia" w:hAnsiTheme="majorEastAsia" w:eastAsiaTheme="majorEastAsia"/>
          <w:spacing w:val="23"/>
          <w:sz w:val="44"/>
          <w:szCs w:val="44"/>
          <w:lang w:eastAsia="zh-CN"/>
        </w:rPr>
        <w:t>关于印发《</w:t>
      </w:r>
      <w:r>
        <w:rPr>
          <w:rStyle w:val="7"/>
          <w:rFonts w:hint="eastAsia" w:asciiTheme="majorEastAsia" w:hAnsiTheme="majorEastAsia" w:eastAsiaTheme="majorEastAsia"/>
          <w:spacing w:val="23"/>
          <w:sz w:val="44"/>
          <w:szCs w:val="44"/>
          <w:lang w:val="en-US" w:eastAsia="zh-CN"/>
        </w:rPr>
        <w:t>2022年曲阳县“双随机、一公开”联合抽查实施细则</w:t>
      </w:r>
      <w:r>
        <w:rPr>
          <w:rStyle w:val="7"/>
          <w:rFonts w:hint="eastAsia" w:asciiTheme="majorEastAsia" w:hAnsiTheme="majorEastAsia" w:eastAsiaTheme="majorEastAsia"/>
          <w:spacing w:val="23"/>
          <w:sz w:val="44"/>
          <w:szCs w:val="44"/>
          <w:lang w:eastAsia="zh-CN"/>
        </w:rPr>
        <w:t>》的通知</w:t>
      </w:r>
    </w:p>
    <w:p w14:paraId="0A2B4274">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1B523204">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县“双随机、一公开”监管工作领导小组各成员单位：</w:t>
      </w:r>
    </w:p>
    <w:p w14:paraId="4D78BD73">
      <w:pPr>
        <w:pStyle w:val="4"/>
        <w:widowControl w:val="0"/>
        <w:shd w:val="clear" w:color="auto" w:fill="FFFFFF"/>
        <w:spacing w:before="0" w:beforeAutospacing="0" w:after="0" w:afterAutospacing="0" w:line="540" w:lineRule="atLeast"/>
        <w:ind w:firstLine="732" w:firstLineChars="200"/>
        <w:jc w:val="both"/>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为有效推进我县“双随机、</w:t>
      </w:r>
      <w:bookmarkStart w:id="0" w:name="_GoBack"/>
      <w:bookmarkEnd w:id="0"/>
      <w:r>
        <w:rPr>
          <w:rStyle w:val="7"/>
          <w:rFonts w:hint="eastAsia" w:ascii="仿宋" w:hAnsi="仿宋" w:eastAsia="仿宋" w:cs="仿宋"/>
          <w:b w:val="0"/>
          <w:bCs w:val="0"/>
          <w:spacing w:val="23"/>
          <w:sz w:val="32"/>
          <w:szCs w:val="32"/>
          <w:lang w:eastAsia="zh-CN"/>
        </w:rPr>
        <w:t>一公开”联合抽查工作，县双随机办制定了《</w:t>
      </w:r>
      <w:r>
        <w:rPr>
          <w:rStyle w:val="7"/>
          <w:rFonts w:hint="eastAsia" w:ascii="仿宋" w:hAnsi="仿宋" w:eastAsia="仿宋" w:cs="仿宋"/>
          <w:b w:val="0"/>
          <w:bCs w:val="0"/>
          <w:spacing w:val="23"/>
          <w:sz w:val="32"/>
          <w:szCs w:val="32"/>
          <w:lang w:val="en-US" w:eastAsia="zh-CN"/>
        </w:rPr>
        <w:t>2022年曲阳县“双随机、一公开”联合抽查实施细则</w:t>
      </w:r>
      <w:r>
        <w:rPr>
          <w:rStyle w:val="7"/>
          <w:rFonts w:hint="eastAsia" w:ascii="仿宋" w:hAnsi="仿宋" w:eastAsia="仿宋" w:cs="仿宋"/>
          <w:b w:val="0"/>
          <w:bCs w:val="0"/>
          <w:spacing w:val="23"/>
          <w:sz w:val="32"/>
          <w:szCs w:val="32"/>
          <w:lang w:eastAsia="zh-CN"/>
        </w:rPr>
        <w:t>》，现印发给你们，请认真贯彻落实。</w:t>
      </w:r>
    </w:p>
    <w:p w14:paraId="3848D3A4">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3386297E">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4C57B42B">
      <w:pPr>
        <w:pStyle w:val="4"/>
        <w:widowControl w:val="0"/>
        <w:shd w:val="clear" w:color="auto" w:fill="FFFFFF"/>
        <w:spacing w:before="0" w:beforeAutospacing="0" w:after="0" w:afterAutospacing="0" w:line="540" w:lineRule="atLeast"/>
        <w:jc w:val="both"/>
        <w:rPr>
          <w:rStyle w:val="7"/>
          <w:rFonts w:hint="eastAsia" w:ascii="仿宋" w:hAnsi="仿宋" w:eastAsia="仿宋" w:cs="仿宋"/>
          <w:b w:val="0"/>
          <w:bCs w:val="0"/>
          <w:spacing w:val="23"/>
          <w:sz w:val="32"/>
          <w:szCs w:val="32"/>
          <w:lang w:eastAsia="zh-CN"/>
        </w:rPr>
      </w:pPr>
    </w:p>
    <w:p w14:paraId="7C509230">
      <w:pPr>
        <w:pStyle w:val="4"/>
        <w:widowControl w:val="0"/>
        <w:shd w:val="clear" w:color="auto" w:fill="FFFFFF"/>
        <w:spacing w:before="0" w:beforeAutospacing="0" w:after="0" w:afterAutospacing="0" w:line="540" w:lineRule="atLeast"/>
        <w:jc w:val="right"/>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eastAsia="zh-CN"/>
        </w:rPr>
        <w:t>曲阳县“双随机、一公开”</w:t>
      </w:r>
    </w:p>
    <w:p w14:paraId="204F79E7">
      <w:pPr>
        <w:pStyle w:val="4"/>
        <w:widowControl w:val="0"/>
        <w:shd w:val="clear" w:color="auto" w:fill="FFFFFF"/>
        <w:spacing w:before="0" w:beforeAutospacing="0" w:after="0" w:afterAutospacing="0" w:line="540" w:lineRule="atLeast"/>
        <w:jc w:val="center"/>
        <w:rPr>
          <w:rStyle w:val="7"/>
          <w:rFonts w:hint="eastAsia" w:ascii="仿宋" w:hAnsi="仿宋" w:eastAsia="仿宋" w:cs="仿宋"/>
          <w:b w:val="0"/>
          <w:bCs w:val="0"/>
          <w:spacing w:val="23"/>
          <w:sz w:val="32"/>
          <w:szCs w:val="32"/>
          <w:lang w:eastAsia="zh-CN"/>
        </w:rPr>
      </w:pPr>
      <w:r>
        <w:rPr>
          <w:rStyle w:val="7"/>
          <w:rFonts w:hint="eastAsia" w:ascii="仿宋" w:hAnsi="仿宋" w:eastAsia="仿宋" w:cs="仿宋"/>
          <w:b w:val="0"/>
          <w:bCs w:val="0"/>
          <w:spacing w:val="23"/>
          <w:sz w:val="32"/>
          <w:szCs w:val="32"/>
          <w:lang w:val="en-US" w:eastAsia="zh-CN"/>
        </w:rPr>
        <w:t xml:space="preserve">                        </w:t>
      </w:r>
      <w:r>
        <w:rPr>
          <w:rStyle w:val="7"/>
          <w:rFonts w:hint="eastAsia" w:ascii="仿宋" w:hAnsi="仿宋" w:eastAsia="仿宋" w:cs="仿宋"/>
          <w:b w:val="0"/>
          <w:bCs w:val="0"/>
          <w:spacing w:val="23"/>
          <w:sz w:val="32"/>
          <w:szCs w:val="32"/>
          <w:lang w:eastAsia="zh-CN"/>
        </w:rPr>
        <w:t>监管工作领导小组办公室</w:t>
      </w:r>
    </w:p>
    <w:p w14:paraId="10D2F6A2">
      <w:pPr>
        <w:pStyle w:val="4"/>
        <w:widowControl w:val="0"/>
        <w:shd w:val="clear" w:color="auto" w:fill="FFFFFF"/>
        <w:spacing w:before="0" w:beforeAutospacing="0" w:after="0" w:afterAutospacing="0" w:line="540" w:lineRule="atLeast"/>
        <w:jc w:val="center"/>
        <w:rPr>
          <w:rStyle w:val="7"/>
          <w:rFonts w:hint="eastAsia" w:ascii="仿宋" w:hAnsi="仿宋" w:eastAsia="仿宋" w:cs="仿宋"/>
          <w:b w:val="0"/>
          <w:bCs w:val="0"/>
          <w:spacing w:val="23"/>
          <w:sz w:val="32"/>
          <w:szCs w:val="32"/>
          <w:lang w:val="en-US" w:eastAsia="zh-CN"/>
        </w:rPr>
      </w:pPr>
      <w:r>
        <w:rPr>
          <w:rStyle w:val="7"/>
          <w:rFonts w:hint="eastAsia" w:ascii="仿宋" w:hAnsi="仿宋" w:eastAsia="仿宋" w:cs="仿宋"/>
          <w:b w:val="0"/>
          <w:bCs w:val="0"/>
          <w:spacing w:val="23"/>
          <w:sz w:val="32"/>
          <w:szCs w:val="32"/>
          <w:lang w:val="en-US" w:eastAsia="zh-CN"/>
        </w:rPr>
        <w:t xml:space="preserve">                       2022年3月10日</w:t>
      </w:r>
    </w:p>
    <w:p w14:paraId="34AFB8A9">
      <w:pPr>
        <w:pStyle w:val="4"/>
        <w:widowControl w:val="0"/>
        <w:shd w:val="clear" w:color="auto" w:fill="FFFFFF"/>
        <w:spacing w:before="0" w:beforeAutospacing="0" w:after="0" w:afterAutospacing="0" w:line="540" w:lineRule="atLeast"/>
        <w:jc w:val="right"/>
        <w:rPr>
          <w:rStyle w:val="7"/>
          <w:rFonts w:hint="eastAsia" w:asciiTheme="majorEastAsia" w:hAnsiTheme="majorEastAsia" w:eastAsiaTheme="majorEastAsia"/>
          <w:spacing w:val="23"/>
          <w:sz w:val="44"/>
          <w:szCs w:val="44"/>
          <w:lang w:eastAsia="zh-CN"/>
        </w:rPr>
      </w:pPr>
    </w:p>
    <w:p w14:paraId="205F39A1">
      <w:pPr>
        <w:pStyle w:val="4"/>
        <w:widowControl w:val="0"/>
        <w:shd w:val="clear" w:color="auto" w:fill="FFFFFF"/>
        <w:spacing w:before="0" w:beforeAutospacing="0" w:after="0" w:afterAutospacing="0" w:line="540" w:lineRule="atLeast"/>
        <w:jc w:val="both"/>
        <w:rPr>
          <w:rStyle w:val="7"/>
          <w:rFonts w:hint="eastAsia" w:asciiTheme="majorEastAsia" w:hAnsiTheme="majorEastAsia" w:eastAsiaTheme="majorEastAsia"/>
          <w:spacing w:val="23"/>
          <w:sz w:val="44"/>
          <w:szCs w:val="44"/>
          <w:lang w:eastAsia="zh-CN"/>
        </w:rPr>
      </w:pPr>
    </w:p>
    <w:p w14:paraId="4097BEDD">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p>
    <w:p w14:paraId="04001B1F">
      <w:pPr>
        <w:pStyle w:val="4"/>
        <w:widowControl w:val="0"/>
        <w:shd w:val="clear" w:color="auto" w:fill="FFFFFF"/>
        <w:spacing w:before="0" w:beforeAutospacing="0" w:after="0" w:afterAutospacing="0" w:line="540" w:lineRule="atLeast"/>
        <w:jc w:val="center"/>
        <w:rPr>
          <w:rStyle w:val="7"/>
          <w:rFonts w:hint="eastAsia" w:asciiTheme="majorEastAsia" w:hAnsiTheme="majorEastAsia" w:eastAsiaTheme="majorEastAsia"/>
          <w:spacing w:val="23"/>
          <w:sz w:val="44"/>
          <w:szCs w:val="44"/>
          <w:lang w:eastAsia="zh-CN"/>
        </w:rPr>
      </w:pPr>
    </w:p>
    <w:p w14:paraId="09F9DA37">
      <w:pPr>
        <w:pStyle w:val="4"/>
        <w:widowControl w:val="0"/>
        <w:shd w:val="clear" w:color="auto" w:fill="FFFFFF"/>
        <w:spacing w:before="0" w:beforeAutospacing="0" w:after="0" w:afterAutospacing="0" w:line="540" w:lineRule="atLeast"/>
        <w:jc w:val="both"/>
        <w:rPr>
          <w:rStyle w:val="7"/>
          <w:rFonts w:hint="eastAsia" w:asciiTheme="majorEastAsia" w:hAnsiTheme="majorEastAsia" w:eastAsiaTheme="majorEastAsia"/>
          <w:spacing w:val="23"/>
          <w:sz w:val="44"/>
          <w:szCs w:val="44"/>
          <w:lang w:eastAsia="zh-CN"/>
        </w:rPr>
      </w:pPr>
    </w:p>
    <w:p w14:paraId="3ACFFF04">
      <w:pPr>
        <w:pStyle w:val="4"/>
        <w:widowControl w:val="0"/>
        <w:shd w:val="clear" w:color="auto" w:fill="FFFFFF"/>
        <w:spacing w:before="0" w:beforeAutospacing="0" w:after="0" w:afterAutospacing="0" w:line="540" w:lineRule="atLeast"/>
        <w:jc w:val="center"/>
        <w:rPr>
          <w:rFonts w:hint="eastAsia" w:asciiTheme="majorEastAsia" w:hAnsiTheme="majorEastAsia" w:eastAsiaTheme="majorEastAsia"/>
          <w:spacing w:val="23"/>
          <w:sz w:val="44"/>
          <w:szCs w:val="44"/>
        </w:rPr>
      </w:pPr>
      <w:r>
        <w:rPr>
          <w:rStyle w:val="7"/>
          <w:rFonts w:hint="eastAsia" w:asciiTheme="majorEastAsia" w:hAnsiTheme="majorEastAsia" w:eastAsiaTheme="majorEastAsia"/>
          <w:spacing w:val="23"/>
          <w:sz w:val="44"/>
          <w:szCs w:val="44"/>
          <w:lang w:eastAsia="zh-CN"/>
        </w:rPr>
        <w:t>曲阳</w:t>
      </w:r>
      <w:r>
        <w:rPr>
          <w:rStyle w:val="7"/>
          <w:rFonts w:hint="eastAsia" w:asciiTheme="majorEastAsia" w:hAnsiTheme="majorEastAsia" w:eastAsiaTheme="majorEastAsia"/>
          <w:spacing w:val="23"/>
          <w:sz w:val="44"/>
          <w:szCs w:val="44"/>
        </w:rPr>
        <w:t>县“双随机、一公开”</w:t>
      </w:r>
    </w:p>
    <w:p w14:paraId="7B99307C">
      <w:pPr>
        <w:pStyle w:val="4"/>
        <w:widowControl w:val="0"/>
        <w:shd w:val="clear" w:color="auto" w:fill="FFFFFF"/>
        <w:spacing w:before="0" w:beforeAutospacing="0" w:after="0" w:afterAutospacing="0" w:line="540" w:lineRule="atLeast"/>
        <w:jc w:val="center"/>
        <w:rPr>
          <w:rFonts w:hint="eastAsia" w:asciiTheme="majorEastAsia" w:hAnsiTheme="majorEastAsia" w:eastAsiaTheme="majorEastAsia"/>
          <w:spacing w:val="23"/>
          <w:sz w:val="44"/>
          <w:szCs w:val="44"/>
        </w:rPr>
      </w:pPr>
      <w:r>
        <w:rPr>
          <w:rStyle w:val="7"/>
          <w:rFonts w:hint="eastAsia" w:asciiTheme="majorEastAsia" w:hAnsiTheme="majorEastAsia" w:eastAsiaTheme="majorEastAsia"/>
          <w:spacing w:val="23"/>
          <w:sz w:val="44"/>
          <w:szCs w:val="44"/>
        </w:rPr>
        <w:t>联合抽查实施细则</w:t>
      </w:r>
    </w:p>
    <w:p w14:paraId="75B38400">
      <w:pPr>
        <w:pStyle w:val="4"/>
        <w:widowControl w:val="0"/>
        <w:shd w:val="clear" w:color="auto" w:fill="FFFFFF"/>
        <w:spacing w:before="0" w:beforeAutospacing="0" w:after="0" w:afterAutospacing="0" w:line="560" w:lineRule="exact"/>
        <w:ind w:firstLine="735" w:firstLineChars="200"/>
        <w:jc w:val="center"/>
        <w:rPr>
          <w:rFonts w:hint="eastAsia" w:ascii="仿宋" w:hAnsi="仿宋" w:eastAsia="仿宋"/>
          <w:spacing w:val="23"/>
          <w:sz w:val="32"/>
          <w:szCs w:val="32"/>
        </w:rPr>
      </w:pPr>
      <w:r>
        <w:rPr>
          <w:rStyle w:val="7"/>
          <w:rFonts w:hint="eastAsia" w:eastAsia="仿宋"/>
          <w:spacing w:val="23"/>
          <w:sz w:val="32"/>
          <w:szCs w:val="32"/>
        </w:rPr>
        <w:t> </w:t>
      </w:r>
    </w:p>
    <w:p w14:paraId="1BD4F1BC">
      <w:pPr>
        <w:pStyle w:val="4"/>
        <w:widowControl w:val="0"/>
        <w:shd w:val="clear" w:color="auto" w:fill="FFFFFF"/>
        <w:spacing w:before="0" w:beforeAutospacing="0" w:after="0" w:afterAutospacing="0" w:line="560" w:lineRule="exact"/>
        <w:ind w:firstLine="732" w:firstLineChars="200"/>
        <w:jc w:val="center"/>
        <w:rPr>
          <w:rFonts w:hint="eastAsia" w:ascii="黑体" w:hAnsi="黑体" w:eastAsia="黑体"/>
          <w:b/>
          <w:spacing w:val="23"/>
          <w:sz w:val="32"/>
          <w:szCs w:val="32"/>
        </w:rPr>
      </w:pPr>
      <w:r>
        <w:rPr>
          <w:rStyle w:val="7"/>
          <w:rFonts w:hint="eastAsia" w:ascii="黑体" w:hAnsi="黑体" w:eastAsia="黑体"/>
          <w:b w:val="0"/>
          <w:spacing w:val="23"/>
          <w:sz w:val="32"/>
          <w:szCs w:val="32"/>
        </w:rPr>
        <w:t>第一章</w:t>
      </w:r>
      <w:r>
        <w:rPr>
          <w:rStyle w:val="7"/>
          <w:rFonts w:ascii="Times New Roman" w:hAnsi="Times New Roman" w:eastAsia="黑体" w:cs="Times New Roman"/>
          <w:b w:val="0"/>
          <w:spacing w:val="23"/>
          <w:sz w:val="32"/>
          <w:szCs w:val="32"/>
        </w:rPr>
        <w:t>   </w:t>
      </w:r>
      <w:r>
        <w:rPr>
          <w:rStyle w:val="7"/>
          <w:rFonts w:hint="eastAsia" w:ascii="黑体" w:hAnsi="黑体" w:eastAsia="黑体"/>
          <w:b w:val="0"/>
          <w:spacing w:val="23"/>
          <w:sz w:val="32"/>
          <w:szCs w:val="32"/>
        </w:rPr>
        <w:t>总 则</w:t>
      </w:r>
      <w:r>
        <w:rPr>
          <w:rStyle w:val="7"/>
          <w:rFonts w:hint="eastAsia" w:eastAsia="黑体"/>
          <w:b w:val="0"/>
          <w:spacing w:val="23"/>
          <w:sz w:val="32"/>
          <w:szCs w:val="32"/>
        </w:rPr>
        <w:t> </w:t>
      </w:r>
    </w:p>
    <w:p w14:paraId="6DDC5A6E">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为保障公平竞争，促进市场主体诚信自律，规范市场主体信息公示，强化市场主体信用约束，进一步创新事中事后监管方式，在各行政监管部门全面推行“双随机、一公开”联合抽查模式，结合我县实际，制定本《实施细则》。</w:t>
      </w:r>
    </w:p>
    <w:p w14:paraId="3631529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全县采取政府主导、部门负责、企业参与的“双随机、一公开”联合抽查模式，是指在依法实施监督检查时，采取多部门联合检查，随机抽取被检查对象，随机选派执法检查人员，并将抽查结果在法定时限内向社会公开。</w:t>
      </w:r>
    </w:p>
    <w:p w14:paraId="48347A4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第三条</w:t>
      </w:r>
      <w:r>
        <w:rPr>
          <w:rFonts w:hint="eastAsia" w:ascii="仿宋" w:hAnsi="微软雅黑" w:eastAsia="仿宋"/>
          <w:spacing w:val="23"/>
          <w:sz w:val="32"/>
          <w:szCs w:val="32"/>
        </w:rPr>
        <w:t> </w:t>
      </w:r>
      <w:r>
        <w:rPr>
          <w:rFonts w:hint="eastAsia" w:ascii="仿宋" w:hAnsi="仿宋" w:eastAsia="仿宋"/>
          <w:spacing w:val="23"/>
          <w:sz w:val="32"/>
          <w:szCs w:val="32"/>
        </w:rPr>
        <w:t>县“双随机、一公开”监管工作领导小组办公室负责“双随机、一公开”联合抽查工作的组织领导，建立健全市场主体随机抽查联合检查制度，制定具体措施，落实“双随机、一公开”联合抽查工作。</w:t>
      </w:r>
    </w:p>
    <w:p w14:paraId="41CDECE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按照公平规范的原则，随机抽取检查对象和检查人员，组织跨部门联合检查。</w:t>
      </w:r>
    </w:p>
    <w:p w14:paraId="0BB9AC3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第四条</w:t>
      </w:r>
      <w:r>
        <w:rPr>
          <w:rFonts w:hint="eastAsia" w:ascii="仿宋" w:hAnsi="微软雅黑" w:eastAsia="仿宋"/>
          <w:spacing w:val="23"/>
          <w:sz w:val="32"/>
          <w:szCs w:val="32"/>
        </w:rPr>
        <w:t> </w:t>
      </w:r>
      <w:r>
        <w:rPr>
          <w:rFonts w:hint="eastAsia" w:ascii="仿宋" w:hAnsi="仿宋" w:eastAsia="仿宋"/>
          <w:spacing w:val="23"/>
          <w:sz w:val="32"/>
          <w:szCs w:val="32"/>
        </w:rPr>
        <w:t xml:space="preserve"> 推行“双随机、一公开”联合抽查机制，是政府推行事中事后监管的手段之一，“双随机、一公开”联合抽查不替代专业性检查，更不能替代职能部门监管。</w:t>
      </w:r>
    </w:p>
    <w:p w14:paraId="4804B1FF">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双随机、一公开”联合抽查的实施原则是：统筹安排、综合实施，谁检查、谁录入、谁负责，公开、公正、透明，依法保护国家秘密、商业秘密和个人隐私。</w:t>
      </w:r>
    </w:p>
    <w:p w14:paraId="19A7AD5C">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统筹安排、综合实施，是指由县双随机办下发抽查计划，行政监管部门落实本部门的抽查事项，按照抽查计划，统一组织，联合实施检查。</w:t>
      </w:r>
    </w:p>
    <w:p w14:paraId="3156B89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谁检查、谁录入、谁负责，是指参与</w:t>
      </w:r>
      <w:r>
        <w:rPr>
          <w:rFonts w:hint="eastAsia" w:ascii="仿宋" w:hAnsi="仿宋" w:eastAsia="仿宋"/>
          <w:spacing w:val="23"/>
          <w:sz w:val="32"/>
          <w:szCs w:val="32"/>
          <w:lang w:eastAsia="zh-CN"/>
        </w:rPr>
        <w:t>“双随机、一公开”</w:t>
      </w:r>
      <w:r>
        <w:rPr>
          <w:rFonts w:hint="eastAsia" w:ascii="仿宋" w:hAnsi="仿宋" w:eastAsia="仿宋"/>
          <w:spacing w:val="23"/>
          <w:sz w:val="32"/>
          <w:szCs w:val="32"/>
        </w:rPr>
        <w:t>联合抽查的执法检查人员负责对抽查结果录入到“河北省双随机监管工作平台”。</w:t>
      </w:r>
    </w:p>
    <w:p w14:paraId="43E10D90">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公开、公正、透明，是指检查清单、检查计划、抽取结果、实施过程、检查结果公示等检查工作全过程应当依法、公开。</w:t>
      </w:r>
    </w:p>
    <w:p w14:paraId="1E1BCA87">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第八条</w:t>
      </w:r>
      <w:r>
        <w:rPr>
          <w:rFonts w:hint="eastAsia" w:ascii="仿宋" w:hAnsi="微软雅黑" w:eastAsia="仿宋"/>
          <w:spacing w:val="23"/>
          <w:sz w:val="32"/>
          <w:szCs w:val="32"/>
        </w:rPr>
        <w:t> </w:t>
      </w:r>
      <w:r>
        <w:rPr>
          <w:rFonts w:hint="eastAsia" w:ascii="仿宋" w:hAnsi="仿宋" w:eastAsia="仿宋"/>
          <w:spacing w:val="23"/>
          <w:sz w:val="32"/>
          <w:szCs w:val="32"/>
        </w:rPr>
        <w:t xml:space="preserve"> 县“双随机、一公开”监管工作领导小组办公室负责领导</w:t>
      </w:r>
      <w:r>
        <w:rPr>
          <w:rFonts w:hint="eastAsia" w:ascii="仿宋" w:hAnsi="仿宋" w:eastAsia="仿宋"/>
          <w:spacing w:val="23"/>
          <w:sz w:val="32"/>
          <w:szCs w:val="32"/>
          <w:lang w:eastAsia="zh-CN"/>
        </w:rPr>
        <w:t>“双随机、一公开”</w:t>
      </w:r>
      <w:r>
        <w:rPr>
          <w:rFonts w:hint="eastAsia" w:ascii="仿宋" w:hAnsi="仿宋" w:eastAsia="仿宋"/>
          <w:spacing w:val="23"/>
          <w:sz w:val="32"/>
          <w:szCs w:val="32"/>
        </w:rPr>
        <w:t>联合抽查工作，市场监管部门负责组织协调具体工作。</w:t>
      </w:r>
    </w:p>
    <w:p w14:paraId="3F83211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各行政监管部门具体实施“双随机、一公开”联合抽查工作。</w:t>
      </w:r>
    </w:p>
    <w:p w14:paraId="4D9853F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随机抽取的执法人员，无法独立完成专业抽查事项的，由执法检查人员所在部门选派专业人员协助指导完成工作。</w:t>
      </w:r>
    </w:p>
    <w:p w14:paraId="278C0C03">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第二章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建立“一单两库” </w:t>
      </w:r>
    </w:p>
    <w:p w14:paraId="2189550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第十条 各行政监管部门的“双随机、一公开”联合抽查工作实行全程电子化管理，通过“河北省双随机监管工作平台”操作和实现。</w:t>
      </w:r>
    </w:p>
    <w:p w14:paraId="6F260B5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根据各自的监管清单，负责梳理本部门依法应当实施的监督检查职责，制定出适用于“双随机、一公开”联合抽查的随机抽查事项清单，明确检查项目、检查子项、检查内容、检查依据、检查方式、检查结果（填写正常或不正常）等，录入“河北省双随机监管工作平台”,并向社会公示。</w:t>
      </w:r>
    </w:p>
    <w:p w14:paraId="2B651833">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随机抽查事项清单，应当依据法律法规规章的立改废释、层级监督权限的调整等实际情况进行动态调整。</w:t>
      </w:r>
    </w:p>
    <w:p w14:paraId="2C710A1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各行政监管部门应当根据实际情况，建立本部门的执法检查人员名录库，录入“河北省双随机监管工作平台”。执法检查人员名录库随人员单位变动、岗位调整等因素实行动态管理。</w:t>
      </w:r>
    </w:p>
    <w:p w14:paraId="5EE88BD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执法检查人员名录库，应当明确执法人员的身份信息：单位、姓名、职务、执法证（警官证）号、执法岗位、联系电话等。</w:t>
      </w:r>
    </w:p>
    <w:p w14:paraId="32C9C58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依托河北省经济户籍管理系统数据库，建立本辖区的检查对象名录库。</w:t>
      </w:r>
    </w:p>
    <w:p w14:paraId="1ECC3B50">
      <w:pPr>
        <w:pStyle w:val="4"/>
        <w:widowControl w:val="0"/>
        <w:shd w:val="clear" w:color="auto" w:fill="FFFFFF"/>
        <w:spacing w:before="0" w:beforeAutospacing="0" w:after="0" w:afterAutospacing="0" w:line="560" w:lineRule="exact"/>
        <w:ind w:firstLine="732" w:firstLineChars="200"/>
        <w:jc w:val="center"/>
        <w:rPr>
          <w:rFonts w:hint="eastAsia" w:ascii="仿宋" w:hAnsi="仿宋" w:eastAsia="仿宋"/>
          <w:spacing w:val="23"/>
          <w:sz w:val="32"/>
          <w:szCs w:val="32"/>
        </w:rPr>
      </w:pPr>
      <w:r>
        <w:rPr>
          <w:rStyle w:val="7"/>
          <w:rFonts w:hint="eastAsia" w:ascii="黑体" w:hAnsi="黑体" w:eastAsia="黑体"/>
          <w:b w:val="0"/>
          <w:spacing w:val="23"/>
          <w:sz w:val="32"/>
          <w:szCs w:val="32"/>
        </w:rPr>
        <w:t>第三章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联合抽查的实施 </w:t>
      </w:r>
    </w:p>
    <w:p w14:paraId="37A3955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第十四条</w:t>
      </w:r>
      <w:r>
        <w:rPr>
          <w:rFonts w:hint="eastAsia" w:ascii="仿宋" w:hAnsi="微软雅黑" w:eastAsia="仿宋"/>
          <w:spacing w:val="23"/>
          <w:sz w:val="32"/>
          <w:szCs w:val="32"/>
        </w:rPr>
        <w:t> </w:t>
      </w:r>
      <w:r>
        <w:rPr>
          <w:rFonts w:hint="eastAsia" w:ascii="仿宋" w:hAnsi="仿宋" w:eastAsia="仿宋"/>
          <w:spacing w:val="23"/>
          <w:sz w:val="32"/>
          <w:szCs w:val="32"/>
        </w:rPr>
        <w:t xml:space="preserve"> 年度抽查计划，应当明确被检查对象的范围、抽查的比例和频次、实施检查的时间等。制定年度抽查计划，要保证必要的被检查对象覆盖面和监管力度，防止过度检查。</w:t>
      </w:r>
    </w:p>
    <w:p w14:paraId="669B1BC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年度抽查计划，通过“河北省双随机监管工作平台”，采取系统随机抽取的方式，从检查对象名录库中确定被检查对象，从执法检查人员名录库中确定执法检查人员。被检查对象和检查人员确定后，由“河北省双随机监管工作平台”随机进行匹配，自动生成联合抽查表实施检查。</w:t>
      </w:r>
    </w:p>
    <w:p w14:paraId="4C0C1AF7">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通过“河北省双随机监管工作平台”抽取的执法检查人员一般不允许更换和交换。执法检查人员与被检查对象有利害关系，应依法回避或其他特殊原因需要更换执法人员的，经所在单位主管负责人批准方可调整，并报县“双随机、一公开”监管工作领导小组办公室备案。</w:t>
      </w:r>
    </w:p>
    <w:p w14:paraId="6BEED2D4">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实施“双随机、一公开”联合抽查，每年应按照不低于</w:t>
      </w:r>
      <w:r>
        <w:rPr>
          <w:rFonts w:hint="eastAsia" w:ascii="仿宋" w:hAnsi="仿宋" w:eastAsia="仿宋"/>
          <w:spacing w:val="23"/>
          <w:sz w:val="32"/>
          <w:szCs w:val="32"/>
          <w:lang w:val="en-US" w:eastAsia="zh-CN"/>
        </w:rPr>
        <w:t>3</w:t>
      </w:r>
      <w:r>
        <w:rPr>
          <w:rFonts w:hint="eastAsia" w:ascii="仿宋" w:hAnsi="仿宋" w:eastAsia="仿宋"/>
          <w:spacing w:val="23"/>
          <w:sz w:val="32"/>
          <w:szCs w:val="32"/>
        </w:rPr>
        <w:t>%的比例，从检查对象名录库中随机抽取检查对象。被检查对象随机抽取后，由“河北省双随机监管工作平台”派发到各单位，由各单位专业管理人员在1个工作日内完成比对和确认。原则上，在同一年度内对同一企业的抽查次数不超过2次。</w:t>
      </w:r>
    </w:p>
    <w:p w14:paraId="25D485C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第十八条</w:t>
      </w:r>
      <w:r>
        <w:rPr>
          <w:rFonts w:hint="eastAsia" w:ascii="仿宋" w:hAnsi="微软雅黑" w:eastAsia="仿宋"/>
          <w:spacing w:val="23"/>
          <w:sz w:val="32"/>
          <w:szCs w:val="32"/>
        </w:rPr>
        <w:t> </w:t>
      </w:r>
      <w:r>
        <w:rPr>
          <w:rFonts w:hint="eastAsia" w:ascii="仿宋" w:hAnsi="仿宋" w:eastAsia="仿宋"/>
          <w:spacing w:val="23"/>
          <w:sz w:val="32"/>
          <w:szCs w:val="32"/>
        </w:rPr>
        <w:t xml:space="preserve"> 参与“双随机、一公开”联合抽查的执法检查人员应当在检查完成后，向被检查对象反馈检查结果，并由被检查对象签字确认，被检查对象拒绝签字的应当在检查表上如实记录。</w:t>
      </w:r>
    </w:p>
    <w:p w14:paraId="2796785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第十九条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实施现场检查一般采取信息比对、实地核查等方法进行，按照检查内容、程序和方法等统一标准和规范，由每次抽查的主动发起部门统一组织，一次性完成联合检查工作。</w:t>
      </w:r>
    </w:p>
    <w:p w14:paraId="7FF92AB1">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第四章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抽查结果的处理</w:t>
      </w:r>
    </w:p>
    <w:p w14:paraId="31BD077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第二十条</w:t>
      </w:r>
      <w:r>
        <w:rPr>
          <w:rFonts w:hint="eastAsia" w:ascii="仿宋" w:hAnsi="微软雅黑" w:eastAsia="仿宋"/>
          <w:spacing w:val="23"/>
          <w:sz w:val="32"/>
          <w:szCs w:val="32"/>
        </w:rPr>
        <w:t> </w:t>
      </w:r>
      <w:r>
        <w:rPr>
          <w:rFonts w:hint="eastAsia" w:ascii="仿宋" w:hAnsi="仿宋" w:eastAsia="仿宋"/>
          <w:spacing w:val="23"/>
          <w:sz w:val="32"/>
          <w:szCs w:val="32"/>
        </w:rPr>
        <w:t xml:space="preserve"> 执法检查人员应当自完成“双随机、一公开”联合抽查工作后5个工作日内将抽查结果录入“河北省双随机监管工作平台”，抽查结果由系统完成数据交换自动归集到市场主体名下，通过“河北省市场主体信用信息公示系统”向社会公示。</w:t>
      </w:r>
    </w:p>
    <w:p w14:paraId="0D7BF2F0">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公民、法人和其他组织可以通过“河北省市场主体信用信息公示系统”查询抽查结果。</w:t>
      </w:r>
    </w:p>
    <w:p w14:paraId="54BF16B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各行政监管部门对检查中发现的违法行为，按照“谁主管、谁负责”原则，落实下一步深入调查与处理，依法做出是否予以行政处罚、移送其他行政机关、移送司法机关等决定，并负责将处理结果进行公示。</w:t>
      </w:r>
    </w:p>
    <w:p w14:paraId="164578E8">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第五章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信用信息使用 </w:t>
      </w:r>
    </w:p>
    <w:p w14:paraId="7B7135E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相关部门在经营、投融资、取得政府供应土地、进出口、出入境、注册新公司、招投标、政府采购、取得荣誉、安全许可、生产经营许可、从业任职资格、资质审核、监督检查等工作中，应当将“双随机、一公开”联合抽查结果用于对市场主体的信用评价考量因素。</w:t>
      </w:r>
    </w:p>
    <w:p w14:paraId="38BCD351">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第二十四条</w:t>
      </w:r>
      <w:r>
        <w:rPr>
          <w:rFonts w:hint="eastAsia" w:ascii="仿宋" w:hAnsi="微软雅黑" w:eastAsia="仿宋"/>
          <w:spacing w:val="23"/>
          <w:sz w:val="32"/>
          <w:szCs w:val="32"/>
        </w:rPr>
        <w:t> </w:t>
      </w:r>
      <w:r>
        <w:rPr>
          <w:rFonts w:hint="eastAsia" w:ascii="仿宋" w:hAnsi="仿宋" w:eastAsia="仿宋"/>
          <w:spacing w:val="23"/>
          <w:sz w:val="32"/>
          <w:szCs w:val="32"/>
        </w:rPr>
        <w:t>建立跨部门信用激励和联合惩戒机制，按照守信市场主体一路绿灯、失信市场主体处处受限的原则，实施从市场主体准入到退出的全过程信用约束。对被列入经营异常名录、严重违法失信市场主体名单等的失信市场主体依法采取限制或者禁入的惩戒措施。</w:t>
      </w:r>
    </w:p>
    <w:p w14:paraId="3C20207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第二十五条</w:t>
      </w:r>
      <w:r>
        <w:rPr>
          <w:rFonts w:hint="eastAsia" w:ascii="仿宋" w:hAnsi="微软雅黑" w:eastAsia="仿宋"/>
          <w:spacing w:val="23"/>
          <w:sz w:val="32"/>
          <w:szCs w:val="32"/>
        </w:rPr>
        <w:t> </w:t>
      </w:r>
      <w:r>
        <w:rPr>
          <w:rFonts w:hint="eastAsia" w:ascii="仿宋" w:hAnsi="仿宋" w:eastAsia="仿宋"/>
          <w:spacing w:val="23"/>
          <w:sz w:val="32"/>
          <w:szCs w:val="32"/>
        </w:rPr>
        <w:t xml:space="preserve"> 参与“双随机、一公开”联合抽查的行政机关及其工作人员应当依法依规使用市场主体和执法人员信息，通过”河北省双随机监管工作平台”获取的市场主体和执法人员信息，不得用于本办法规定以外的其他用途。</w:t>
      </w:r>
    </w:p>
    <w:p w14:paraId="212B138B">
      <w:pPr>
        <w:pStyle w:val="4"/>
        <w:widowControl w:val="0"/>
        <w:shd w:val="clear" w:color="auto" w:fill="FFFFFF"/>
        <w:spacing w:before="0" w:beforeAutospacing="0" w:after="0" w:afterAutospacing="0" w:line="560" w:lineRule="exact"/>
        <w:ind w:firstLine="732" w:firstLineChars="200"/>
        <w:jc w:val="both"/>
        <w:rPr>
          <w:rStyle w:val="7"/>
          <w:rFonts w:hint="eastAsia" w:ascii="黑体" w:hAnsi="黑体" w:eastAsia="黑体"/>
        </w:rPr>
      </w:pPr>
      <w:r>
        <w:rPr>
          <w:rFonts w:hint="eastAsia" w:ascii="仿宋" w:hAnsi="微软雅黑" w:eastAsia="仿宋"/>
          <w:spacing w:val="23"/>
          <w:sz w:val="32"/>
          <w:szCs w:val="32"/>
        </w:rPr>
        <w:t> </w:t>
      </w:r>
      <w:r>
        <w:rPr>
          <w:rStyle w:val="7"/>
          <w:rFonts w:hint="eastAsia" w:ascii="黑体" w:hAnsi="黑体" w:eastAsia="黑体"/>
          <w:b w:val="0"/>
          <w:spacing w:val="23"/>
          <w:sz w:val="32"/>
          <w:szCs w:val="32"/>
        </w:rPr>
        <w:t>第六章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抽查结果的适用 </w:t>
      </w:r>
    </w:p>
    <w:p w14:paraId="0692D92B">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第二十六条</w:t>
      </w:r>
      <w:r>
        <w:rPr>
          <w:rFonts w:hint="eastAsia" w:ascii="仿宋" w:hAnsi="微软雅黑" w:eastAsia="仿宋"/>
          <w:spacing w:val="23"/>
          <w:sz w:val="32"/>
          <w:szCs w:val="32"/>
        </w:rPr>
        <w:t> </w:t>
      </w:r>
      <w:r>
        <w:rPr>
          <w:rFonts w:hint="eastAsia" w:ascii="仿宋" w:hAnsi="仿宋" w:eastAsia="仿宋"/>
          <w:spacing w:val="23"/>
          <w:sz w:val="32"/>
          <w:szCs w:val="32"/>
        </w:rPr>
        <w:t xml:space="preserve"> 对法律法规明确的检查事项原则上都要实行随机抽查，对采取普查等检查方式的事项也要贯彻随机抽查的理念。</w:t>
      </w:r>
    </w:p>
    <w:p w14:paraId="1BCCA943">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第二十七条</w:t>
      </w:r>
      <w:r>
        <w:rPr>
          <w:rFonts w:hint="eastAsia" w:ascii="仿宋" w:hAnsi="微软雅黑" w:eastAsia="仿宋"/>
          <w:spacing w:val="23"/>
          <w:sz w:val="32"/>
          <w:szCs w:val="32"/>
        </w:rPr>
        <w:t> </w:t>
      </w:r>
      <w:r>
        <w:rPr>
          <w:rFonts w:hint="eastAsia" w:ascii="仿宋" w:hAnsi="仿宋" w:eastAsia="仿宋"/>
          <w:spacing w:val="23"/>
          <w:sz w:val="32"/>
          <w:szCs w:val="32"/>
        </w:rPr>
        <w:t xml:space="preserve"> 法律法规对监管方式有明确规定、国务院及国家各部委、省政府对监督检查事项有专门要求的以及被投诉举报的，应依法组织监督检查，可不适用“双随机、一公开”抽查方式。</w:t>
      </w:r>
    </w:p>
    <w:p w14:paraId="120AA9A6">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第二十八条</w:t>
      </w:r>
      <w:r>
        <w:rPr>
          <w:rFonts w:hint="eastAsia" w:ascii="仿宋" w:hAnsi="微软雅黑" w:eastAsia="仿宋"/>
          <w:spacing w:val="23"/>
          <w:sz w:val="32"/>
          <w:szCs w:val="32"/>
        </w:rPr>
        <w:t xml:space="preserve">  </w:t>
      </w:r>
      <w:r>
        <w:rPr>
          <w:rFonts w:hint="eastAsia" w:ascii="仿宋" w:hAnsi="仿宋" w:eastAsia="仿宋"/>
          <w:spacing w:val="23"/>
          <w:sz w:val="32"/>
          <w:szCs w:val="32"/>
        </w:rPr>
        <w:t>对信用较好、风险较低的市场主体，可降低抽查比例和频次。对投诉举报多、列入经营异常名录或者有严重违法违规记录等情况的市场主体，各行政机关应当运用综合手段，增加检查频次，加大执法检查力度。</w:t>
      </w:r>
    </w:p>
    <w:p w14:paraId="64A9835B">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第七章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法律责任 </w:t>
      </w:r>
    </w:p>
    <w:p w14:paraId="0221FDC2">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第二十九条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各行政监管部门开展“双随机、一公开”联合抽查工作，应当严格遵守法律法规规章制度，遵守工作纪律，依法行政，廉洁执法。</w:t>
      </w:r>
    </w:p>
    <w:p w14:paraId="09D8E459">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各行政监管部门应当对其公示的市场主体信用信息的完整性、准确性和真实性负责。</w:t>
      </w:r>
    </w:p>
    <w:p w14:paraId="4AF51CF5">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市场主体报送、公示的信用信息应当及时、准确、真实、合法，并承担因报送、公示错误和遗漏引起的法律责任。</w:t>
      </w:r>
    </w:p>
    <w:p w14:paraId="2A3DBAAD">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第三十一条</w:t>
      </w:r>
      <w:r>
        <w:rPr>
          <w:rFonts w:hint="eastAsia" w:ascii="仿宋" w:hAnsi="微软雅黑" w:eastAsia="仿宋"/>
          <w:spacing w:val="23"/>
          <w:sz w:val="32"/>
          <w:szCs w:val="32"/>
        </w:rPr>
        <w:t> </w:t>
      </w:r>
      <w:r>
        <w:rPr>
          <w:rFonts w:hint="eastAsia" w:ascii="仿宋" w:hAnsi="仿宋" w:eastAsia="仿宋"/>
          <w:spacing w:val="23"/>
          <w:sz w:val="32"/>
          <w:szCs w:val="32"/>
        </w:rPr>
        <w:t xml:space="preserve"> 各行政监管部门不依照本《实施细则》开展“双随机、一公开”联合抽查工作，造成严重后果的，依法依纪追究责任。</w:t>
      </w:r>
    </w:p>
    <w:p w14:paraId="0C18FC3D">
      <w:pPr>
        <w:pStyle w:val="4"/>
        <w:widowControl w:val="0"/>
        <w:shd w:val="clear" w:color="auto" w:fill="FFFFFF"/>
        <w:spacing w:before="0" w:beforeAutospacing="0" w:after="0" w:afterAutospacing="0" w:line="560" w:lineRule="exact"/>
        <w:ind w:firstLine="732" w:firstLineChars="200"/>
        <w:jc w:val="center"/>
        <w:rPr>
          <w:rStyle w:val="7"/>
          <w:rFonts w:hint="eastAsia" w:ascii="黑体" w:hAnsi="黑体" w:eastAsia="黑体"/>
        </w:rPr>
      </w:pPr>
      <w:r>
        <w:rPr>
          <w:rStyle w:val="7"/>
          <w:rFonts w:hint="eastAsia" w:ascii="黑体" w:hAnsi="黑体" w:eastAsia="黑体"/>
          <w:b w:val="0"/>
          <w:spacing w:val="23"/>
          <w:sz w:val="32"/>
          <w:szCs w:val="32"/>
        </w:rPr>
        <w:t>第八章</w:t>
      </w:r>
      <w:r>
        <w:rPr>
          <w:rStyle w:val="7"/>
          <w:rFonts w:ascii="黑体" w:hAnsi="黑体" w:eastAsia="黑体"/>
          <w:b w:val="0"/>
          <w:spacing w:val="23"/>
          <w:sz w:val="32"/>
          <w:szCs w:val="32"/>
        </w:rPr>
        <w:t>   </w:t>
      </w:r>
      <w:r>
        <w:rPr>
          <w:rStyle w:val="7"/>
          <w:rFonts w:hint="eastAsia" w:ascii="黑体" w:hAnsi="黑体" w:eastAsia="黑体"/>
          <w:b w:val="0"/>
          <w:spacing w:val="23"/>
          <w:sz w:val="32"/>
          <w:szCs w:val="32"/>
        </w:rPr>
        <w:t>附则</w:t>
      </w:r>
    </w:p>
    <w:p w14:paraId="55274C0A">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第三十二条</w:t>
      </w:r>
      <w:r>
        <w:rPr>
          <w:rFonts w:hint="eastAsia" w:ascii="仿宋" w:hAnsi="微软雅黑" w:eastAsia="仿宋"/>
          <w:spacing w:val="23"/>
          <w:sz w:val="32"/>
          <w:szCs w:val="32"/>
        </w:rPr>
        <w:t> </w:t>
      </w:r>
      <w:r>
        <w:rPr>
          <w:rFonts w:hint="eastAsia" w:ascii="仿宋" w:hAnsi="仿宋" w:eastAsia="仿宋"/>
          <w:spacing w:val="23"/>
          <w:sz w:val="32"/>
          <w:szCs w:val="32"/>
        </w:rPr>
        <w:t xml:space="preserve"> 开展“双随机、一公开”联合抽查工作列入对各行政监管部门重点工作考评指标体系。</w:t>
      </w:r>
    </w:p>
    <w:p w14:paraId="0F7C2958">
      <w:pPr>
        <w:pStyle w:val="4"/>
        <w:widowControl w:val="0"/>
        <w:shd w:val="clear" w:color="auto" w:fill="FFFFFF"/>
        <w:spacing w:before="0" w:beforeAutospacing="0" w:after="0" w:afterAutospacing="0" w:line="560" w:lineRule="exact"/>
        <w:ind w:firstLine="732" w:firstLineChars="200"/>
        <w:jc w:val="both"/>
        <w:rPr>
          <w:rFonts w:hint="eastAsia" w:ascii="仿宋" w:hAnsi="仿宋" w:eastAsia="仿宋"/>
          <w:spacing w:val="23"/>
          <w:sz w:val="32"/>
          <w:szCs w:val="32"/>
        </w:rPr>
      </w:pPr>
      <w:r>
        <w:rPr>
          <w:rFonts w:hint="eastAsia" w:ascii="仿宋" w:hAnsi="仿宋" w:eastAsia="仿宋"/>
          <w:spacing w:val="23"/>
          <w:sz w:val="32"/>
          <w:szCs w:val="32"/>
        </w:rPr>
        <w:t>第三十三条</w:t>
      </w:r>
      <w:r>
        <w:rPr>
          <w:rFonts w:hint="eastAsia" w:ascii="仿宋" w:hAnsi="微软雅黑" w:eastAsia="仿宋"/>
          <w:spacing w:val="23"/>
          <w:sz w:val="32"/>
          <w:szCs w:val="32"/>
        </w:rPr>
        <w:t> </w:t>
      </w:r>
      <w:r>
        <w:rPr>
          <w:rFonts w:hint="eastAsia" w:ascii="仿宋" w:hAnsi="仿宋" w:eastAsia="仿宋"/>
          <w:spacing w:val="23"/>
          <w:sz w:val="32"/>
          <w:szCs w:val="32"/>
        </w:rPr>
        <w:t xml:space="preserve"> 本</w:t>
      </w:r>
      <w:r>
        <w:rPr>
          <w:rFonts w:hint="eastAsia" w:ascii="仿宋" w:hAnsi="仿宋" w:eastAsia="仿宋"/>
          <w:spacing w:val="23"/>
          <w:sz w:val="32"/>
          <w:szCs w:val="32"/>
          <w:lang w:val="en-US" w:eastAsia="zh-CN"/>
        </w:rPr>
        <w:t>细则</w:t>
      </w:r>
      <w:r>
        <w:rPr>
          <w:rFonts w:hint="eastAsia" w:ascii="仿宋" w:hAnsi="仿宋" w:eastAsia="仿宋"/>
          <w:spacing w:val="23"/>
          <w:sz w:val="32"/>
          <w:szCs w:val="32"/>
        </w:rPr>
        <w:t>自印发之日起施行。</w:t>
      </w:r>
    </w:p>
    <w:p w14:paraId="6116D39F">
      <w:pPr>
        <w:widowControl w:val="0"/>
        <w:spacing w:line="220" w:lineRule="atLeast"/>
        <w:rPr>
          <w:rFonts w:hint="eastAsia" w:ascii="仿宋" w:hAnsi="仿宋" w:eastAsia="仿宋"/>
          <w:sz w:val="32"/>
          <w:szCs w:val="32"/>
        </w:rPr>
      </w:pPr>
      <w:r>
        <w:rPr>
          <w:rFonts w:hint="eastAsia" w:ascii="仿宋" w:hAnsi="仿宋" w:eastAsia="仿宋"/>
          <w:sz w:val="32"/>
          <w:szCs w:val="32"/>
        </w:rPr>
        <w:t xml:space="preserve">  </w:t>
      </w:r>
    </w:p>
    <w:p w14:paraId="3B2F180E">
      <w:pPr>
        <w:widowControl w:val="0"/>
        <w:spacing w:line="220" w:lineRule="atLeast"/>
        <w:jc w:val="right"/>
        <w:rPr>
          <w:rFonts w:hint="eastAsia" w:ascii="仿宋" w:hAnsi="仿宋" w:eastAsia="仿宋"/>
          <w:sz w:val="32"/>
          <w:szCs w:val="32"/>
        </w:rPr>
      </w:pPr>
    </w:p>
    <w:p w14:paraId="57A86ACD">
      <w:pPr>
        <w:widowControl w:val="0"/>
        <w:spacing w:line="220" w:lineRule="atLeast"/>
        <w:jc w:val="right"/>
        <w:rPr>
          <w:rFonts w:ascii="仿宋" w:hAnsi="仿宋" w:eastAsia="仿宋"/>
          <w:sz w:val="32"/>
          <w:szCs w:val="32"/>
        </w:rPr>
      </w:pPr>
    </w:p>
    <w:sectPr>
      <w:pgSz w:w="11906" w:h="16838"/>
      <w:pgMar w:top="2041" w:right="1531" w:bottom="2041" w:left="153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yN2NkYzVjNTRlYTEwNjFiNzJkOWNjOTdlYjIxNDIifQ=="/>
  </w:docVars>
  <w:rsids>
    <w:rsidRoot w:val="00D31D50"/>
    <w:rsid w:val="00323B43"/>
    <w:rsid w:val="003D37D8"/>
    <w:rsid w:val="00426133"/>
    <w:rsid w:val="004358AB"/>
    <w:rsid w:val="008B7726"/>
    <w:rsid w:val="00AB0BE2"/>
    <w:rsid w:val="00C53814"/>
    <w:rsid w:val="00D31D50"/>
    <w:rsid w:val="00F47B0B"/>
    <w:rsid w:val="1F895FB3"/>
    <w:rsid w:val="2EBE17D0"/>
    <w:rsid w:val="38EB1D73"/>
    <w:rsid w:val="40A40773"/>
    <w:rsid w:val="471854E8"/>
    <w:rsid w:val="68237C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jc w:val="center"/>
    </w:pPr>
    <w:rPr>
      <w:sz w:val="18"/>
      <w:szCs w:val="18"/>
    </w:rPr>
  </w:style>
  <w:style w:type="paragraph" w:styleId="4">
    <w:name w:val="Normal (Web)"/>
    <w:basedOn w:val="1"/>
    <w:unhideWhenUsed/>
    <w:qFormat/>
    <w:uiPriority w:val="99"/>
    <w:pPr>
      <w:adjustRightInd/>
      <w:snapToGrid/>
      <w:spacing w:before="100" w:beforeAutospacing="1" w:after="100" w:afterAutospacing="1"/>
    </w:pPr>
    <w:rPr>
      <w:rFonts w:ascii="宋体" w:hAnsi="宋体" w:eastAsia="宋体" w:cs="宋体"/>
      <w:sz w:val="24"/>
      <w:szCs w:val="24"/>
    </w:rPr>
  </w:style>
  <w:style w:type="character" w:styleId="7">
    <w:name w:val="Strong"/>
    <w:basedOn w:val="6"/>
    <w:qFormat/>
    <w:uiPriority w:val="22"/>
    <w:rPr>
      <w:b/>
      <w:bCs/>
    </w:rPr>
  </w:style>
  <w:style w:type="character" w:customStyle="1" w:styleId="8">
    <w:name w:val="页眉 Char"/>
    <w:basedOn w:val="6"/>
    <w:link w:val="3"/>
    <w:semiHidden/>
    <w:qFormat/>
    <w:uiPriority w:val="99"/>
    <w:rPr>
      <w:rFonts w:ascii="Tahoma" w:hAnsi="Tahoma"/>
      <w:sz w:val="18"/>
      <w:szCs w:val="18"/>
    </w:rPr>
  </w:style>
  <w:style w:type="character" w:customStyle="1" w:styleId="9">
    <w:name w:val="页脚 Char"/>
    <w:basedOn w:val="6"/>
    <w:link w:val="2"/>
    <w:semiHidden/>
    <w:qFormat/>
    <w:uiPriority w:val="99"/>
    <w:rPr>
      <w:rFonts w:ascii="Tahoma" w:hAnsi="Tahoma"/>
      <w:sz w:val="18"/>
      <w:szCs w:val="18"/>
    </w:rPr>
  </w:style>
  <w:style w:type="character" w:customStyle="1" w:styleId="10">
    <w:name w:val="NormalCharacter"/>
    <w:link w:val="1"/>
    <w:semiHidden/>
    <w:qFormat/>
    <w:uiPriority w:val="0"/>
    <w:rPr>
      <w:rFonts w:ascii="Tahoma" w:hAnsi="Tahoma" w:eastAsia="微软雅黑" w:cstheme="minorBidi"/>
      <w:sz w:val="22"/>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3178</Words>
  <Characters>3192</Characters>
  <Lines>72</Lines>
  <Paragraphs>36</Paragraphs>
  <TotalTime>3</TotalTime>
  <ScaleCrop>false</ScaleCrop>
  <LinksUpToDate>false</LinksUpToDate>
  <CharactersWithSpaces>3337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qijianke</dc:creator>
  <cp:lastModifiedBy>Administrator</cp:lastModifiedBy>
  <dcterms:modified xsi:type="dcterms:W3CDTF">2025-08-25T03:09:40Z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51E5FF3E709A4C0D972BF39861B85A6C</vt:lpwstr>
  </property>
  <property fmtid="{D5CDD505-2E9C-101B-9397-08002B2CF9AE}" pid="4" name="KSOTemplateDocerSaveRecord">
    <vt:lpwstr>eyJoZGlkIjoiNGYwM2U5YzM5YmE1YzFkNTJjYWU0ZTZiMDFlYzJkMjgifQ==</vt:lpwstr>
  </property>
</Properties>
</file>