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EE91EC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N/>
        <w:bidi w:val="0"/>
        <w:adjustRightInd/>
        <w:snapToGrid w:val="0"/>
        <w:ind w:right="0"/>
        <w:jc w:val="center"/>
        <w:textAlignment w:val="auto"/>
        <w:outlineLvl w:val="9"/>
        <w:rPr>
          <w:rFonts w:hint="eastAsia" w:ascii="宋体" w:eastAsia="宋体" w:cs="宋体"/>
          <w:b/>
          <w:bCs/>
          <w:sz w:val="44"/>
          <w:szCs w:val="44"/>
          <w:shd w:val="clear" w:color="auto" w:fill="FFFFFF"/>
          <w:lang w:val="en-US" w:eastAsia="zh-CN" w:bidi="ar-SA"/>
        </w:rPr>
      </w:pPr>
      <w:r>
        <w:rPr>
          <w:rFonts w:hint="eastAsia" w:ascii="宋体" w:eastAsia="宋体" w:cs="宋体"/>
          <w:b/>
          <w:bCs/>
          <w:sz w:val="44"/>
          <w:szCs w:val="44"/>
          <w:shd w:val="clear" w:color="auto" w:fill="FFFFFF"/>
          <w:lang w:eastAsia="zh-CN" w:bidi="ar-SA"/>
        </w:rPr>
        <w:t>曲阳县审计</w:t>
      </w:r>
      <w:r>
        <w:rPr>
          <w:rFonts w:hint="eastAsia" w:ascii="宋体" w:eastAsia="宋体" w:cs="宋体"/>
          <w:b/>
          <w:bCs/>
          <w:sz w:val="44"/>
          <w:szCs w:val="44"/>
          <w:shd w:val="clear" w:color="auto" w:fill="FFFFFF"/>
          <w:lang w:val="en-US" w:eastAsia="zh-CN" w:bidi="ar-SA"/>
        </w:rPr>
        <w:t>局</w:t>
      </w:r>
    </w:p>
    <w:p w14:paraId="5D60C02C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N/>
        <w:bidi w:val="0"/>
        <w:adjustRightInd/>
        <w:snapToGrid w:val="0"/>
        <w:ind w:right="0"/>
        <w:jc w:val="center"/>
        <w:textAlignment w:val="auto"/>
        <w:outlineLvl w:val="9"/>
        <w:rPr>
          <w:rFonts w:hint="eastAsia" w:ascii="宋体" w:eastAsia="宋体" w:cs="宋体"/>
          <w:b/>
          <w:bCs/>
          <w:sz w:val="44"/>
          <w:szCs w:val="44"/>
          <w:shd w:val="clear" w:color="auto" w:fill="FFFFFF"/>
          <w:lang w:bidi="ar-SA"/>
        </w:rPr>
      </w:pPr>
      <w:r>
        <w:rPr>
          <w:rFonts w:hint="eastAsia" w:ascii="宋体" w:eastAsia="宋体" w:cs="宋体"/>
          <w:b/>
          <w:bCs/>
          <w:sz w:val="44"/>
          <w:szCs w:val="44"/>
          <w:shd w:val="clear" w:color="auto" w:fill="FFFFFF"/>
          <w:lang w:bidi="ar-SA"/>
        </w:rPr>
        <w:t>20</w:t>
      </w:r>
      <w:r>
        <w:rPr>
          <w:rFonts w:hint="eastAsia" w:ascii="宋体" w:eastAsia="宋体" w:cs="宋体"/>
          <w:b/>
          <w:bCs/>
          <w:sz w:val="44"/>
          <w:szCs w:val="44"/>
          <w:shd w:val="clear" w:color="auto" w:fill="FFFFFF"/>
          <w:lang w:val="en-US" w:eastAsia="zh-CN" w:bidi="ar-SA"/>
        </w:rPr>
        <w:t>2</w:t>
      </w:r>
      <w:r>
        <w:rPr>
          <w:rFonts w:ascii="宋体" w:eastAsia="宋体" w:cs="宋体"/>
          <w:b/>
          <w:bCs/>
          <w:sz w:val="44"/>
          <w:szCs w:val="44"/>
          <w:shd w:val="clear" w:color="auto" w:fill="FFFFFF"/>
          <w:lang w:val="en-US" w:eastAsia="zh-CN" w:bidi="ar-SA"/>
        </w:rPr>
        <w:t>4</w:t>
      </w:r>
      <w:r>
        <w:rPr>
          <w:rFonts w:hint="eastAsia" w:ascii="宋体" w:eastAsia="宋体" w:cs="宋体"/>
          <w:b/>
          <w:bCs/>
          <w:sz w:val="44"/>
          <w:szCs w:val="44"/>
          <w:shd w:val="clear" w:color="auto" w:fill="FFFFFF"/>
          <w:lang w:bidi="ar-SA"/>
        </w:rPr>
        <w:t>年政府信息公开工作年度报告</w:t>
      </w:r>
    </w:p>
    <w:p w14:paraId="38AB0CD4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left="0" w:right="0"/>
        <w:jc w:val="both"/>
        <w:textAlignment w:val="auto"/>
        <w:outlineLvl w:val="9"/>
        <w:rPr>
          <w:rFonts w:hint="eastAsia" w:ascii="方正小标宋_GBK" w:eastAsia="方正小标宋_GBK"/>
          <w:b/>
          <w:bCs/>
          <w:sz w:val="44"/>
          <w:szCs w:val="44"/>
          <w:shd w:val="clear" w:color="auto" w:fill="FFFFFF"/>
        </w:rPr>
      </w:pPr>
    </w:p>
    <w:p w14:paraId="1552AAA3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right="0" w:firstLine="640" w:firstLineChars="200"/>
        <w:jc w:val="both"/>
        <w:textAlignment w:val="auto"/>
        <w:outlineLvl w:val="9"/>
        <w:rPr>
          <w:rFonts w:hint="eastAsia" w:ascii="仿宋" w:eastAsia="仿宋" w:cs="仿宋"/>
          <w:color w:val="000000"/>
          <w:kern w:val="0"/>
          <w:sz w:val="32"/>
          <w:szCs w:val="32"/>
          <w:lang w:bidi="ar-SA"/>
        </w:rPr>
      </w:pPr>
      <w:r>
        <w:rPr>
          <w:rFonts w:hint="eastAsia" w:ascii="仿宋" w:eastAsia="仿宋" w:cs="仿宋"/>
          <w:color w:val="000000"/>
          <w:kern w:val="0"/>
          <w:sz w:val="32"/>
          <w:szCs w:val="32"/>
          <w:lang w:bidi="ar-SA"/>
        </w:rPr>
        <w:t>根据《中华人民共和国政府信息公开条例》《河北省实施〈中华人民共和国政府信息公开条例〉办法》等规定，发布本年度报告。报告中所列数据统计期限为202</w:t>
      </w:r>
      <w:r>
        <w:rPr>
          <w:rFonts w:ascii="仿宋" w:eastAsia="仿宋" w:cs="仿宋"/>
          <w:color w:val="000000"/>
          <w:kern w:val="0"/>
          <w:sz w:val="32"/>
          <w:szCs w:val="32"/>
          <w:lang w:val="en-US" w:eastAsia="zh-CN" w:bidi="ar-SA"/>
        </w:rPr>
        <w:t>4</w:t>
      </w:r>
      <w:r>
        <w:rPr>
          <w:rFonts w:hint="eastAsia" w:ascii="仿宋" w:eastAsia="仿宋" w:cs="仿宋"/>
          <w:color w:val="000000"/>
          <w:kern w:val="0"/>
          <w:sz w:val="32"/>
          <w:szCs w:val="32"/>
          <w:lang w:bidi="ar-SA"/>
        </w:rPr>
        <w:t>年1月1日至</w:t>
      </w:r>
      <w:r>
        <w:rPr>
          <w:rFonts w:hint="eastAsia" w:ascii="仿宋" w:eastAsia="仿宋" w:cs="仿宋"/>
          <w:color w:val="000000"/>
          <w:kern w:val="0"/>
          <w:sz w:val="32"/>
          <w:szCs w:val="32"/>
          <w:lang w:val="en-US" w:eastAsia="zh-CN" w:bidi="ar-SA"/>
        </w:rPr>
        <w:t>202</w:t>
      </w:r>
      <w:r>
        <w:rPr>
          <w:rFonts w:ascii="仿宋" w:eastAsia="仿宋" w:cs="仿宋"/>
          <w:color w:val="000000"/>
          <w:kern w:val="0"/>
          <w:sz w:val="32"/>
          <w:szCs w:val="32"/>
          <w:lang w:val="en-US" w:eastAsia="zh-CN" w:bidi="ar-SA"/>
        </w:rPr>
        <w:t>4</w:t>
      </w:r>
      <w:r>
        <w:rPr>
          <w:rFonts w:hint="eastAsia" w:ascii="仿宋" w:eastAsia="仿宋" w:cs="仿宋"/>
          <w:color w:val="000000"/>
          <w:kern w:val="0"/>
          <w:sz w:val="32"/>
          <w:szCs w:val="32"/>
          <w:lang w:val="en-US" w:eastAsia="zh-CN" w:bidi="ar-SA"/>
        </w:rPr>
        <w:t>年</w:t>
      </w:r>
      <w:r>
        <w:rPr>
          <w:rFonts w:hint="eastAsia" w:ascii="仿宋" w:eastAsia="仿宋" w:cs="仿宋"/>
          <w:color w:val="000000"/>
          <w:kern w:val="0"/>
          <w:sz w:val="32"/>
          <w:szCs w:val="32"/>
          <w:lang w:bidi="ar-SA"/>
        </w:rPr>
        <w:t>12月31日。</w:t>
      </w:r>
    </w:p>
    <w:p w14:paraId="361B8063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right="0" w:firstLine="640" w:firstLineChars="200"/>
        <w:jc w:val="both"/>
        <w:textAlignment w:val="auto"/>
        <w:outlineLvl w:val="9"/>
        <w:rPr>
          <w:rFonts w:hint="eastAsia" w:ascii="宋体" w:eastAsia="宋体" w:cs="宋体"/>
          <w:color w:val="000000"/>
          <w:kern w:val="0"/>
          <w:sz w:val="32"/>
          <w:szCs w:val="32"/>
          <w:lang w:bidi="ar-SA"/>
        </w:rPr>
      </w:pPr>
      <w:r>
        <w:rPr>
          <w:rFonts w:hint="eastAsia" w:ascii="黑体" w:eastAsia="黑体" w:cs="宋体"/>
          <w:color w:val="000000"/>
          <w:kern w:val="0"/>
          <w:sz w:val="32"/>
          <w:szCs w:val="32"/>
          <w:lang w:bidi="ar-SA"/>
        </w:rPr>
        <w:t>一、总体情况</w:t>
      </w:r>
    </w:p>
    <w:p w14:paraId="3356BD8E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textAlignment w:val="auto"/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</w:pPr>
      <w:r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  <w:t>202</w:t>
      </w:r>
      <w:r>
        <w:rPr>
          <w:rFonts w:ascii="仿宋" w:eastAsia="仿宋" w:cs="仿宋"/>
          <w:color w:val="2B2B2B"/>
          <w:sz w:val="32"/>
          <w:szCs w:val="32"/>
          <w:shd w:val="clear" w:color="auto" w:fill="FFFFFF"/>
          <w:lang w:bidi="ar-SA"/>
        </w:rPr>
        <w:t>4</w:t>
      </w:r>
      <w:r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  <w:t>年，县审计局在县委、县政府和上级审计机关的坚强领导下，紧紧围绕县委、县政府的中心工作，按照县政府统一安排部署，不断强化政府信息公开工作，加强领导、强化措施、狠抓落实。我局认真贯彻落实《中华人民共和国政府信息公开条例》，并把政府信息公开工作作为建设服务政府、透明政府、阳光政府的重要举措，切实推进了全县政府信息公开工作。</w:t>
      </w:r>
    </w:p>
    <w:p w14:paraId="3067577E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textAlignment w:val="auto"/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</w:pPr>
      <w:r>
        <w:rPr>
          <w:rFonts w:hint="eastAsia" w:ascii="仿宋" w:eastAsia="仿宋" w:cs="仿宋"/>
          <w:b/>
          <w:bCs/>
          <w:color w:val="2B2B2B"/>
          <w:sz w:val="32"/>
          <w:szCs w:val="32"/>
          <w:shd w:val="clear" w:color="auto" w:fill="FFFFFF"/>
          <w:lang w:bidi="ar-SA"/>
        </w:rPr>
        <w:t>（</w:t>
      </w:r>
      <w:r>
        <w:rPr>
          <w:rFonts w:hint="eastAsia" w:ascii="楷体" w:eastAsia="楷体" w:cs="楷体"/>
          <w:b/>
          <w:bCs/>
          <w:color w:val="404040"/>
          <w:sz w:val="32"/>
          <w:szCs w:val="32"/>
          <w:shd w:val="clear" w:color="auto" w:fill="FFFFFF"/>
          <w:lang w:bidi="ar-SA"/>
        </w:rPr>
        <w:t>一）</w:t>
      </w:r>
      <w:r>
        <w:rPr>
          <w:rFonts w:hint="eastAsia" w:ascii="楷体" w:eastAsia="楷体" w:cs="楷体"/>
          <w:b/>
          <w:bCs/>
          <w:color w:val="404040"/>
          <w:sz w:val="32"/>
          <w:szCs w:val="32"/>
          <w:shd w:val="clear" w:color="auto" w:fill="FFFFFF"/>
          <w:lang w:bidi="ar-SA"/>
        </w:rPr>
        <w:t>主动公开政府信息情况。</w:t>
      </w:r>
    </w:p>
    <w:p w14:paraId="0BEFB5DA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textAlignment w:val="auto"/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</w:pPr>
      <w:r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  <w:t>落实人员做好重要信息的收集汇总、分类整理和上网上报工作，确保政府信息的及时更新。定期检查已经公开的信息内容，做到发布的各类信息准确无误，坚持落实好“谁公开、谁审核、谁负责”的工作原则。</w:t>
      </w:r>
    </w:p>
    <w:p w14:paraId="3B98D9E1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firstLine="643" w:firstLineChars="200"/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</w:pPr>
      <w:r>
        <w:rPr>
          <w:rFonts w:hint="eastAsia" w:ascii="楷体" w:eastAsia="楷体" w:cs="楷体"/>
          <w:b/>
          <w:bCs/>
          <w:color w:val="404040"/>
          <w:sz w:val="32"/>
          <w:szCs w:val="32"/>
          <w:shd w:val="clear" w:color="auto" w:fill="FFFFFF"/>
          <w:lang w:bidi="ar-SA"/>
        </w:rPr>
        <w:t>（二）依申请公开方面。</w:t>
      </w:r>
    </w:p>
    <w:p w14:paraId="0F1A98B3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textAlignment w:val="auto"/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</w:pPr>
      <w:r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  <w:t>规范做好申请登记、审核、办理、复核、答复、归档等各项工作。严格执行依申请公开程序规范和答复规范，全面提升政府信息公开申请办理工作质量。202</w:t>
      </w:r>
      <w:r>
        <w:rPr>
          <w:rFonts w:ascii="仿宋" w:eastAsia="仿宋" w:cs="仿宋"/>
          <w:color w:val="2B2B2B"/>
          <w:sz w:val="32"/>
          <w:szCs w:val="32"/>
          <w:shd w:val="clear" w:color="auto" w:fill="FFFFFF"/>
          <w:lang w:bidi="ar-SA"/>
        </w:rPr>
        <w:t>4</w:t>
      </w:r>
      <w:r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  <w:t>年，我局没有依申请公开信息情况。</w:t>
      </w:r>
    </w:p>
    <w:p w14:paraId="67CEE143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firstLine="643" w:firstLineChars="200"/>
        <w:rPr>
          <w:rFonts w:hint="eastAsia" w:ascii="楷体" w:eastAsia="楷体" w:cs="楷体"/>
          <w:b/>
          <w:bCs/>
          <w:color w:val="404040"/>
          <w:sz w:val="32"/>
          <w:szCs w:val="32"/>
          <w:shd w:val="clear" w:color="auto" w:fill="FFFFFF"/>
          <w:lang w:bidi="ar-SA"/>
        </w:rPr>
      </w:pPr>
      <w:r>
        <w:rPr>
          <w:rFonts w:hint="eastAsia" w:ascii="楷体" w:eastAsia="楷体" w:cs="楷体"/>
          <w:b/>
          <w:bCs/>
          <w:color w:val="404040"/>
          <w:sz w:val="32"/>
          <w:szCs w:val="32"/>
          <w:shd w:val="clear" w:color="auto" w:fill="FFFFFF"/>
          <w:lang w:bidi="ar-SA"/>
        </w:rPr>
        <w:t>（三）政府信息管理方面。</w:t>
      </w:r>
    </w:p>
    <w:p w14:paraId="19F6A914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firstLine="640" w:firstLineChars="200"/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</w:pPr>
      <w:r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  <w:t>我局始终把做好政务信息公开工作列入单位工作议事日程，健全领导机制，确保审计局的政府信息工作顺利开展。根据《中华人民共和国政府信息公开条例》要求，结合审计工作的特殊性，真正做到“涉密不上网，上网不涉密”，进一步保障了审计局政府信息公开内容的安全性。202</w:t>
      </w:r>
      <w:r>
        <w:rPr>
          <w:rFonts w:ascii="仿宋" w:eastAsia="仿宋" w:cs="仿宋"/>
          <w:color w:val="2B2B2B"/>
          <w:sz w:val="32"/>
          <w:szCs w:val="32"/>
          <w:shd w:val="clear" w:color="auto" w:fill="FFFFFF"/>
          <w:lang w:bidi="ar-SA"/>
        </w:rPr>
        <w:t>4</w:t>
      </w:r>
      <w:r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  <w:t>年，未制发行政规范性文件。</w:t>
      </w:r>
    </w:p>
    <w:p w14:paraId="0B1F534D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firstLine="643" w:firstLineChars="200"/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</w:pPr>
      <w:r>
        <w:rPr>
          <w:rFonts w:hint="eastAsia" w:ascii="楷体" w:eastAsia="楷体" w:cs="楷体"/>
          <w:b/>
          <w:bCs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（四）政府信息公开平台建设方面。</w:t>
      </w:r>
    </w:p>
    <w:p w14:paraId="1531BEB4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firstLine="640" w:firstLineChars="200"/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</w:pPr>
      <w:r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  <w:t>目前，我局共有执法公开15项，其中，行政执法事项清单11项、事前公开2项、事后公开1项。相关信息向社会全面公开，让群众了解审计工作的职责任务；通过网站公布了审计机关受理申诉、咨询的方法、途径、举报电话等，方便群众办理与审计相关的事项，也促使审计人员更加审慎地用好执法权，有力地促进了审计机关廉政建设和审计质量的提高。</w:t>
      </w:r>
    </w:p>
    <w:p w14:paraId="46059A2F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firstLine="643" w:firstLineChars="200"/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</w:pPr>
      <w:r>
        <w:rPr>
          <w:rFonts w:hint="eastAsia" w:ascii="楷体" w:eastAsia="楷体" w:cs="楷体"/>
          <w:b/>
          <w:bCs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（五）监督保障。</w:t>
      </w:r>
    </w:p>
    <w:p w14:paraId="58F117DC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firstLine="640" w:firstLineChars="200"/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</w:pPr>
      <w:r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  <w:t>审计执法公开透明，明确股室工作职责，在审计项目进场三日前，向被审计单位送达审计通知书，包括审计“四严禁”工作要求及审计“八不准”工作纪律，接受被审计单位监督，促进信息公开工作有序进行。</w:t>
      </w:r>
    </w:p>
    <w:p w14:paraId="45A3D576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right="0" w:firstLine="640" w:firstLineChars="200"/>
        <w:jc w:val="both"/>
        <w:textAlignment w:val="auto"/>
        <w:outlineLvl w:val="9"/>
        <w:rPr>
          <w:rFonts w:hint="eastAsia" w:ascii="黑体" w:eastAsia="黑体" w:cs="宋体"/>
          <w:color w:val="000000"/>
          <w:kern w:val="0"/>
          <w:sz w:val="32"/>
          <w:szCs w:val="32"/>
          <w:lang w:bidi="ar-SA"/>
        </w:rPr>
      </w:pPr>
      <w:r>
        <w:rPr>
          <w:rFonts w:hint="eastAsia" w:ascii="黑体" w:eastAsia="黑体" w:cs="宋体"/>
          <w:color w:val="000000"/>
          <w:kern w:val="0"/>
          <w:sz w:val="32"/>
          <w:szCs w:val="32"/>
          <w:lang w:bidi="ar-SA"/>
        </w:rPr>
        <w:t>二、主动公开政府信息情况</w:t>
      </w:r>
    </w:p>
    <w:tbl>
      <w:tblPr>
        <w:tblStyle w:val="7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99"/>
        <w:gridCol w:w="2418"/>
        <w:gridCol w:w="2044"/>
        <w:gridCol w:w="2119"/>
      </w:tblGrid>
      <w:tr w14:paraId="0EAE82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0E20068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第二十条第（一）项</w:t>
            </w:r>
          </w:p>
        </w:tc>
      </w:tr>
      <w:tr w14:paraId="03EECD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80786A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信息内容</w:t>
            </w:r>
          </w:p>
        </w:tc>
        <w:tc>
          <w:tcPr>
            <w:tcW w:w="241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6DAEF5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本年</w:t>
            </w: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制发件数</w:t>
            </w:r>
          </w:p>
        </w:tc>
        <w:tc>
          <w:tcPr>
            <w:tcW w:w="204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7376DA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本年废止件数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A7E296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现行有效件</w:t>
            </w: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数</w:t>
            </w:r>
          </w:p>
        </w:tc>
      </w:tr>
      <w:tr w14:paraId="6F8BCD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E35EBC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规章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BAD0D7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20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E0E9F0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CDD3AA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36FA44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165DE9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行政规范性文件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0BEF69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20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E10FF2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8D59CD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09B3FB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37AB462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第二十条第（五）项</w:t>
            </w:r>
          </w:p>
        </w:tc>
      </w:tr>
      <w:tr w14:paraId="0449B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280A13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6ADE23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本年处理决定数量</w:t>
            </w:r>
          </w:p>
        </w:tc>
      </w:tr>
      <w:tr w14:paraId="08E64B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BC793D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行政许可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FBEFA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rPr>
                <w:rFonts w:eastAsia="宋体"/>
                <w:lang w:val="en-US" w:eastAsia="zh-CN"/>
              </w:rPr>
            </w:pPr>
            <w:r>
              <w:rPr>
                <w:rFonts w:hint="eastAsia" w:ascii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79CB4A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4A13BFB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第二十条第（六）项</w:t>
            </w:r>
          </w:p>
        </w:tc>
      </w:tr>
      <w:tr w14:paraId="10846B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4D1F4B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E057A5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本年处理决定数量</w:t>
            </w:r>
          </w:p>
        </w:tc>
      </w:tr>
      <w:tr w14:paraId="3271D9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9748AA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行政处罚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B7FC68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  <w:rPr>
                <w:lang w:val="en-US"/>
              </w:rPr>
            </w:pPr>
            <w:r>
              <w:rPr>
                <w:rFonts w:hint="eastAsia" w:ascii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7D9CBA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37D39D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行政强制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A220BC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  <w:rPr>
                <w:lang w:val="en-US"/>
              </w:rPr>
            </w:pPr>
            <w:r>
              <w:rPr>
                <w:rFonts w:hint="eastAsia" w:ascii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20B187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04E8277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第二十条第（八）项</w:t>
            </w:r>
          </w:p>
        </w:tc>
      </w:tr>
      <w:tr w14:paraId="7413B2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7063D7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A5E50E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本年收费金额（单位：万元）</w:t>
            </w:r>
          </w:p>
        </w:tc>
      </w:tr>
      <w:tr w14:paraId="224D1C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4A2EE0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行政事业性收费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87E3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rPr>
                <w:rFonts w:hint="eastAsia" w:ascii="宋体"/>
                <w:sz w:val="24"/>
                <w:szCs w:val="24"/>
                <w:lang w:val="en-US"/>
              </w:rPr>
            </w:pPr>
            <w:r>
              <w:rPr>
                <w:rFonts w:hint="eastAsia" w:ascii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</w:tbl>
    <w:p w14:paraId="23E1AFC4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right="0" w:firstLine="420"/>
        <w:jc w:val="both"/>
        <w:textAlignment w:val="auto"/>
        <w:outlineLvl w:val="9"/>
        <w:rPr>
          <w:rFonts w:hint="eastAsia" w:ascii="黑体" w:eastAsia="黑体" w:cs="宋体"/>
          <w:color w:val="000000"/>
          <w:kern w:val="0"/>
          <w:sz w:val="32"/>
          <w:szCs w:val="32"/>
          <w:lang w:bidi="ar-SA"/>
        </w:rPr>
      </w:pPr>
    </w:p>
    <w:p w14:paraId="11D4B2C4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outlineLvl w:val="9"/>
        <w:rPr>
          <w:rFonts w:hint="eastAsia" w:ascii="黑体" w:eastAsia="黑体" w:cs="宋体"/>
          <w:color w:val="000000"/>
          <w:kern w:val="0"/>
          <w:sz w:val="32"/>
          <w:szCs w:val="32"/>
          <w:lang w:bidi="ar-SA"/>
        </w:rPr>
      </w:pPr>
      <w:r>
        <w:rPr>
          <w:rFonts w:hint="eastAsia" w:ascii="黑体" w:eastAsia="黑体" w:cs="宋体"/>
          <w:color w:val="000000"/>
          <w:kern w:val="0"/>
          <w:sz w:val="32"/>
          <w:szCs w:val="32"/>
          <w:lang w:bidi="ar-SA"/>
        </w:rPr>
        <w:t>三、收到和处理政府信息公开申请情况</w:t>
      </w:r>
    </w:p>
    <w:tbl>
      <w:tblPr>
        <w:tblStyle w:val="7"/>
        <w:tblpPr w:leftFromText="180" w:rightFromText="180" w:vertAnchor="text" w:horzAnchor="page" w:tblpXSpec="center" w:tblpY="627"/>
        <w:tblOverlap w:val="never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7"/>
        <w:gridCol w:w="943"/>
        <w:gridCol w:w="2256"/>
        <w:gridCol w:w="694"/>
        <w:gridCol w:w="687"/>
        <w:gridCol w:w="687"/>
        <w:gridCol w:w="687"/>
        <w:gridCol w:w="687"/>
        <w:gridCol w:w="688"/>
        <w:gridCol w:w="695"/>
      </w:tblGrid>
      <w:tr w14:paraId="43A78F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6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31D13D7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  <w:lang w:val="en-US" w:eastAsia="zh-CN" w:bidi="ar-SA"/>
              </w:rPr>
              <w:t>（本列数据的勾稽关系为：第一项加第二项之和，等于第三项加第四项之和）</w:t>
            </w:r>
          </w:p>
        </w:tc>
        <w:tc>
          <w:tcPr>
            <w:tcW w:w="4825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DCA26F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申请人情况</w:t>
            </w:r>
          </w:p>
        </w:tc>
      </w:tr>
      <w:tr w14:paraId="0C856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6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53B8D092"/>
        </w:tc>
        <w:tc>
          <w:tcPr>
            <w:tcW w:w="69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3BE4B5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自然人</w:t>
            </w:r>
          </w:p>
        </w:tc>
        <w:tc>
          <w:tcPr>
            <w:tcW w:w="3436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4108A2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法人或其他组织</w:t>
            </w:r>
          </w:p>
        </w:tc>
        <w:tc>
          <w:tcPr>
            <w:tcW w:w="695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4D5096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总计</w:t>
            </w:r>
          </w:p>
        </w:tc>
      </w:tr>
      <w:tr w14:paraId="51FFD6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 w:hRule="atLeast"/>
        </w:trPr>
        <w:tc>
          <w:tcPr>
            <w:tcW w:w="3966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10BA739A"/>
        </w:tc>
        <w:tc>
          <w:tcPr>
            <w:tcW w:w="69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BD5042A"/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FFDF9B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商业</w:t>
            </w:r>
          </w:p>
          <w:p w14:paraId="6EC1B0E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企业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216EF5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科研</w:t>
            </w:r>
          </w:p>
          <w:p w14:paraId="666106E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机构</w:t>
            </w:r>
          </w:p>
        </w:tc>
        <w:tc>
          <w:tcPr>
            <w:tcW w:w="6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5F5C29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社会公益组织</w:t>
            </w:r>
          </w:p>
        </w:tc>
        <w:tc>
          <w:tcPr>
            <w:tcW w:w="6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D4B98E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CA1BC8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其他</w:t>
            </w:r>
          </w:p>
        </w:tc>
        <w:tc>
          <w:tcPr>
            <w:tcW w:w="695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3B66824"/>
        </w:tc>
      </w:tr>
      <w:tr w14:paraId="3F81E4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762D03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一、本年新收政府信息公开申请数量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A42115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B89EC9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1662B4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EF007B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97DE48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1044EE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5E3EB6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7AA513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AAD4FD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二、上年结转政府信息公开申请数量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285C3A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5218BA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D2E258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6C5963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1B988F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77E6A0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49E93E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790583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5A3719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三、本年度办理结果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1E67D1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（一）予以公开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E58E87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34FDBA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C5B9F3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0C0ACA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422C7C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7EB344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8D4994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647375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EE1BACA"/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77829E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（二）部分公开</w:t>
            </w:r>
            <w:r>
              <w:rPr>
                <w:rFonts w:hint="eastAsia" w:ascii="楷体" w:eastAsia="楷体" w:cs="楷体"/>
                <w:kern w:val="0"/>
                <w:sz w:val="20"/>
                <w:szCs w:val="20"/>
                <w:lang w:val="en-US" w:eastAsia="zh-CN" w:bidi="ar-SA"/>
              </w:rPr>
              <w:t>（区分处理的，只计这一情形，不计其他情形）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032C94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0B8F89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F6C443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C26FB9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20442F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5BE7BE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ADAF15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450FDE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7278FA9"/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F060F8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（三）不予公开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3DD1899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1.属于国家秘密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C763A7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9E94E4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331A33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30A07E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55B7AC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041E56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2F64D5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5133E5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2919F5E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782E184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7AB3504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2.其他法律行政法规禁止公开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6DA89C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185F6B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3D8702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6B9797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691D21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438BC5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7A0DA2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68CF79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81998E7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B55108B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1C978A8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3.危及“三安全一稳定”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AE9D6C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FC8107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0CCF4E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6D1AF3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BBF35F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880042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68D68C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182B25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468454D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F419574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79C4670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4.保护第三方合法权益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6D3581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53B777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CF35BE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34611E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71E041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064F48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056867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68B233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7491F89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8F98B7C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09E040A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5.属于三类内部事务信息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4A45FE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1C234F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AAEC7A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E027C6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8694BC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722FFC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1E78CC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64D244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2E1AAE5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7C8E804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230BF4F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6.属于四类过程性信息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A65AD1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614BDA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6295CA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686E21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739B22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08D2CE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DA9321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2EDBE2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165B012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548842D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43E1191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7.属于行政执法案卷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3C46E8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18561A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1C49B6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672371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E2F915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4279AE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79C654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34589F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0AEA7E4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644C2F1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4124254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8.属于行政查询事项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7C16BB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A2594B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11FAB3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11AAA0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7945E9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38122A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122878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395E9B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BCD3107"/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FE6961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（四）无法提供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1D91DA5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1.本机关不掌握相关政府信息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CC8984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897131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875FD9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178F58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AA3DB0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DB1BB5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C2AB39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4A142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5996BD9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31B21B6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71081E0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2.没有现成信息需要另行制作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FBF7B9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EF0407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367066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64966A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66330B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51F50D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1384F0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6ED81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3FE93CC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3657E9E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1865290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3.补正后申请内容仍不明确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DEDC1E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975F73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B44CE4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D8F34C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157BD7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27E982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B2C963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58C430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E361A2F"/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C2C392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（五）不予处理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669CC64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1.信访举报投诉类申请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0D0F66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F47E76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D3833C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EC523B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0B4170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38E62D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61CCB6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5EEE86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27E2957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EABB765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11EB7EA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2.重复申请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B1F811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3B40A7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B4FA59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04B239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62444F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18480B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C5AFE8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47D08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23237F2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09CB5E4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0140F72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3.要求提供公开出版物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B9D5B1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1702D6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8B3CA9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2006E6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7D91A7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8E94FD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A4BBA8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1C0178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6D89D83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314306C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714DCB2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4.无正当理由大量反复申请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0EB412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2B5FCD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14C9E1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5095CC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33190F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B27DAA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C71D66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49D6F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DB584D5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F295BE4"/>
        </w:tc>
        <w:tc>
          <w:tcPr>
            <w:tcW w:w="225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125CF2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5.要求行政机关确认或重新出具已获取信息</w:t>
            </w:r>
          </w:p>
        </w:tc>
        <w:tc>
          <w:tcPr>
            <w:tcW w:w="69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35B55D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4F33E0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3F0746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E555CE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D42DB0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82592B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E24E96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26471F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557A978"/>
        </w:tc>
        <w:tc>
          <w:tcPr>
            <w:tcW w:w="943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421EB0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（六）其他处理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1F977A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1.申请人无正当理由逾期不补正、行政机关不再处理其政府信息公开申请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492F94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B5FD94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6812B1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C466B5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82A8E3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EFCB29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88FDF2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288DDD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51695E7"/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81E441B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EEB6C4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2.申请人逾期未按收费通知要求缴纳费用、行政机关不再处理其政府信息公开申请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B4DB5C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159BAF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FB1B21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577BE8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E6AD68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E8438B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3BF3E4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318461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8B7E391"/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3ADB414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A4BB4F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3.其他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6EE23A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5CA2A4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8102CB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DB6B35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95E4B1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36338C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D7CB85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17EE6D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B656E8E"/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3F0A32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（七）总计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380C16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E4E00D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080B8B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4BE0C8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790EE2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E94DA6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D9FEAF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02AD99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6" w:hRule="atLeast"/>
        </w:trPr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829E92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四、结转下年度继续办理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7A67A5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bidi="ar-SA"/>
              </w:rPr>
            </w:pPr>
            <w:r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6DDBF0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B64178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C72872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AD685D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BA4772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8F4EE5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eastAsia="宋体" w:cs="宋体"/>
                <w:sz w:val="20"/>
                <w:szCs w:val="20"/>
                <w:lang w:val="en-US" w:bidi="ar-SA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</w:tbl>
    <w:p w14:paraId="09736792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right="0" w:firstLine="640" w:firstLineChars="200"/>
        <w:jc w:val="both"/>
        <w:textAlignment w:val="auto"/>
        <w:outlineLvl w:val="9"/>
        <w:rPr>
          <w:rFonts w:hint="eastAsia" w:ascii="黑体" w:eastAsia="黑体" w:cs="宋体"/>
          <w:color w:val="000000"/>
          <w:kern w:val="0"/>
          <w:sz w:val="32"/>
          <w:szCs w:val="32"/>
          <w:lang w:bidi="ar-SA"/>
        </w:rPr>
      </w:pPr>
    </w:p>
    <w:p w14:paraId="4AD3D7E0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right="0" w:firstLine="640" w:firstLineChars="200"/>
        <w:jc w:val="both"/>
        <w:textAlignment w:val="auto"/>
        <w:outlineLvl w:val="9"/>
        <w:rPr>
          <w:rFonts w:hint="eastAsia" w:ascii="黑体" w:eastAsia="黑体" w:cs="宋体"/>
          <w:color w:val="000000"/>
          <w:kern w:val="0"/>
          <w:sz w:val="32"/>
          <w:szCs w:val="32"/>
          <w:lang w:bidi="ar-SA"/>
        </w:rPr>
      </w:pPr>
      <w:r>
        <w:rPr>
          <w:rFonts w:hint="eastAsia" w:ascii="黑体" w:eastAsia="黑体" w:cs="宋体"/>
          <w:color w:val="000000"/>
          <w:kern w:val="0"/>
          <w:sz w:val="32"/>
          <w:szCs w:val="32"/>
          <w:lang w:bidi="ar-SA"/>
        </w:rPr>
        <w:t>四、政府信息公开行政复议、行政诉讼情况</w:t>
      </w:r>
    </w:p>
    <w:p w14:paraId="6945540B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right="0"/>
        <w:jc w:val="both"/>
        <w:textAlignment w:val="auto"/>
        <w:outlineLvl w:val="9"/>
        <w:rPr>
          <w:rFonts w:hint="eastAsia" w:ascii="微软雅黑" w:hAnsi="微软雅黑" w:eastAsia="宋体" w:cs="宋体"/>
          <w:color w:val="000000"/>
          <w:kern w:val="0"/>
          <w:sz w:val="24"/>
          <w:szCs w:val="24"/>
          <w:lang w:bidi="ar-SA"/>
        </w:rPr>
      </w:pPr>
    </w:p>
    <w:tbl>
      <w:tblPr>
        <w:tblStyle w:val="7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5"/>
        <w:gridCol w:w="647"/>
        <w:gridCol w:w="645"/>
        <w:gridCol w:w="646"/>
        <w:gridCol w:w="647"/>
        <w:gridCol w:w="645"/>
        <w:gridCol w:w="647"/>
        <w:gridCol w:w="646"/>
        <w:gridCol w:w="647"/>
        <w:gridCol w:w="647"/>
        <w:gridCol w:w="649"/>
        <w:gridCol w:w="647"/>
        <w:gridCol w:w="647"/>
        <w:gridCol w:w="649"/>
        <w:gridCol w:w="646"/>
      </w:tblGrid>
      <w:tr w14:paraId="3660F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  <w:jc w:val="center"/>
        </w:trPr>
        <w:tc>
          <w:tcPr>
            <w:tcW w:w="323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604E78F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行政复议</w:t>
            </w:r>
          </w:p>
        </w:tc>
        <w:tc>
          <w:tcPr>
            <w:tcW w:w="6470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59F648B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行政诉讼</w:t>
            </w:r>
          </w:p>
        </w:tc>
      </w:tr>
      <w:tr w14:paraId="595FE9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  <w:jc w:val="center"/>
        </w:trPr>
        <w:tc>
          <w:tcPr>
            <w:tcW w:w="64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22403A4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结果维持</w:t>
            </w:r>
          </w:p>
        </w:tc>
        <w:tc>
          <w:tcPr>
            <w:tcW w:w="64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427A232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结果</w:t>
            </w: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br w:type="textWrapping"/>
            </w: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纠正</w:t>
            </w:r>
          </w:p>
        </w:tc>
        <w:tc>
          <w:tcPr>
            <w:tcW w:w="64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13F17AB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其他</w:t>
            </w: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br w:type="textWrapping"/>
            </w: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结果</w:t>
            </w:r>
          </w:p>
        </w:tc>
        <w:tc>
          <w:tcPr>
            <w:tcW w:w="64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770E947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尚未</w:t>
            </w: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br w:type="textWrapping"/>
            </w: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审结</w:t>
            </w:r>
          </w:p>
        </w:tc>
        <w:tc>
          <w:tcPr>
            <w:tcW w:w="64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0B9BCDD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总计</w:t>
            </w:r>
          </w:p>
        </w:tc>
        <w:tc>
          <w:tcPr>
            <w:tcW w:w="3232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2A44B66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未经复议直接起诉</w:t>
            </w:r>
          </w:p>
        </w:tc>
        <w:tc>
          <w:tcPr>
            <w:tcW w:w="323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4EBA460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复议后起诉</w:t>
            </w:r>
          </w:p>
        </w:tc>
      </w:tr>
      <w:tr w14:paraId="404034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  <w:jc w:val="center"/>
        </w:trPr>
        <w:tc>
          <w:tcPr>
            <w:tcW w:w="64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43D6B4A8"/>
        </w:tc>
        <w:tc>
          <w:tcPr>
            <w:tcW w:w="647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41BB4AFE"/>
        </w:tc>
        <w:tc>
          <w:tcPr>
            <w:tcW w:w="64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32DABFA0"/>
        </w:tc>
        <w:tc>
          <w:tcPr>
            <w:tcW w:w="64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438CEA66"/>
        </w:tc>
        <w:tc>
          <w:tcPr>
            <w:tcW w:w="64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33A99A47"/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34ABE41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结果</w:t>
            </w: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br w:type="textWrapping"/>
            </w: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维持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6DCF755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结果</w:t>
            </w: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br w:type="textWrapping"/>
            </w: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纠正</w:t>
            </w:r>
          </w:p>
        </w:tc>
        <w:tc>
          <w:tcPr>
            <w:tcW w:w="6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3A2BE28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其他</w:t>
            </w: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br w:type="textWrapping"/>
            </w: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结果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0708C68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尚未</w:t>
            </w: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br w:type="textWrapping"/>
            </w: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审结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1A27BF3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总计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0B8A309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结果</w:t>
            </w: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br w:type="textWrapping"/>
            </w: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维持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2459D3B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结果</w:t>
            </w: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br w:type="textWrapping"/>
            </w: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纠正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6FD2E28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其他</w:t>
            </w: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br w:type="textWrapping"/>
            </w: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结果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6D2937D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尚未</w:t>
            </w: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br w:type="textWrapping"/>
            </w:r>
            <w:r>
              <w:rPr>
                <w:rFonts w:hint="eastAsia" w:ascii="宋体" w:eastAsia="宋体" w:cs="宋体"/>
                <w:kern w:val="0"/>
                <w:sz w:val="20"/>
                <w:szCs w:val="20"/>
                <w:lang w:val="en-US" w:eastAsia="zh-CN" w:bidi="ar-SA"/>
              </w:rPr>
              <w:t>审结</w:t>
            </w:r>
          </w:p>
        </w:tc>
        <w:tc>
          <w:tcPr>
            <w:tcW w:w="6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17A2FBF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总计</w:t>
            </w:r>
          </w:p>
        </w:tc>
      </w:tr>
      <w:tr w14:paraId="7D972D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0" w:hRule="atLeast"/>
          <w:jc w:val="center"/>
        </w:trPr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42551C3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eastAsia="宋体" w:cs="宋体"/>
                <w:sz w:val="20"/>
                <w:szCs w:val="20"/>
                <w:lang w:val="en-US" w:bidi="ar-SA"/>
              </w:rPr>
            </w:pPr>
            <w:r>
              <w:rPr>
                <w:rFonts w:hint="eastAsia" w:asci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7D1E53D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eastAsia="宋体" w:cs="宋体"/>
                <w:sz w:val="20"/>
                <w:szCs w:val="20"/>
                <w:lang w:val="en-US" w:bidi="ar-SA"/>
              </w:rPr>
            </w:pPr>
            <w:r>
              <w:rPr>
                <w:rFonts w:hint="eastAsia" w:asci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275559E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eastAsia="宋体" w:cs="宋体"/>
                <w:sz w:val="20"/>
                <w:szCs w:val="20"/>
                <w:lang w:val="en-US" w:bidi="ar-SA"/>
              </w:rPr>
            </w:pPr>
            <w:r>
              <w:rPr>
                <w:rFonts w:hint="eastAsia" w:asci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391883A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14D8C31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eastAsia="宋体" w:cs="宋体"/>
                <w:sz w:val="20"/>
                <w:szCs w:val="20"/>
                <w:lang w:val="en-US" w:bidi="ar-SA"/>
              </w:rPr>
            </w:pPr>
            <w:r>
              <w:rPr>
                <w:rFonts w:hint="eastAsia" w:asci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2A13B0B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eastAsia="宋体" w:cs="宋体"/>
                <w:sz w:val="20"/>
                <w:szCs w:val="20"/>
                <w:lang w:val="en-US" w:bidi="ar-SA"/>
              </w:rPr>
            </w:pPr>
            <w:r>
              <w:rPr>
                <w:rFonts w:hint="eastAsia" w:asci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724F07A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0F463B6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40F9781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226B44B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3388344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5076851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56C33B8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6E9C4CE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5B18D0C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</w:tr>
    </w:tbl>
    <w:p w14:paraId="5C76BCDC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right="0" w:firstLine="420"/>
        <w:jc w:val="both"/>
        <w:textAlignment w:val="auto"/>
        <w:outlineLvl w:val="9"/>
        <w:rPr>
          <w:rFonts w:hint="eastAsia" w:ascii="黑体" w:eastAsia="黑体" w:cs="宋体"/>
          <w:color w:val="000000"/>
          <w:kern w:val="0"/>
          <w:sz w:val="32"/>
          <w:szCs w:val="32"/>
          <w:lang w:bidi="ar-SA"/>
        </w:rPr>
      </w:pPr>
    </w:p>
    <w:p w14:paraId="109F5DB3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outlineLvl w:val="9"/>
        <w:rPr>
          <w:rFonts w:hint="eastAsia" w:ascii="黑体" w:eastAsia="黑体" w:cs="宋体"/>
          <w:color w:val="000000"/>
          <w:kern w:val="0"/>
          <w:sz w:val="32"/>
          <w:szCs w:val="32"/>
          <w:lang w:bidi="ar-SA"/>
        </w:rPr>
      </w:pPr>
      <w:r>
        <w:rPr>
          <w:rFonts w:hint="eastAsia" w:ascii="黑体" w:eastAsia="黑体" w:cs="宋体"/>
          <w:color w:val="000000"/>
          <w:kern w:val="0"/>
          <w:sz w:val="32"/>
          <w:szCs w:val="32"/>
          <w:lang w:bidi="ar-SA"/>
        </w:rPr>
        <w:t>五、存在的主要问题及改进情况</w:t>
      </w:r>
    </w:p>
    <w:p w14:paraId="6E6E1EC0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textAlignment w:val="auto"/>
        <w:rPr>
          <w:rFonts w:hint="eastAsia" w:ascii="仿宋" w:eastAsia="仿宋" w:cs="仿宋"/>
          <w:color w:val="000000"/>
          <w:sz w:val="32"/>
          <w:szCs w:val="32"/>
          <w:lang w:bidi="ar-SA"/>
        </w:rPr>
      </w:pPr>
      <w:r>
        <w:rPr>
          <w:rFonts w:hint="eastAsia" w:ascii="仿宋" w:eastAsia="仿宋" w:cs="仿宋"/>
          <w:b/>
          <w:bCs/>
          <w:color w:val="2B2B2B"/>
          <w:sz w:val="32"/>
          <w:szCs w:val="32"/>
          <w:shd w:val="clear" w:color="auto" w:fill="FFFFFF"/>
          <w:lang w:bidi="ar-SA"/>
        </w:rPr>
        <w:t>（一）存在问题</w:t>
      </w:r>
    </w:p>
    <w:p w14:paraId="66984B43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textAlignment w:val="auto"/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</w:pPr>
      <w:r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  <w:t>一是信息更新还需要更及时；二是宣传工作力度还有待加强，社会公众对审计监督的职能和作用认识还不够深；三是审计信息的敏感度高，尺度较难把握。</w:t>
      </w:r>
    </w:p>
    <w:p w14:paraId="70F06AE7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textAlignment w:val="auto"/>
        <w:rPr>
          <w:rFonts w:hint="eastAsia" w:ascii="仿宋" w:eastAsia="仿宋" w:cs="仿宋"/>
          <w:b/>
          <w:bCs/>
          <w:color w:val="2B2B2B"/>
          <w:sz w:val="32"/>
          <w:szCs w:val="32"/>
          <w:shd w:val="clear" w:color="auto" w:fill="FFFFFF"/>
          <w:lang w:bidi="ar-SA"/>
        </w:rPr>
      </w:pPr>
      <w:r>
        <w:rPr>
          <w:rFonts w:hint="eastAsia" w:ascii="仿宋" w:eastAsia="仿宋" w:cs="仿宋"/>
          <w:b/>
          <w:bCs/>
          <w:color w:val="2B2B2B"/>
          <w:sz w:val="32"/>
          <w:szCs w:val="32"/>
          <w:shd w:val="clear" w:color="auto" w:fill="FFFFFF"/>
          <w:lang w:bidi="ar-SA"/>
        </w:rPr>
        <w:t>（二）改进措施</w:t>
      </w:r>
    </w:p>
    <w:p w14:paraId="25B8B76D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textAlignment w:val="auto"/>
        <w:rPr>
          <w:rFonts w:hint="eastAsia" w:ascii="仿宋" w:eastAsia="仿宋" w:cs="仿宋"/>
          <w:color w:val="000000"/>
          <w:sz w:val="32"/>
          <w:szCs w:val="32"/>
          <w:lang w:bidi="ar-SA"/>
        </w:rPr>
      </w:pPr>
      <w:r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  <w:t>按照《条例》的规定和县政府信息公开工作要求，县审计局下一阶段将主要做好以下几方面工作：</w:t>
      </w:r>
    </w:p>
    <w:p w14:paraId="445CC54B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textAlignment w:val="auto"/>
        <w:rPr>
          <w:rFonts w:hint="eastAsia" w:ascii="仿宋" w:eastAsia="仿宋" w:cs="仿宋"/>
          <w:color w:val="000000"/>
          <w:sz w:val="32"/>
          <w:szCs w:val="32"/>
          <w:lang w:bidi="ar-SA"/>
        </w:rPr>
      </w:pPr>
      <w:r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  <w:t>1、充分认识做好政府信息公开工作的重大意义。突出重点，注重实效，加强信息报送工作力度，在规定的政府信息公开范围内，及时发布和更新依法应主动公开的政府信息，实现政务信息公开化，使信息公开业务更加有序、高效。</w:t>
      </w:r>
    </w:p>
    <w:p w14:paraId="71C59A27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textAlignment w:val="auto"/>
        <w:rPr>
          <w:rFonts w:hint="eastAsia" w:ascii="仿宋" w:eastAsia="仿宋" w:cs="仿宋"/>
          <w:color w:val="000000"/>
          <w:sz w:val="32"/>
          <w:szCs w:val="32"/>
          <w:lang w:bidi="ar-SA"/>
        </w:rPr>
      </w:pPr>
      <w:r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  <w:t>2、加强宣传，提高公众对信息公开的知晓率。明确工作职责，强化专人负责信息公开工作，通过多种渠道进行宣传，提高群众对审计信息公开的知晓率。</w:t>
      </w:r>
    </w:p>
    <w:p w14:paraId="2135ACCE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auto"/>
        <w:outlineLvl w:val="9"/>
        <w:rPr>
          <w:rFonts w:hint="eastAsia" w:ascii="黑体" w:eastAsia="黑体" w:cs="宋体"/>
          <w:color w:val="000000"/>
          <w:kern w:val="0"/>
          <w:sz w:val="32"/>
          <w:szCs w:val="32"/>
          <w:lang w:bidi="ar-SA"/>
        </w:rPr>
      </w:pPr>
      <w:r>
        <w:rPr>
          <w:rFonts w:hint="eastAsia" w:ascii="仿宋" w:eastAsia="仿宋" w:cs="仿宋"/>
          <w:color w:val="2B2B2B"/>
          <w:sz w:val="32"/>
          <w:szCs w:val="32"/>
          <w:shd w:val="clear" w:color="auto" w:fill="FFFFFF"/>
          <w:lang w:bidi="ar-SA"/>
        </w:rPr>
        <w:t>3、强化督促检查，确保政府信息公开的质量和效率。严格执行信息发布保密审查制度，消除网络泄密隐患。加强门户网站的日常保密监督管理，进一步严肃纪律，对本局政府信息公开情况进行不定期的监督检查，确保信息公开的质量和效率。</w:t>
      </w:r>
    </w:p>
    <w:p w14:paraId="333DE4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adjustRightInd/>
        <w:snapToGrid/>
        <w:spacing w:line="560" w:lineRule="exact"/>
        <w:ind w:left="0" w:firstLine="640" w:firstLineChars="200"/>
        <w:rPr>
          <w:rFonts w:hint="eastAsia" w:ascii="黑体" w:eastAsia="黑体" w:cs="宋体"/>
          <w:color w:val="000000"/>
          <w:kern w:val="0"/>
          <w:sz w:val="32"/>
          <w:szCs w:val="32"/>
          <w:lang w:bidi="ar-SA"/>
        </w:rPr>
      </w:pPr>
      <w:r>
        <w:rPr>
          <w:rFonts w:hint="eastAsia" w:ascii="黑体" w:eastAsia="黑体" w:cs="宋体"/>
          <w:color w:val="000000"/>
          <w:kern w:val="0"/>
          <w:sz w:val="32"/>
          <w:szCs w:val="32"/>
          <w:lang w:bidi="ar-SA"/>
        </w:rPr>
        <w:t>六、其他需要报告的事项</w:t>
      </w:r>
    </w:p>
    <w:p w14:paraId="69D326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adjustRightInd/>
        <w:snapToGrid/>
        <w:spacing w:line="560" w:lineRule="exact"/>
        <w:ind w:left="0" w:firstLine="640" w:firstLineChars="200"/>
        <w:rPr>
          <w:rFonts w:hint="eastAsia" w:ascii="黑体" w:eastAsia="黑体" w:cs="宋体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仿宋" w:eastAsia="仿宋" w:cs="仿宋"/>
          <w:color w:val="333333"/>
          <w:sz w:val="32"/>
          <w:szCs w:val="32"/>
          <w:shd w:val="clear" w:color="auto" w:fill="FFFFFF"/>
          <w:lang w:val="en-US" w:eastAsia="zh-CN" w:bidi="ar-SA"/>
        </w:rPr>
        <w:t>认真贯彻执行国务院办公厅《政府信息公开信息处理费管理办法》和《关于政府信息公开处理费管理有关事项的通知》。202</w:t>
      </w:r>
      <w:r>
        <w:rPr>
          <w:rFonts w:ascii="仿宋" w:eastAsia="仿宋" w:cs="仿宋"/>
          <w:color w:val="333333"/>
          <w:sz w:val="32"/>
          <w:szCs w:val="32"/>
          <w:shd w:val="clear" w:color="auto" w:fill="FFFFFF"/>
          <w:lang w:val="en-US" w:eastAsia="zh-CN" w:bidi="ar-SA"/>
        </w:rPr>
        <w:t>4</w:t>
      </w:r>
      <w:r>
        <w:rPr>
          <w:rFonts w:hint="eastAsia" w:ascii="仿宋" w:eastAsia="仿宋" w:cs="仿宋"/>
          <w:color w:val="333333"/>
          <w:sz w:val="32"/>
          <w:szCs w:val="32"/>
          <w:shd w:val="clear" w:color="auto" w:fill="FFFFFF"/>
          <w:lang w:val="en-US" w:eastAsia="zh-CN" w:bidi="ar-SA"/>
        </w:rPr>
        <w:t>年未收取信息处理费</w:t>
      </w:r>
      <w:r>
        <w:rPr>
          <w:rFonts w:hint="eastAsia" w:ascii="仿宋" w:eastAsia="仿宋" w:cs="仿宋"/>
          <w:color w:val="333333"/>
          <w:sz w:val="32"/>
          <w:szCs w:val="32"/>
          <w:shd w:val="clear" w:color="auto" w:fill="FFFFFF"/>
          <w:lang w:eastAsia="zh-CN" w:bidi="ar-SA"/>
        </w:rPr>
        <w:t>。</w:t>
      </w:r>
    </w:p>
    <w:p w14:paraId="6540E6EC"/>
    <w:p w14:paraId="4437CED0"/>
    <w:p w14:paraId="1CC7AC19"/>
    <w:p w14:paraId="079BB93C"/>
    <w:p w14:paraId="0C5CEB5B"/>
    <w:p w14:paraId="481B79BB">
      <w:pPr>
        <w:ind w:left="0"/>
        <w:jc w:val="center"/>
        <w:rPr>
          <w:rFonts w:hint="eastAsia" w:ascii="仿宋" w:eastAsia="仿宋" w:cs="仿宋"/>
          <w:color w:val="2B2B2B"/>
          <w:sz w:val="32"/>
          <w:szCs w:val="32"/>
          <w:shd w:val="clear" w:color="auto" w:fill="FFFFFF"/>
        </w:rPr>
      </w:pPr>
      <w:r>
        <w:rPr>
          <w:rFonts w:ascii="仿宋" w:eastAsia="仿宋" w:cs="仿宋"/>
          <w:color w:val="2B2B2B"/>
          <w:sz w:val="32"/>
          <w:szCs w:val="32"/>
          <w:shd w:val="clear" w:color="auto" w:fill="FFFFFF"/>
        </w:rPr>
        <w:t xml:space="preserve">                                  </w:t>
      </w:r>
      <w:bookmarkStart w:id="0" w:name="_GoBack"/>
      <w:bookmarkEnd w:id="0"/>
    </w:p>
    <w:sectPr>
      <w:footerReference r:id="rId3" w:type="default"/>
      <w:pgSz w:w="11906" w:h="16838"/>
      <w:pgMar w:top="1440" w:right="1474" w:bottom="1440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68CE44">
    <w:pPr>
      <w:pStyle w:val="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 w:eastAsia="zh-CN"/>
      </w:rPr>
      <w:t>1</w:t>
    </w:r>
    <w:r>
      <w:fldChar w:fldCharType="end"/>
    </w:r>
  </w:p>
  <w:p w14:paraId="42FFC02B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1"/>
  <w:characterSpacingControl w:val="compressPunctuation"/>
  <w:compat>
    <w:balanceSingleByteDoubleByteWidth/>
    <w:ulTrailSpace/>
    <w:doNotExpandShiftReturn/>
    <w:adjustLineHeightInTable/>
    <w:useFELayout/>
    <w:compatSetting w:name="compatibilityMode" w:uri="http://schemas.microsoft.com/office/word" w:val="15"/>
  </w:compat>
  <w:rsids>
    <w:rsidRoot w:val="00000000"/>
    <w:rsid w:val="23524C5D"/>
    <w:rsid w:val="700F176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kern w:val="2"/>
      <w:sz w:val="18"/>
      <w:szCs w:val="18"/>
      <w:lang w:val="en-US" w:eastAsia="zh-CN" w:bidi="ar-SA"/>
    </w:rPr>
  </w:style>
  <w:style w:type="paragraph" w:styleId="6">
    <w:name w:val="Normal (Web)"/>
    <w:basedOn w:val="1"/>
    <w:uiPriority w:val="0"/>
    <w:pPr>
      <w:widowControl/>
      <w:jc w:val="left"/>
    </w:pPr>
    <w:rPr>
      <w:rFonts w:ascii="宋体" w:hAnsi="Calibri" w:eastAsia="宋体" w:cs="宋体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>
    <docPr revisions="3 0 5 0 0 0 1 0 0 0 3000 0 1 1 1 1"/>
    <sectPr/>
  </customProps>
</customData>
</file>

<file path=customXml/itemProps1.xml><?xml version="1.0" encoding="utf-8"?>
<ds:datastoreItem xmlns:ds="http://schemas.openxmlformats.org/officeDocument/2006/customXml" ds:itemID="{E58F2AD3-42D1-4A54-BD9B-2EAA802964A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5</Pages>
  <Words>2282</Words>
  <Characters>2329</Characters>
  <Lines>0</Lines>
  <Paragraphs>43</Paragraphs>
  <TotalTime>11</TotalTime>
  <ScaleCrop>false</ScaleCrop>
  <LinksUpToDate>false</LinksUpToDate>
  <CharactersWithSpaces>2397</CharactersWithSpaces>
  <Application>WPS Office_12.1.0.19770_F1E327BC-269C-435d-A152-05C5408002CA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2025-01-09T01:16:00Z</dcterms:created>
  <dc:creator>lenovo</dc:creator>
  <cp:lastModifiedBy>Administrator</cp:lastModifiedBy>
  <cp:lastPrinted>2025-01-09T01:22:00Z</cp:lastPrinted>
  <dcterms:modified xsi:type="dcterms:W3CDTF">2025-01-09T08:38:26Z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4193153A723F483CB1F0F297221E5BF6_13</vt:lpwstr>
  </property>
  <property fmtid="{D5CDD505-2E9C-101B-9397-08002B2CF9AE}" pid="4" name="KSOTemplateDocerSaveRecord">
    <vt:lpwstr>eyJoZGlkIjoiMjUyYWFlYmY1MDgzZjVkMTIyZDNjNGU3MzRhOTU3MzYifQ==</vt:lpwstr>
  </property>
</Properties>
</file>